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F3596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Moshe Mash, Ph.D.</w:t>
      </w:r>
    </w:p>
    <w:p w14:paraId="07663B82" w14:textId="65D10F24" w:rsidR="008A7AD0" w:rsidRPr="00F4276E" w:rsidRDefault="008A7AD0" w:rsidP="008A7AD0">
      <w:r>
        <w:rPr>
          <w:rFonts w:ascii="Calibri" w:hAnsi="Calibri"/>
        </w:rPr>
        <w:t xml:space="preserve">moshikmash@gmail.com | +1-412-626-1676 | </w:t>
      </w:r>
      <w:hyperlink r:id="rId7">
        <w:r>
          <w:rPr>
            <w:color w:val="0563C1"/>
            <w:u w:val="single"/>
          </w:rPr>
          <w:t>moshemash.com</w:t>
        </w:r>
      </w:hyperlink>
      <w:r>
        <w:rPr>
          <w:rFonts w:ascii="Calibri" w:hAnsi="Calibri"/>
        </w:rPr>
        <w:t xml:space="preserve"> | </w:t>
      </w:r>
      <w:hyperlink r:id="rId8">
        <w:r>
          <w:rPr>
            <w:color w:val="0563C1"/>
            <w:u w:val="single"/>
          </w:rPr>
          <w:t>linkedin.com/in/moshemash</w:t>
        </w:r>
      </w:hyperlink>
    </w:p>
    <w:p w14:paraId="7805AAA9" w14:textId="77777777" w:rsidR="008A7AD0" w:rsidRPr="00F4276E" w:rsidRDefault="00000000" w:rsidP="008A7AD0">
      <w:r>
        <w:rPr>
          <w:rFonts w:ascii="Calibri" w:eastAsia="Calibri" w:hAnsi="Calibri"/>
        </w:rPr>
        <w:pict w14:anchorId="61673EB7">
          <v:rect id="_x0000_i1025" style="width:0;height:1.5pt" o:hralign="center" o:hrstd="t" o:hrnoshade="t" o:hr="t" fillcolor="gray" stroked="f"/>
        </w:pict>
      </w:r>
    </w:p>
    <w:p w14:paraId="03111AFD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Interests</w:t>
      </w:r>
    </w:p>
    <w:p w14:paraId="424514B5" w14:textId="77777777" w:rsidR="008A7AD0" w:rsidRPr="00F4276E" w:rsidRDefault="008A7AD0" w:rsidP="008A7AD0">
      <w:r>
        <w:rPr>
          <w:rFonts w:ascii="Calibri" w:eastAsia="Calibri" w:hAnsi="Calibri"/>
        </w:rPr>
        <w:t>Multi-Agent Systems; Game Theory and Mechanism Design; Social Choice and Fair Division; Human-AI Collaboration and Mixed Human-Agent Settings; Decision-Making by Artificial Agents and Humans; Modeling and Prediction of Human Behavior; Analysis of Data Science and Machine Learning Workflows; Natural Language Processing and Large Language Models; Computational Analysis of Specialized Text Corpora (Hebrew and rabbinic texts, legal and patent documents); Human-Centered AI.</w:t>
      </w:r>
    </w:p>
    <w:p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899F503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Education</w:t>
      </w:r>
    </w:p>
    <w:p w14:paraId="6A8CD25C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Ph.D., Software and Information Systems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Ben-Gurion University of the Negev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2014–2018</w:t>
      </w:r>
    </w:p>
    <w:p w14:paraId="25594769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Dissertation:</w:t>
      </w:r>
      <w:r>
        <w:rPr>
          <w:rFonts w:ascii="Calibri" w:eastAsia="Calibri" w:hAnsi="Calibri"/>
        </w:rPr>
        <w:t xml:space="preserve"> Reaching Fair Agreements in Group Settings</w:t>
      </w:r>
    </w:p>
    <w:p w14:paraId="38D56F61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Ya’akov (Kobi) Gal</w:t>
      </w:r>
    </w:p>
    <w:p w14:paraId="6F1EABA9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M.Sc., Computer Science (AI specialization)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Bar-Ilan University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2011–2013</w:t>
      </w:r>
    </w:p>
    <w:p w14:paraId="06AC60EB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Thesis:</w:t>
      </w:r>
      <w:r>
        <w:rPr>
          <w:rFonts w:ascii="Calibri" w:eastAsia="Calibri" w:hAnsi="Calibri"/>
        </w:rPr>
        <w:t xml:space="preserve"> Joint Exploration with Self-Interested Agents</w:t>
      </w:r>
    </w:p>
    <w:p w14:paraId="1E0EC7DA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David Sarne</w:t>
      </w:r>
    </w:p>
    <w:p w14:paraId="3815BDA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B.Sc., Software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Shenkar College of Engineering and Design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2007–2011</w:t>
      </w:r>
    </w:p>
    <w:p w14:paraId="6F383174" w14:textId="77777777" w:rsidR="008A7AD0" w:rsidRPr="00F4276E" w:rsidRDefault="00000000" w:rsidP="008A7AD0">
      <w:r>
        <w:rPr>
          <w:rFonts w:ascii="Calibri" w:eastAsia="Calibri" w:hAnsi="Calibri"/>
        </w:rPr>
        <w:pict w14:anchorId="49F94E1B">
          <v:rect id="_x0000_i1029" style="width:0;height:1.5pt" o:hralign="center" o:hrstd="t" o:hrnoshade="t" o:hr="t" fillcolor="gray" stroked="f"/>
        </w:pict>
      </w:r>
    </w:p>
    <w:p w14:paraId="7890F2D0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Awards &amp; Recognition</w:t>
      </w:r>
    </w:p>
    <w:p w14:paraId="55C1974D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Best Paper Award</w:t>
      </w:r>
      <w:r>
        <w:rPr>
          <w:rFonts w:ascii="Calibri" w:eastAsia="Calibri" w:hAnsi="Calibri"/>
        </w:rPr>
        <w:t xml:space="preserve"> – ACM Conference on Economics and Computation (2016)</w:t>
      </w:r>
    </w:p>
    <w:p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Communications of the ACM Research Highlight</w:t>
      </w:r>
      <w:r>
        <w:rPr>
          <w:rFonts w:ascii="Calibri" w:eastAsia="Calibri" w:hAnsi="Calibri"/>
        </w:rPr>
        <w:t xml:space="preserve"> – Which Is the Fairest (Rent Division) of Them All? (2018)</w:t>
      </w:r>
    </w:p>
    <w:p w14:paraId="7ED64B05" w14:textId="77777777" w:rsidR="008A7AD0" w:rsidRPr="00F4276E" w:rsidRDefault="008A7AD0" w:rsidP="008A7AD0">
      <w:pPr>
        <w:numPr>
          <w:ilvl w:val="0"/>
          <w:numId w:val="26"/>
        </w:numPr>
        <w:rPr>
          <w:bCs/>
        </w:rPr>
      </w:pPr>
      <w:r>
        <w:rPr>
          <w:rFonts w:ascii="Calibri" w:eastAsia="Calibri" w:hAnsi="Calibri"/>
          <w:b/>
          <w:bCs/>
        </w:rPr>
        <w:t>Excellence in Teaching Award</w:t>
      </w:r>
      <w:r>
        <w:rPr>
          <w:rFonts w:ascii="Calibri" w:eastAsia="Calibri" w:hAnsi="Calibri"/>
          <w:b/>
        </w:rPr>
        <w:t xml:space="preserve"> </w:t>
      </w:r>
      <w:r>
        <w:rPr>
          <w:rFonts w:ascii="Calibri" w:eastAsia="Calibri" w:hAnsi="Calibri"/>
          <w:bCs/>
        </w:rPr>
        <w:t>– Ben-Gurion University (2016, 2017)</w:t>
      </w:r>
    </w:p>
    <w:p w14:paraId="7E090E27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Ph.D. Scholarship for Academic Excellence</w:t>
      </w:r>
      <w:r>
        <w:rPr>
          <w:rFonts w:ascii="Calibri" w:eastAsia="Calibri" w:hAnsi="Calibri"/>
        </w:rPr>
        <w:t xml:space="preserve"> – Ben-Gurion University (2014)</w:t>
      </w:r>
    </w:p>
    <w:p w14:paraId="351A7AA1" w14:textId="77777777"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3DF31B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Academic Positions</w:t>
      </w:r>
    </w:p>
    <w:p w14:paraId="2B129099" w14:textId="0673EC40" w:rsidR="008A7AD0" w:rsidRPr="00F4276E" w:rsidRDefault="008A7AD0" w:rsidP="008A7AD0">
      <w:r>
        <w:rPr>
          <w:rFonts w:ascii="Calibri" w:eastAsia="Calibri" w:hAnsi="Calibri"/>
          <w:b/>
          <w:bCs/>
        </w:rPr>
        <w:t>Postdoctoral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Carnegie Mellon University, Robotics Institute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2019–2022</w:t>
      </w:r>
    </w:p>
    <w:p w14:paraId="6031147E" w14:textId="42DEB250" w:rsidR="000206A7" w:rsidRPr="00F4276E" w:rsidRDefault="000206A7" w:rsidP="000206A7">
      <w:pPr>
        <w:numPr>
          <w:ilvl w:val="0"/>
          <w:numId w:val="21"/>
        </w:numPr>
      </w:pPr>
      <w:r>
        <w:t xml:space="preserve">Hosted by </w:t>
      </w:r>
      <w:r>
        <w:t>Prof. Reid Simmons</w:t>
      </w:r>
      <w:r>
        <w:t xml:space="preserve"> and </w:t>
      </w:r>
      <w:r>
        <w:t>Dr. Stephanie Rosenthal</w:t>
      </w:r>
      <w:r>
        <w:t>.</w:t>
      </w:r>
    </w:p>
    <w:p w14:paraId="0241FB07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lastRenderedPageBreak/>
        <w:t>Conducted research on the behavior and cognitive processes of machine learning practitioners as they develop AI models.</w:t>
      </w:r>
    </w:p>
    <w:p w14:paraId="3847ECE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Designed frameworks to capture, model, and analyze workflows, with emphasis on decision-making, iteration cycles, and knowledge bottlenecks.</w:t>
      </w:r>
    </w:p>
    <w:p w14:paraId="3A58E81D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Developed predictive methods to identify critical moments of difficulty (“stuckness”) in ML development, enabling targeted support and improved productivity.</w:t>
      </w:r>
    </w:p>
    <w:p w14:paraId="7FCD6AD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Collaborated with multidisciplinary teams to integrate human-centric AI approaches into machine learning tools and environments.</w:t>
      </w:r>
    </w:p>
    <w:p w14:paraId="06898152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Mentored students in AI and human-computer interaction research.</w:t>
      </w:r>
    </w:p>
    <w:p w14:paraId="25AEC498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Research funded by J.P. Morgan, which renewed the award for a second consecutive year based on the project's strong results.</w:t>
      </w:r>
    </w:p>
    <w:p w14:paraId="6432E2F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Research Assistant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Weizmann Institute of Science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2011–2012</w:t>
      </w:r>
    </w:p>
    <w:p w14:paraId="0F39A560" w14:textId="77777777" w:rsidR="008A7AD0" w:rsidRPr="00F4276E" w:rsidRDefault="008A7AD0" w:rsidP="008A7AD0">
      <w:pPr>
        <w:numPr>
          <w:ilvl w:val="0"/>
          <w:numId w:val="23"/>
        </w:numPr>
      </w:pPr>
      <w:r>
        <w:rPr>
          <w:rFonts w:ascii="Calibri" w:eastAsia="Calibri" w:hAnsi="Calibri"/>
        </w:rPr>
        <w:t>Developed image-processing algorithms for 3D biomedical images.</w:t>
      </w:r>
    </w:p>
    <w:p w14:paraId="318A1B95" w14:textId="77777777" w:rsidR="008A7AD0" w:rsidRPr="00F4276E" w:rsidRDefault="00000000" w:rsidP="008A7AD0">
      <w:r>
        <w:rPr>
          <w:rFonts w:ascii="Calibri" w:eastAsia="Calibri" w:hAnsi="Calibri"/>
        </w:rPr>
        <w:pict w14:anchorId="69FF5FEC">
          <v:rect id="_x0000_i1027" style="width:0;height:1.5pt" o:hralign="center" o:hrstd="t" o:hrnoshade="t" o:hr="t" fillcolor="gray" stroked="f"/>
        </w:pict>
      </w:r>
    </w:p>
    <w:p w14:paraId="1A50F67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Industry Research Positions</w:t>
      </w:r>
    </w:p>
    <w:p w14:paraId="34839219" w14:textId="77777777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Principal AI Researcher &amp; Founder | MashInnovateAI | 2024–present</w:t>
      </w:r>
    </w:p>
    <w:p w14:paraId="3688A7A4" w14:textId="77777777" w:rsidR="008A7AD0" w:rsidRPr="00F4276E" w:rsidRDefault="008A7AD0" w:rsidP="008A7AD0">
      <w:pPr>
        <w:numPr>
          <w:ilvl w:val="0"/>
          <w:numId w:val="21"/>
        </w:numPr>
      </w:pPr>
      <w:r>
        <w:t>Independent AI research &amp; development consultancy: helps organizations identify where AI can solve their hardest problems, then designs and delivers the solution end to end - applied ML, NLP, LLM fine-tuning, RAG, and agentic and multi-agent systems - from proof of concept to production deployment.</w:t>
      </w:r>
    </w:p>
    <w:p w14:paraId="3688A7B5" w14:textId="77777778" w:rsidR="008A7AD0" w:rsidRPr="00F4276E" w:rsidRDefault="008A7AD0" w:rsidP="008A7AD0">
      <w:pPr>
        <w:numPr>
          <w:ilvl w:val="0"/>
          <w:numId w:val="21"/>
        </w:numPr>
      </w:pPr>
      <w:r>
        <w:t>Clients include technology companies looking to integrate AI into their products and workflows, startups, and universities and academic research groups.</w:t>
      </w:r>
    </w:p>
    <w:p w14:paraId="012FB4D7" w14:textId="7A8F49F9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AI Researcher | DICTA – The Israel Center for Text Analysis | 2022–present</w:t>
      </w:r>
    </w:p>
    <w:p w14:paraId="1E3945D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Lead text-understanding research over large, unstructured Hebrew and rabbinic document collections - turning raw text into structured, searchable, analyzable data.</w:t>
      </w:r>
    </w:p>
    <w:p w14:paraId="1E3945E9" w14:textId="77777781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systems and deep-learning models for in-depth analysis of text - morphological, syntactic, and semantic understanding of long, complex documents at scale.</w:t>
      </w:r>
    </w:p>
    <w:p w14:paraId="33942143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lastRenderedPageBreak/>
        <w:t>Built NLP models for authorship attribution and document classification - predicting the author of texts with historically disputed attribution from textual signals alone.</w:t>
      </w:r>
    </w:p>
    <w:p w14:paraId="043703EE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Reached high predictive accuracy and applied these models to resolve long-debated questions of authorship, demonstrating reliable classification of ambiguous documents at scale.</w:t>
      </w:r>
    </w:p>
    <w:p w14:paraId="54CCC34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Designed systems for automatic citation detection, extraction, and cross-referencing of sources across a large document corpus.</w:t>
      </w:r>
    </w:p>
    <w:p w14:paraId="4E6C86FC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Built LLM-based tools for information extraction, semantic search, text similarity, clustering, and question-answering over documents - training custom text embeddings with contrastive learning and fine-tuning LLMs for domain-specific corpora.</w:t>
      </w:r>
    </w:p>
    <w:p w14:paraId="1E3945F1" w14:textId="77777782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end-to-end systems for model training and inference, with tooling to analyze model outcomes and inspect the training process itself.</w:t>
      </w:r>
    </w:p>
    <w:p w14:paraId="4D9E6F8B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Took models from research through to production deployment, delivering document-understanding systems actively used for live analysis of large text collections.</w:t>
      </w:r>
    </w:p>
    <w:p w14:paraId="2F0B73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Diagnostic Robotics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</w:t>
      </w:r>
    </w:p>
    <w:p w14:paraId="6548471A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Developed machine learning models for the healthcare domain, with applications in risk prediction (e.g., ER diagnoses, hospitalization forecasting).</w:t>
      </w:r>
    </w:p>
    <w:p w14:paraId="20DCAACE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Collaborated with clinicians and researchers to refine AI-driven predictive healthcare decision-support systems.</w:t>
      </w:r>
    </w:p>
    <w:p w14:paraId="4C916C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Amdocs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2018–2019</w:t>
      </w:r>
    </w:p>
    <w:p w14:paraId="01EB89BE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Led the development of a churn-prediction system for at-risk maintenance contract renewals, saving millions of dollars.</w:t>
      </w:r>
    </w:p>
    <w:p w14:paraId="440FEF07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Designed, built, and deployed the system from scratch, including problem definition, algorithm design, evaluation, and deployment pipeline.</w:t>
      </w:r>
    </w:p>
    <w:p w14:paraId="3C70DA71" w14:textId="77777777" w:rsidR="008A7AD0" w:rsidRPr="00F4276E" w:rsidRDefault="00000000" w:rsidP="008A7AD0">
      <w:r>
        <w:rPr>
          <w:rFonts w:ascii="Calibri" w:eastAsia="Calibri" w:hAnsi="Calibri"/>
        </w:rPr>
        <w:pict w14:anchorId="7C3638CC">
          <v:rect id="_x0000_i1030" style="width:0;height:1.5pt" o:hralign="center" o:hrstd="t" o:hrnoshade="t" o:hr="t" fillcolor="gray" stroked="f"/>
        </w:pict>
      </w:r>
    </w:p>
    <w:p w14:paraId="5078E6A9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Teaching &amp; Advising</w:t>
      </w:r>
    </w:p>
    <w:p w14:paraId="4935B16B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Ben-Gurion University of the Negev – Software and Information Systems Engineering Dept.</w:t>
      </w:r>
    </w:p>
    <w:p w14:paraId="2BE42F69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Fall–Spring 2016, 2017, 2018</w:t>
      </w:r>
    </w:p>
    <w:p w14:paraId="6BFBAB4E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Analysis and Design of Software Systems – Spring–Summer 2016, 2017, 2018</w:t>
      </w:r>
    </w:p>
    <w:p w14:paraId="30E7B936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Intelligent Systems – Spring–Summer 2015</w:t>
      </w:r>
    </w:p>
    <w:p w14:paraId="44B9196B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Decision Support Systems – Fall–Spring 2015</w:t>
      </w:r>
    </w:p>
    <w:p w14:paraId="0C10FEAF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Departmental Seminar Coordinator – 2015, 2016, 2017, 2018</w:t>
      </w:r>
    </w:p>
    <w:p w14:paraId="030726C4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Coordinator (4th Year) – 2015, 2016, 2017, 2018</w:t>
      </w:r>
    </w:p>
    <w:p w14:paraId="4466E09B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Adviser (Undergraduate) – 2015, 2016</w:t>
      </w:r>
    </w:p>
    <w:p w14:paraId="39C3650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Tel-Aviv Yafo Academic College – Information Systems Dept.</w:t>
      </w:r>
    </w:p>
    <w:p w14:paraId="1807189B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t>Lecturer, Databases – Spring–Summer 2015, Fall–Spring 2015</w:t>
      </w:r>
    </w:p>
    <w:p w14:paraId="6347B717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lastRenderedPageBreak/>
        <w:t>Lecturer, Game Theory – Spring–Summer 2015</w:t>
      </w:r>
    </w:p>
    <w:p w14:paraId="5147E3D1" w14:textId="77777777" w:rsidR="008A7AD0" w:rsidRPr="00F4276E" w:rsidRDefault="008A7AD0" w:rsidP="008A7AD0">
      <w:pPr>
        <w:numPr>
          <w:ilvl w:val="0"/>
          <w:numId w:val="28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Spring–Summer 2014</w:t>
      </w:r>
    </w:p>
    <w:p w14:paraId="4DFBA96F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Bar-Ilan University</w:t>
      </w:r>
    </w:p>
    <w:p w14:paraId="4A9FDF5D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Statistical Methods in Computer Science – Spring–Summer 2014</w:t>
      </w:r>
    </w:p>
    <w:p w14:paraId="7248DD08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Fall–Spring 2013, 2014</w:t>
      </w:r>
    </w:p>
    <w:p w14:paraId="70546B79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Machine Learning – Fall–Spring 2014</w:t>
      </w:r>
    </w:p>
    <w:p w14:paraId="71ABECA0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Computing – Fall–Spring 2013</w:t>
      </w:r>
    </w:p>
    <w:p w14:paraId="6BA1B713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Shenkar College of Engineering and Design</w:t>
      </w:r>
    </w:p>
    <w:p w14:paraId="35F944F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Programming Systems – Spring–Summer 2012</w:t>
      </w:r>
    </w:p>
    <w:p w14:paraId="36D7BBAE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Computer Science – Fall–Spring 2012</w:t>
      </w:r>
    </w:p>
    <w:p w14:paraId="0D47D70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Object-Oriented Programming – Fall–Spring 2012</w:t>
      </w:r>
    </w:p>
    <w:p w14:paraId="181119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College of Management (Academic)</w:t>
      </w:r>
    </w:p>
    <w:p w14:paraId="62FB3568" w14:textId="77777777" w:rsidR="008A7AD0" w:rsidRPr="00F4276E" w:rsidRDefault="008A7AD0" w:rsidP="008A7AD0">
      <w:pPr>
        <w:numPr>
          <w:ilvl w:val="0"/>
          <w:numId w:val="31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Spring–Summer 2012</w:t>
      </w:r>
    </w:p>
    <w:p w14:paraId="5A3CB24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High School Teaching (Israel Ministry of Education)</w:t>
      </w:r>
    </w:p>
    <w:p w14:paraId="658FD296" w14:textId="77777777" w:rsidR="008A7AD0" w:rsidRPr="00F4276E" w:rsidRDefault="008A7AD0" w:rsidP="008A7AD0">
      <w:pPr>
        <w:numPr>
          <w:ilvl w:val="0"/>
          <w:numId w:val="32"/>
        </w:numPr>
      </w:pPr>
      <w:r>
        <w:rPr>
          <w:rFonts w:ascii="Calibri" w:eastAsia="Calibri" w:hAnsi="Calibri"/>
        </w:rPr>
        <w:t>Mathematics Teacher (2010–2013) – taught Bagrut levels 3–5 points, specializing in students with learning disabilities (via Nitzan Association).</w:t>
      </w:r>
    </w:p>
    <w:p w14:paraId="598EB64F" w14:textId="77777777" w:rsidR="008A7AD0" w:rsidRPr="00F4276E" w:rsidRDefault="00000000" w:rsidP="008A7AD0">
      <w:r>
        <w:rPr>
          <w:rFonts w:ascii="Calibri" w:eastAsia="Calibri" w:hAnsi="Calibri"/>
        </w:rPr>
        <w:pict w14:anchorId="472DE5E4">
          <v:rect id="_x0000_i1031" style="width:0;height:1.5pt" o:hralign="center" o:hrstd="t" o:hrnoshade="t" o:hr="t" fillcolor="gray" stroked="f"/>
        </w:pict>
      </w:r>
    </w:p>
    <w:p w14:paraId="52F4CB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Professional Service</w:t>
      </w:r>
    </w:p>
    <w:p w14:paraId="1422FBA1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  <w:b/>
          <w:bCs/>
        </w:rPr>
        <w:t>Reviewer:</w:t>
      </w:r>
      <w:r>
        <w:rPr>
          <w:rFonts w:ascii="Calibri" w:eastAsia="Calibri" w:hAnsi="Calibri"/>
        </w:rPr>
        <w:t xml:space="preserve"> AAAI, IJCAI, AAMAS, KDD, CHI, EC, ECAI, Group Decision &amp; Negotiation</w:t>
      </w:r>
    </w:p>
    <w:p w14:paraId="1D1BFC26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Developed voting algorithm for Best Paper selection (IAAI 2018)</w:t>
      </w:r>
    </w:p>
    <w:p w14:paraId="55A4FB2C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Organized departmental seminars at Ben-Gurion University</w:t>
      </w:r>
    </w:p>
    <w:p w14:paraId="354497C2" w14:textId="77777777" w:rsidR="008A7AD0" w:rsidRPr="00F4276E" w:rsidRDefault="00000000" w:rsidP="008A7AD0">
      <w:r>
        <w:rPr>
          <w:rFonts w:ascii="Calibri" w:eastAsia="Calibri" w:hAnsi="Calibri"/>
        </w:rPr>
        <w:pict w14:anchorId="46D9385D">
          <v:rect id="_x0000_i1032" style="width:0;height:1.5pt" o:hralign="center" o:hrstd="t" o:hrnoshade="t" o:hr="t" fillcolor="gray" stroked="f"/>
        </w:pict>
      </w:r>
    </w:p>
    <w:p w14:paraId="6E5DEB0B" w14:textId="77777777" w:rsidR="0078669E" w:rsidRPr="00F4276E" w:rsidRDefault="0078669E" w:rsidP="008A7AD0"/>
    <w:p w14:paraId="3E142CAA" w14:textId="77777777" w:rsidR="008A7AD0" w:rsidRPr="00F4276E" w:rsidRDefault="00000000" w:rsidP="008A7AD0">
      <w:r>
        <w:rPr>
          <w:rFonts w:ascii="Calibri" w:eastAsia="Calibri" w:hAnsi="Calibri"/>
        </w:rPr>
        <w:lastRenderedPageBreak/>
        <w:pict w14:anchorId="16542E24">
          <v:rect id="_x0000_i1033" style="width:0;height:1.5pt" o:hralign="center" o:hrstd="t" o:hrnoshade="t" o:hr="t" fillcolor="gray" stroked="f"/>
        </w:pict>
      </w:r>
    </w:p>
    <w:p w14:paraId="27025A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Publications</w:t>
      </w:r>
    </w:p>
    <w:p w14:paraId="2049C0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Journal Articles</w:t>
      </w:r>
    </w:p>
    <w:p w14:paraId="7F8B7E2D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Gerhardt D., Marcowitz-Bitton M., Schuster W.M., Elmalech A., Suissa O., Mash M. (2026). Gendered Words and Patent Grant Rates: A Textual Analysis. Northwestern Journal of Technology and Intellectual Property, 23(3), Article 2.</w:t>
      </w:r>
    </w:p>
    <w:p w14:paraId="4858539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Raphael I, Xiong Z, Sneiderman CT, Raphael RA, Mash M., et al. The T cell receptor landscape of childhood brain tumors. Science Translational Medicine. 2025 Mar 19; 17(790): eadp0675.</w:t>
      </w:r>
    </w:p>
    <w:p w14:paraId="257478A3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Mash, M., Fairstein, R., Bachrach, Y., Gal, K., &amp; Zick, Y. (2020). Human-Computer Coalition Formation in Weighted Voting Games. ACM Transactions on Intelligent Systems and Technology (TIST).</w:t>
      </w:r>
    </w:p>
    <w:p w14:paraId="0044DB7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Gal, K., Mash, M., Procaccia, A., &amp; Zick, Y. (2017). Which Is the Fairest (Rent Division) of Them All? Journal of the ACM (JACM).</w:t>
      </w:r>
      <w:r>
        <w:rPr>
          <w:rFonts w:ascii="Calibri" w:eastAsia="Calibri" w:hAnsi="Calibri"/>
          <w:i/>
          <w:iCs/>
        </w:rPr>
        <w:t xml:space="preserve"> Selected as a Communications of the ACM Research Highlight, 2018.</w:t>
      </w:r>
    </w:p>
    <w:p w14:paraId="6CA3F3F7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Rochlin, I., Sarne, D., &amp; Mash, M. (2014). Joint Search with Self-Interested Agents and the Failure of Cooperation Enhancers. Artificial Intelligence Journal (AIJ).</w:t>
      </w:r>
    </w:p>
    <w:p w14:paraId="68D32A1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Conference Proceedings</w:t>
      </w:r>
    </w:p>
    <w:p w14:paraId="08038B9B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Oryol, S., Rosenthal, S., &amp; Simmons, R. (2022). Predicting Data Scientist Stuckness During the Development of Machine Learning Classifiers. VL/HCC.</w:t>
      </w:r>
    </w:p>
    <w:p w14:paraId="0B0F70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Rosenthal, S., &amp; Simmons, R. (2021). DSWorkFlow: A Framework for Capturing Data Scientists’ Workflows. CHI.</w:t>
      </w:r>
    </w:p>
    <w:p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Bachrach, Y., Gal, K., &amp; Zick, Y. (2017). How to Form Winning Coalitions in Mixed Human-Computer Settings. IJCAI.</w:t>
      </w:r>
    </w:p>
    <w:p w14:paraId="6A5A065A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Gal, K., Mash, M., Procaccia, A., &amp; Zick, Y. (2016). Which Is the Fairest (Rent Division) of Them All? EC. (Best Paper Award)</w:t>
      </w:r>
    </w:p>
    <w:p w14:paraId="1AB2A05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Lin, R., &amp; Sarne, D. (2014). Peer-Design Agents for Reliably Evaluating Distribution of Outcomes in Environments Involving People. AAMAS.</w:t>
      </w:r>
    </w:p>
    <w:p w14:paraId="51BDBD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Rochlin, I., &amp; Sarne, D. (2012). Join Me with the Weakest Partner, Please. IAT.</w:t>
      </w:r>
    </w:p>
    <w:sectPr w:rsidR="0078669E" w:rsidRPr="00F4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05485" w14:textId="77777777" w:rsidR="007C1DDB" w:rsidRDefault="007C1DDB" w:rsidP="000206A7">
      <w:pPr>
        <w:spacing w:after="0" w:line="240" w:lineRule="auto"/>
      </w:pPr>
      <w:r>
        <w:separator/>
      </w:r>
    </w:p>
  </w:endnote>
  <w:endnote w:type="continuationSeparator" w:id="0">
    <w:p w14:paraId="76E83FA8" w14:textId="77777777" w:rsidR="007C1DDB" w:rsidRDefault="007C1DDB" w:rsidP="00020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62EA" w14:textId="77777777" w:rsidR="007C1DDB" w:rsidRDefault="007C1DDB" w:rsidP="000206A7">
      <w:pPr>
        <w:spacing w:after="0" w:line="240" w:lineRule="auto"/>
      </w:pPr>
      <w:r>
        <w:separator/>
      </w:r>
    </w:p>
  </w:footnote>
  <w:footnote w:type="continuationSeparator" w:id="0">
    <w:p w14:paraId="685EB960" w14:textId="77777777" w:rsidR="007C1DDB" w:rsidRDefault="007C1DDB" w:rsidP="000206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063"/>
    <w:multiLevelType w:val="multilevel"/>
    <w:tmpl w:val="4E4C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6294F"/>
    <w:multiLevelType w:val="multilevel"/>
    <w:tmpl w:val="F4D0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46FAD"/>
    <w:multiLevelType w:val="multilevel"/>
    <w:tmpl w:val="167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A1E20"/>
    <w:multiLevelType w:val="multilevel"/>
    <w:tmpl w:val="D320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85D46"/>
    <w:multiLevelType w:val="multilevel"/>
    <w:tmpl w:val="FF5C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74A01"/>
    <w:multiLevelType w:val="multilevel"/>
    <w:tmpl w:val="AFC0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52FB0"/>
    <w:multiLevelType w:val="multilevel"/>
    <w:tmpl w:val="6C28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B2373"/>
    <w:multiLevelType w:val="multilevel"/>
    <w:tmpl w:val="4FD0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643F1"/>
    <w:multiLevelType w:val="multilevel"/>
    <w:tmpl w:val="5658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37EAC"/>
    <w:multiLevelType w:val="multilevel"/>
    <w:tmpl w:val="CC4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57811"/>
    <w:multiLevelType w:val="multilevel"/>
    <w:tmpl w:val="EB18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F0D28"/>
    <w:multiLevelType w:val="multilevel"/>
    <w:tmpl w:val="F6BC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D131A"/>
    <w:multiLevelType w:val="multilevel"/>
    <w:tmpl w:val="1F56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40A54"/>
    <w:multiLevelType w:val="multilevel"/>
    <w:tmpl w:val="EDDE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D17E2"/>
    <w:multiLevelType w:val="multilevel"/>
    <w:tmpl w:val="D3F8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77EA9"/>
    <w:multiLevelType w:val="multilevel"/>
    <w:tmpl w:val="CA0E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9696D"/>
    <w:multiLevelType w:val="multilevel"/>
    <w:tmpl w:val="B6E4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A4D77"/>
    <w:multiLevelType w:val="multilevel"/>
    <w:tmpl w:val="3FF4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D04FB"/>
    <w:multiLevelType w:val="multilevel"/>
    <w:tmpl w:val="89E8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F31E4"/>
    <w:multiLevelType w:val="multilevel"/>
    <w:tmpl w:val="8328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6D2C2D"/>
    <w:multiLevelType w:val="multilevel"/>
    <w:tmpl w:val="EDD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C7A36"/>
    <w:multiLevelType w:val="multilevel"/>
    <w:tmpl w:val="93E6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F6E9B"/>
    <w:multiLevelType w:val="multilevel"/>
    <w:tmpl w:val="099A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14C63"/>
    <w:multiLevelType w:val="multilevel"/>
    <w:tmpl w:val="721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FB2368"/>
    <w:multiLevelType w:val="multilevel"/>
    <w:tmpl w:val="FB6A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86C63"/>
    <w:multiLevelType w:val="multilevel"/>
    <w:tmpl w:val="D028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081C"/>
    <w:multiLevelType w:val="multilevel"/>
    <w:tmpl w:val="7736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61CAE"/>
    <w:multiLevelType w:val="multilevel"/>
    <w:tmpl w:val="EEAE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D0B34"/>
    <w:multiLevelType w:val="multilevel"/>
    <w:tmpl w:val="DA28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9B4A9E"/>
    <w:multiLevelType w:val="multilevel"/>
    <w:tmpl w:val="8816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826B5"/>
    <w:multiLevelType w:val="multilevel"/>
    <w:tmpl w:val="3A6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4F26B9"/>
    <w:multiLevelType w:val="multilevel"/>
    <w:tmpl w:val="8174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AB1C03"/>
    <w:multiLevelType w:val="multilevel"/>
    <w:tmpl w:val="C53A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15C36"/>
    <w:multiLevelType w:val="multilevel"/>
    <w:tmpl w:val="96D6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0247DC"/>
    <w:multiLevelType w:val="multilevel"/>
    <w:tmpl w:val="0944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AF6F28"/>
    <w:multiLevelType w:val="multilevel"/>
    <w:tmpl w:val="5C7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91214">
    <w:abstractNumId w:val="32"/>
  </w:num>
  <w:num w:numId="2" w16cid:durableId="1642926180">
    <w:abstractNumId w:val="35"/>
  </w:num>
  <w:num w:numId="3" w16cid:durableId="1609504681">
    <w:abstractNumId w:val="3"/>
  </w:num>
  <w:num w:numId="4" w16cid:durableId="2128811284">
    <w:abstractNumId w:val="34"/>
  </w:num>
  <w:num w:numId="5" w16cid:durableId="887685621">
    <w:abstractNumId w:val="24"/>
  </w:num>
  <w:num w:numId="6" w16cid:durableId="231549972">
    <w:abstractNumId w:val="18"/>
  </w:num>
  <w:num w:numId="7" w16cid:durableId="1964073012">
    <w:abstractNumId w:val="16"/>
  </w:num>
  <w:num w:numId="8" w16cid:durableId="576669018">
    <w:abstractNumId w:val="2"/>
  </w:num>
  <w:num w:numId="9" w16cid:durableId="1434015531">
    <w:abstractNumId w:val="21"/>
  </w:num>
  <w:num w:numId="10" w16cid:durableId="623968931">
    <w:abstractNumId w:val="23"/>
  </w:num>
  <w:num w:numId="11" w16cid:durableId="1470592807">
    <w:abstractNumId w:val="25"/>
  </w:num>
  <w:num w:numId="12" w16cid:durableId="901063949">
    <w:abstractNumId w:val="33"/>
  </w:num>
  <w:num w:numId="13" w16cid:durableId="2024745555">
    <w:abstractNumId w:val="10"/>
  </w:num>
  <w:num w:numId="14" w16cid:durableId="1772315560">
    <w:abstractNumId w:val="29"/>
  </w:num>
  <w:num w:numId="15" w16cid:durableId="584926128">
    <w:abstractNumId w:val="0"/>
  </w:num>
  <w:num w:numId="16" w16cid:durableId="1653876011">
    <w:abstractNumId w:val="31"/>
  </w:num>
  <w:num w:numId="17" w16cid:durableId="300431337">
    <w:abstractNumId w:val="7"/>
  </w:num>
  <w:num w:numId="18" w16cid:durableId="1450516399">
    <w:abstractNumId w:val="14"/>
  </w:num>
  <w:num w:numId="19" w16cid:durableId="1881090031">
    <w:abstractNumId w:val="5"/>
  </w:num>
  <w:num w:numId="20" w16cid:durableId="2037389662">
    <w:abstractNumId w:val="17"/>
  </w:num>
  <w:num w:numId="21" w16cid:durableId="2099398854">
    <w:abstractNumId w:val="30"/>
  </w:num>
  <w:num w:numId="22" w16cid:durableId="1229074953">
    <w:abstractNumId w:val="9"/>
  </w:num>
  <w:num w:numId="23" w16cid:durableId="1178811653">
    <w:abstractNumId w:val="20"/>
  </w:num>
  <w:num w:numId="24" w16cid:durableId="1208836207">
    <w:abstractNumId w:val="15"/>
  </w:num>
  <w:num w:numId="25" w16cid:durableId="119030888">
    <w:abstractNumId w:val="28"/>
  </w:num>
  <w:num w:numId="26" w16cid:durableId="791217309">
    <w:abstractNumId w:val="1"/>
  </w:num>
  <w:num w:numId="27" w16cid:durableId="994915052">
    <w:abstractNumId w:val="13"/>
  </w:num>
  <w:num w:numId="28" w16cid:durableId="1979245">
    <w:abstractNumId w:val="22"/>
  </w:num>
  <w:num w:numId="29" w16cid:durableId="1607761900">
    <w:abstractNumId w:val="8"/>
  </w:num>
  <w:num w:numId="30" w16cid:durableId="646515849">
    <w:abstractNumId w:val="27"/>
  </w:num>
  <w:num w:numId="31" w16cid:durableId="1337877610">
    <w:abstractNumId w:val="4"/>
  </w:num>
  <w:num w:numId="32" w16cid:durableId="17699401">
    <w:abstractNumId w:val="6"/>
  </w:num>
  <w:num w:numId="33" w16cid:durableId="2016229150">
    <w:abstractNumId w:val="12"/>
  </w:num>
  <w:num w:numId="34" w16cid:durableId="1452242105">
    <w:abstractNumId w:val="19"/>
  </w:num>
  <w:num w:numId="35" w16cid:durableId="1147286112">
    <w:abstractNumId w:val="11"/>
  </w:num>
  <w:num w:numId="36" w16cid:durableId="8738985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AD0"/>
    <w:rsid w:val="000206A7"/>
    <w:rsid w:val="001A232A"/>
    <w:rsid w:val="002249D1"/>
    <w:rsid w:val="00277568"/>
    <w:rsid w:val="002C28B8"/>
    <w:rsid w:val="002C6950"/>
    <w:rsid w:val="005E604E"/>
    <w:rsid w:val="006166D5"/>
    <w:rsid w:val="006418CF"/>
    <w:rsid w:val="00647456"/>
    <w:rsid w:val="00746F96"/>
    <w:rsid w:val="0078669E"/>
    <w:rsid w:val="007C1DDB"/>
    <w:rsid w:val="008A7AD0"/>
    <w:rsid w:val="00993CB6"/>
    <w:rsid w:val="00A13D71"/>
    <w:rsid w:val="00AB6C27"/>
    <w:rsid w:val="00B75216"/>
    <w:rsid w:val="00F26CF4"/>
    <w:rsid w:val="00F4276E"/>
    <w:rsid w:val="00F9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B46E0"/>
  <w15:chartTrackingRefBased/>
  <w15:docId w15:val="{100B71E9-4EA6-4C9C-A95E-9A1A5C103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A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A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A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A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A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6A7"/>
  </w:style>
  <w:style w:type="paragraph" w:styleId="Footer">
    <w:name w:val="footer"/>
    <w:basedOn w:val="Normal"/>
    <w:link w:val="Foot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6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moshemas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shemas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1470</Words>
  <Characters>8384</Characters>
  <Application>Microsoft Office Word</Application>
  <DocSecurity>0</DocSecurity>
  <Lines>69</Lines>
  <Paragraphs>19</Paragraphs>
  <ScaleCrop>false</ScaleCrop>
  <Company/>
  <LinksUpToDate>false</LinksUpToDate>
  <CharactersWithSpaces>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Moshik Mash</dc:creator>
  <cp:keywords/>
  <dc:description/>
  <cp:lastModifiedBy>Moshik Mash</cp:lastModifiedBy>
  <cp:revision>7</cp:revision>
  <dcterms:created xsi:type="dcterms:W3CDTF">2025-09-10T15:56:00Z</dcterms:created>
  <dcterms:modified xsi:type="dcterms:W3CDTF">2026-07-24T17:31:00Z</dcterms:modified>
</cp:coreProperties>
</file>