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w:t>
        </w:r>
      </w:hyperlink>
      <w:r>
        <w:rPr>
          <w:rFonts w:ascii="Calibri" w:hAnsi="Calibri"/>
        </w:rPr>
        <w:t xml:space="preserve"> | </w:t>
      </w:r>
      <w:hyperlink r:id="rId11">
        <w:r>
          <w:rPr>
            <w:color w:val="0563C1"/>
            <w:u w:val="single"/>
          </w:rPr>
          <w:t>Google Scholar</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2021). Building on that data, I developed a model that predicts stuckness from real-time indicators such as code artifacts, and an algorithm that times an intervention as close as possible to the onset of stuckness (VL/HCC 2022).</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w:t>
      </w:r>
      <w:r>
        <w:rPr>
          <w:rFonts w:ascii="Calibri" w:eastAsia="Calibri" w:hAnsi="Calibri"/>
          <w:b/>
        </w:rPr>
        <w:t>Best Paper Award, ACM EC 2016</w:t>
      </w:r>
      <w:r>
        <w:rPr>
          <w:rFonts w:ascii="Calibri" w:eastAsia="Calibri" w:hAnsi="Calibri"/>
        </w:rPr>
        <w:t xml:space="preserve">; IJCAI 2017; JACM 2017; </w:t>
      </w:r>
      <w:r>
        <w:rPr>
          <w:rFonts w:ascii="Calibri" w:eastAsia="Calibri" w:hAnsi="Calibri"/>
          <w:b/>
        </w:rPr>
        <w:t>CACM Research Highlight 2018</w:t>
      </w:r>
      <w:r>
        <w:rPr>
          <w:rFonts w:ascii="Calibri" w:eastAsia="Calibri" w:hAnsi="Calibri"/>
        </w:rPr>
        <w:t>). A second line studied coalition formation in weighted voting games, combining cooperative game theory with machine learning to predict how people form coalitions, and designing an agent that negotiates with people and outperformed human players (IJCAI 2017; ACM TIST 2020).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(AIJ 2014;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companies identify where AI can solve their core challenges, then designs and delivers the solution end to end, from proof of concept to production.</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440FEF07" w14:textId="77777777" w:rsidR="008A7AD0" w:rsidRPr="00F4276E" w:rsidRDefault="008A7AD0" w:rsidP="008A7AD0">
      <w:pPr>
        <w:numPr>
          <w:ilvl w:val="0"/>
          <w:numId w:val="25"/>
        </w:numPr>
      </w:pPr>
      <w:r>
        <w:rPr>
          <w:rFonts w:ascii="Calibri" w:eastAsia="Calibri" w:hAnsi="Calibri"/>
        </w:rPr>
        <w:t>Presented the system and its business results to senior leadership at the company.</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(2017). Which Is the Fairest (Rent Division) of Them All? IJCAI. (Best Sister Conferences track, extended abstract)</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scholar.google.com/citations?user=mcwLwPo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