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CA89">
      <w:r>
        <w:drawing>
          <wp:anchor distT="0" distB="0" distL="114300" distR="114300" simplePos="0" relativeHeight="251659264" behindDoc="0" locked="0" layoutInCell="1" allowOverlap="1">
            <wp:simplePos x="0" y="0"/>
            <wp:positionH relativeFrom="margin">
              <wp:posOffset>649605</wp:posOffset>
            </wp:positionH>
            <wp:positionV relativeFrom="paragraph">
              <wp:posOffset>140335</wp:posOffset>
            </wp:positionV>
            <wp:extent cx="4152900" cy="533400"/>
            <wp:effectExtent l="0" t="0" r="0" b="0"/>
            <wp:wrapNone/>
            <wp:docPr id="2" name="图片 2" descr="校名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152900" cy="5334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-96520</wp:posOffset>
            </wp:positionH>
            <wp:positionV relativeFrom="paragraph">
              <wp:posOffset>3810</wp:posOffset>
            </wp:positionV>
            <wp:extent cx="817245" cy="866140"/>
            <wp:effectExtent l="0" t="0" r="1905" b="635"/>
            <wp:wrapNone/>
            <wp:docPr id="3" name="图片 7" descr="未标题-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未标题-12"/>
                    <pic:cNvPicPr>
                      <a:picLocks noChangeAspect="1"/>
                    </pic:cNvPicPr>
                  </pic:nvPicPr>
                  <pic:blipFill>
                    <a:blip r:embed="rId11"/>
                    <a:stretch>
                      <a:fillRect/>
                    </a:stretch>
                  </pic:blipFill>
                  <pic:spPr>
                    <a:xfrm>
                      <a:off x="0" y="0"/>
                      <a:ext cx="817245" cy="866140"/>
                    </a:xfrm>
                    <a:prstGeom prst="rect">
                      <a:avLst/>
                    </a:prstGeom>
                    <a:noFill/>
                    <a:ln>
                      <a:noFill/>
                    </a:ln>
                  </pic:spPr>
                </pic:pic>
              </a:graphicData>
            </a:graphic>
          </wp:anchor>
        </w:drawing>
      </w:r>
    </w:p>
    <w:p w14:paraId="2B3ED90A">
      <w:pPr>
        <w:rPr>
          <w:b/>
          <w:sz w:val="72"/>
          <w:szCs w:val="72"/>
        </w:rPr>
      </w:pPr>
    </w:p>
    <w:p w14:paraId="2519246F">
      <w:pPr>
        <w:jc w:val="center"/>
        <w:rPr>
          <w:b/>
          <w:sz w:val="72"/>
          <w:szCs w:val="72"/>
        </w:rPr>
      </w:pPr>
      <w:r>
        <w:rPr>
          <w:rFonts w:hint="eastAsia"/>
          <w:b/>
          <w:sz w:val="72"/>
          <w:szCs w:val="72"/>
        </w:rPr>
        <w:t>本科毕业论文</w:t>
      </w:r>
    </w:p>
    <w:p w14:paraId="50977AF5">
      <w:pPr>
        <w:jc w:val="center"/>
        <w:rPr>
          <w:b/>
          <w:sz w:val="72"/>
          <w:szCs w:val="72"/>
        </w:rPr>
      </w:pPr>
    </w:p>
    <w:p w14:paraId="5E54F187">
      <w:pPr>
        <w:spacing w:line="360" w:lineRule="auto"/>
        <w:ind w:left="1606" w:hanging="1606" w:hangingChars="500"/>
        <w:rPr>
          <w:sz w:val="36"/>
          <w:szCs w:val="36"/>
          <w:u w:val="single"/>
        </w:rPr>
      </w:pPr>
      <w:r>
        <w:rPr>
          <w:rFonts w:hint="eastAsia"/>
          <w:b/>
          <w:sz w:val="32"/>
          <w:szCs w:val="32"/>
        </w:rPr>
        <w:t>中文题目：</w:t>
      </w:r>
      <w:r>
        <w:rPr>
          <w:rFonts w:hint="eastAsia" w:ascii="黑体" w:hAnsi="黑体" w:eastAsia="黑体" w:cs="黑体"/>
          <w:bCs/>
          <w:sz w:val="32"/>
          <w:szCs w:val="32"/>
          <w:u w:val="thick"/>
        </w:rPr>
        <w:t>新零售模式下盒马鲜生商业模式创新研究——以重庆市场为例</w:t>
      </w:r>
    </w:p>
    <w:p w14:paraId="1D83D1A3">
      <w:pPr>
        <w:spacing w:line="360" w:lineRule="auto"/>
        <w:rPr>
          <w:b/>
          <w:sz w:val="72"/>
          <w:szCs w:val="72"/>
        </w:rPr>
      </w:pPr>
      <w:r>
        <w:rPr>
          <w:sz w:val="28"/>
          <w:szCs w:val="32"/>
        </w:rPr>
        <w:t xml:space="preserve">   </w:t>
      </w:r>
    </w:p>
    <w:p w14:paraId="650E2D4F">
      <w:pPr>
        <w:spacing w:line="360" w:lineRule="auto"/>
        <w:ind w:firstLine="966" w:firstLineChars="345"/>
        <w:rPr>
          <w:rFonts w:eastAsia="黑体"/>
          <w:sz w:val="28"/>
        </w:rPr>
      </w:pPr>
      <w:r>
        <w:rPr>
          <w:rFonts w:hint="eastAsia" w:eastAsia="黑体"/>
          <w:sz w:val="28"/>
        </w:rPr>
        <w:t>学    院</w:t>
      </w:r>
      <w:r>
        <w:rPr>
          <w:rFonts w:eastAsia="黑体"/>
          <w:sz w:val="28"/>
        </w:rPr>
        <w:t xml:space="preserve">  </w:t>
      </w:r>
      <w:r>
        <w:rPr>
          <w:rFonts w:eastAsia="黑体"/>
          <w:sz w:val="28"/>
          <w:szCs w:val="28"/>
          <w:u w:val="single"/>
        </w:rPr>
        <w:t xml:space="preserve">   </w:t>
      </w:r>
      <w:r>
        <w:rPr>
          <w:rFonts w:hint="eastAsia" w:eastAsia="黑体"/>
          <w:sz w:val="28"/>
          <w:szCs w:val="28"/>
          <w:u w:val="single"/>
        </w:rPr>
        <w:t xml:space="preserve">      网络与继续教育学院</w:t>
      </w:r>
    </w:p>
    <w:p w14:paraId="021A87B6">
      <w:pPr>
        <w:spacing w:line="360" w:lineRule="auto"/>
        <w:ind w:firstLine="966" w:firstLineChars="345"/>
        <w:rPr>
          <w:rFonts w:eastAsia="黑体"/>
          <w:sz w:val="28"/>
        </w:rPr>
      </w:pPr>
      <w:r>
        <w:rPr>
          <w:rFonts w:hint="eastAsia" w:eastAsia="黑体"/>
          <w:sz w:val="28"/>
        </w:rPr>
        <w:t>专</w:t>
      </w:r>
      <w:r>
        <w:rPr>
          <w:rFonts w:eastAsia="黑体"/>
          <w:sz w:val="28"/>
        </w:rPr>
        <w:t xml:space="preserve">    </w:t>
      </w:r>
      <w:r>
        <w:rPr>
          <w:rFonts w:hint="eastAsia" w:eastAsia="黑体"/>
          <w:sz w:val="28"/>
        </w:rPr>
        <w:t>业</w:t>
      </w:r>
      <w:r>
        <w:rPr>
          <w:rFonts w:eastAsia="黑体"/>
          <w:sz w:val="28"/>
        </w:rPr>
        <w:t xml:space="preserve">  </w:t>
      </w:r>
      <w:r>
        <w:rPr>
          <w:rFonts w:eastAsia="黑体"/>
          <w:sz w:val="28"/>
          <w:u w:val="single"/>
        </w:rPr>
        <w:t xml:space="preserve">    </w:t>
      </w:r>
      <w:r>
        <w:rPr>
          <w:rFonts w:hint="eastAsia" w:eastAsia="黑体"/>
          <w:sz w:val="28"/>
          <w:u w:val="single"/>
        </w:rPr>
        <w:t xml:space="preserve">       工商管理</w:t>
      </w:r>
    </w:p>
    <w:p w14:paraId="4ED4FDB3">
      <w:pPr>
        <w:spacing w:line="360" w:lineRule="auto"/>
        <w:ind w:firstLine="966" w:firstLineChars="345"/>
        <w:rPr>
          <w:rFonts w:ascii="Times New Roman" w:hAnsi="Times New Roman" w:eastAsia="黑体" w:cs="Times New Roman"/>
          <w:sz w:val="28"/>
          <w:u w:val="single"/>
        </w:rPr>
      </w:pPr>
      <w:r>
        <w:rPr>
          <w:rFonts w:hint="eastAsia" w:eastAsia="黑体"/>
          <w:sz w:val="28"/>
        </w:rPr>
        <w:t>年</w:t>
      </w:r>
      <w:r>
        <w:rPr>
          <w:rFonts w:eastAsia="黑体"/>
          <w:sz w:val="28"/>
        </w:rPr>
        <w:t xml:space="preserve">    </w:t>
      </w:r>
      <w:r>
        <w:rPr>
          <w:rFonts w:hint="eastAsia" w:eastAsia="黑体"/>
          <w:sz w:val="28"/>
        </w:rPr>
        <w:t>级</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cs="Times New Roman"/>
          <w:sz w:val="28"/>
          <w:u w:val="single"/>
        </w:rPr>
        <w:t>2022级</w:t>
      </w:r>
    </w:p>
    <w:p w14:paraId="5C1598CA">
      <w:pPr>
        <w:spacing w:line="360" w:lineRule="auto"/>
        <w:ind w:firstLine="966" w:firstLineChars="345"/>
        <w:rPr>
          <w:rFonts w:eastAsia="黑体"/>
          <w:sz w:val="28"/>
        </w:rPr>
      </w:pPr>
      <w:r>
        <w:rPr>
          <w:rFonts w:ascii="Times New Roman" w:hAnsi="Times New Roman" w:eastAsia="黑体" w:cs="Times New Roman"/>
          <w:sz w:val="28"/>
        </w:rPr>
        <w:t xml:space="preserve">学    号  </w:t>
      </w:r>
      <w:r>
        <w:rPr>
          <w:rFonts w:ascii="Times New Roman" w:hAnsi="Times New Roman" w:eastAsia="黑体" w:cs="Times New Roman"/>
          <w:sz w:val="28"/>
          <w:u w:val="single"/>
        </w:rPr>
        <w:t xml:space="preserve">        20221136040088</w:t>
      </w:r>
    </w:p>
    <w:p w14:paraId="093AB837">
      <w:pPr>
        <w:spacing w:line="360" w:lineRule="auto"/>
        <w:ind w:firstLine="966" w:firstLineChars="345"/>
        <w:rPr>
          <w:rFonts w:eastAsia="黑体"/>
          <w:sz w:val="28"/>
        </w:rPr>
      </w:pPr>
      <w:r>
        <w:rPr>
          <w:rFonts w:hint="eastAsia" w:eastAsia="黑体"/>
          <w:sz w:val="28"/>
        </w:rPr>
        <w:t>学生姓名</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张三</w:t>
      </w:r>
    </w:p>
    <w:p w14:paraId="2CB9CD47">
      <w:pPr>
        <w:spacing w:line="360" w:lineRule="auto"/>
        <w:ind w:firstLine="966" w:firstLineChars="345"/>
        <w:rPr>
          <w:rFonts w:eastAsia="黑体"/>
          <w:sz w:val="30"/>
        </w:rPr>
      </w:pPr>
      <w:r>
        <w:rPr>
          <w:rFonts w:hint="eastAsia" w:eastAsia="黑体"/>
          <w:sz w:val="28"/>
        </w:rPr>
        <w:t>指导教师</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李四</w:t>
      </w:r>
    </w:p>
    <w:p w14:paraId="6F04F894">
      <w:pPr>
        <w:spacing w:line="360" w:lineRule="auto"/>
        <w:ind w:firstLine="966" w:firstLineChars="345"/>
        <w:rPr>
          <w:rFonts w:ascii="宋体" w:hAnsi="宋体"/>
          <w:sz w:val="28"/>
          <w:u w:val="single"/>
        </w:rPr>
      </w:pPr>
      <w:r>
        <w:rPr>
          <w:rFonts w:hint="eastAsia" w:eastAsia="黑体"/>
          <w:sz w:val="28"/>
        </w:rPr>
        <w:t>结稿日期</w:t>
      </w:r>
      <w:r>
        <w:rPr>
          <w:rFonts w:eastAsia="黑体"/>
          <w:sz w:val="30"/>
        </w:rPr>
        <w:t xml:space="preserve">  </w:t>
      </w:r>
      <w:r>
        <w:rPr>
          <w:rFonts w:eastAsia="黑体"/>
          <w:sz w:val="28"/>
          <w:u w:val="single"/>
        </w:rPr>
        <w:t xml:space="preserve">   </w:t>
      </w:r>
      <w:r>
        <w:rPr>
          <w:rFonts w:hint="eastAsia" w:eastAsia="黑体"/>
          <w:sz w:val="28"/>
          <w:u w:val="single"/>
        </w:rPr>
        <w:t xml:space="preserve">    </w:t>
      </w:r>
      <w:r>
        <w:rPr>
          <w:rFonts w:hint="eastAsia" w:ascii="Times New Roman" w:hAnsi="Times New Roman" w:eastAsia="黑体" w:cs="Times New Roman"/>
          <w:sz w:val="28"/>
          <w:u w:val="single"/>
        </w:rPr>
        <w:t>2026年6月6日</w:t>
      </w:r>
    </w:p>
    <w:p w14:paraId="2CC1332A">
      <w:pPr>
        <w:spacing w:line="360" w:lineRule="auto"/>
        <w:rPr>
          <w:rFonts w:ascii="楷体_GB2312" w:hAnsi="华文仿宋" w:eastAsia="楷体_GB2312"/>
          <w:b/>
        </w:rPr>
      </w:pPr>
    </w:p>
    <w:p w14:paraId="7A1C0A07">
      <w:pPr>
        <w:spacing w:line="360" w:lineRule="auto"/>
        <w:jc w:val="center"/>
        <w:rPr>
          <w:rFonts w:ascii="楷体_GB2312" w:hAnsi="华文仿宋" w:eastAsia="楷体_GB2312"/>
          <w:b/>
          <w:sz w:val="36"/>
        </w:rPr>
      </w:pPr>
    </w:p>
    <w:p w14:paraId="61681A49">
      <w:pPr>
        <w:spacing w:line="360" w:lineRule="auto"/>
        <w:jc w:val="center"/>
        <w:rPr>
          <w:rFonts w:ascii="楷体_GB2312" w:hAnsi="华文仿宋" w:eastAsia="楷体_GB2312"/>
          <w:b/>
          <w:sz w:val="36"/>
        </w:rPr>
      </w:pPr>
    </w:p>
    <w:p w14:paraId="0AD48D3B">
      <w:pPr>
        <w:spacing w:line="360" w:lineRule="auto"/>
        <w:jc w:val="center"/>
      </w:pPr>
      <w:r>
        <w:rPr>
          <w:rFonts w:hint="eastAsia" w:ascii="楷体_GB2312" w:hAnsi="华文仿宋" w:eastAsia="楷体_GB2312"/>
          <w:b/>
          <w:sz w:val="36"/>
        </w:rPr>
        <w:t>四川外国语大学制</w:t>
      </w:r>
    </w:p>
    <w:p w14:paraId="173AC20A">
      <w:pPr>
        <w:spacing w:line="400" w:lineRule="atLeast"/>
        <w:rPr>
          <w:rFonts w:ascii="黑体" w:hAnsi="黑体" w:eastAsia="黑体" w:cs="黑体"/>
          <w:b/>
          <w:sz w:val="30"/>
          <w:szCs w:val="30"/>
        </w:rPr>
      </w:pPr>
    </w:p>
    <w:p w14:paraId="45F84215">
      <w:pPr>
        <w:rPr>
          <w:rFonts w:ascii="黑体" w:hAnsi="黑体" w:eastAsia="黑体" w:cs="黑体"/>
          <w:b/>
          <w:sz w:val="30"/>
          <w:szCs w:val="30"/>
        </w:rPr>
      </w:pPr>
      <w:r>
        <w:rPr>
          <w:rFonts w:ascii="黑体" w:hAnsi="黑体" w:eastAsia="黑体" w:cs="黑体"/>
          <w:b/>
          <w:sz w:val="30"/>
          <w:szCs w:val="30"/>
        </w:rPr>
        <w:br w:type="page"/>
      </w:r>
    </w:p>
    <w:p w14:paraId="2F433027">
      <w:pPr>
        <w:spacing w:line="400" w:lineRule="atLeast"/>
        <w:rPr>
          <w:rFonts w:ascii="黑体" w:hAnsi="黑体" w:eastAsia="黑体" w:cs="黑体"/>
          <w:b/>
          <w:sz w:val="30"/>
          <w:szCs w:val="30"/>
        </w:rPr>
      </w:pPr>
    </w:p>
    <w:p w14:paraId="600BF6B2">
      <w:pPr>
        <w:widowControl/>
        <w:shd w:val="clear" w:color="auto" w:fill="FFFFFF"/>
        <w:spacing w:line="480" w:lineRule="auto"/>
        <w:jc w:val="center"/>
        <w:outlineLvl w:val="2"/>
        <w:rPr>
          <w:rFonts w:ascii="黑体" w:hAnsi="黑体" w:eastAsia="黑体" w:cs="宋体"/>
          <w:b/>
          <w:kern w:val="0"/>
          <w:sz w:val="48"/>
          <w:szCs w:val="48"/>
        </w:rPr>
      </w:pPr>
      <w:bookmarkStart w:id="0" w:name="_Toc24588"/>
      <w:r>
        <w:rPr>
          <w:rFonts w:hint="eastAsia" w:ascii="黑体" w:hAnsi="黑体" w:eastAsia="黑体" w:cs="宋体"/>
          <w:b/>
          <w:kern w:val="0"/>
          <w:sz w:val="48"/>
          <w:szCs w:val="48"/>
        </w:rPr>
        <w:t>诚信承诺书</w:t>
      </w:r>
      <w:bookmarkEnd w:id="0"/>
    </w:p>
    <w:p w14:paraId="4603E70D">
      <w:pPr>
        <w:widowControl/>
        <w:shd w:val="clear" w:color="auto" w:fill="FFFFFF"/>
        <w:ind w:firstLine="700" w:firstLineChars="250"/>
        <w:jc w:val="left"/>
        <w:rPr>
          <w:rFonts w:ascii="Times New Roman" w:hAnsi="Times New Roman"/>
          <w:kern w:val="28"/>
          <w:sz w:val="28"/>
          <w:szCs w:val="28"/>
        </w:rPr>
      </w:pPr>
    </w:p>
    <w:p w14:paraId="1EC3B624">
      <w:pPr>
        <w:widowControl/>
        <w:shd w:val="clear" w:color="auto" w:fill="FFFFFF"/>
        <w:ind w:firstLine="560" w:firstLineChars="200"/>
        <w:jc w:val="left"/>
        <w:rPr>
          <w:rFonts w:ascii="Times New Roman" w:hAnsi="Times New Roman"/>
          <w:kern w:val="28"/>
          <w:sz w:val="28"/>
          <w:szCs w:val="28"/>
        </w:rPr>
      </w:pPr>
      <w:r>
        <w:rPr>
          <w:rFonts w:hint="eastAsia" w:ascii="Times New Roman" w:hAnsi="Times New Roman"/>
          <w:kern w:val="28"/>
          <w:sz w:val="28"/>
          <w:szCs w:val="28"/>
        </w:rPr>
        <w:t>我承诺在毕业论文撰写过程中严格遵守学校有关规定，在指导教师的安排与指导下独立完成所规定的毕业论文工作，决不弄虚作假，不请别人代写毕业论文或抄袭别人成果。所撰写的毕业论文是在指导老师的指导下自主完成，文中所有引文或引用数据、图表均注解并说明来源，如涉及知识产权纠纷，由本人负完全责任。</w:t>
      </w:r>
    </w:p>
    <w:p w14:paraId="552F4371">
      <w:pPr>
        <w:widowControl/>
        <w:shd w:val="clear" w:color="auto" w:fill="FFFFFF"/>
        <w:ind w:firstLine="560" w:firstLineChars="200"/>
        <w:jc w:val="left"/>
        <w:rPr>
          <w:rFonts w:ascii="Times New Roman" w:hAnsi="Times New Roman"/>
          <w:kern w:val="28"/>
          <w:sz w:val="28"/>
          <w:szCs w:val="28"/>
        </w:rPr>
      </w:pPr>
    </w:p>
    <w:p w14:paraId="113B2104">
      <w:pPr>
        <w:widowControl/>
        <w:shd w:val="clear" w:color="auto" w:fill="FFFFFF"/>
        <w:ind w:firstLine="560" w:firstLineChars="200"/>
        <w:jc w:val="left"/>
        <w:rPr>
          <w:rFonts w:ascii="Times New Roman" w:hAnsi="Times New Roman"/>
          <w:kern w:val="28"/>
          <w:sz w:val="28"/>
          <w:szCs w:val="28"/>
        </w:rPr>
      </w:pPr>
    </w:p>
    <w:p w14:paraId="246E5D90">
      <w:pPr>
        <w:widowControl/>
        <w:shd w:val="clear" w:color="auto" w:fill="FFFFFF"/>
        <w:ind w:firstLine="4340" w:firstLineChars="1550"/>
        <w:jc w:val="left"/>
        <w:rPr>
          <w:rFonts w:ascii="Times New Roman" w:hAnsi="Times New Roman"/>
          <w:kern w:val="28"/>
          <w:sz w:val="28"/>
          <w:szCs w:val="28"/>
        </w:rPr>
      </w:pPr>
      <w:r>
        <w:rPr>
          <w:rFonts w:hint="eastAsia" w:ascii="Times New Roman" w:hAnsi="Times New Roman"/>
          <w:kern w:val="28"/>
          <w:sz w:val="28"/>
          <w:szCs w:val="28"/>
        </w:rPr>
        <w:t>承诺人：</w:t>
      </w:r>
    </w:p>
    <w:p w14:paraId="07A3AE19">
      <w:pPr>
        <w:widowControl/>
        <w:shd w:val="clear" w:color="auto" w:fill="FFFFFF"/>
        <w:ind w:firstLine="4900" w:firstLineChars="1750"/>
        <w:jc w:val="left"/>
        <w:rPr>
          <w:rFonts w:ascii="Times New Roman" w:hAnsi="Times New Roman"/>
          <w:kern w:val="28"/>
          <w:sz w:val="28"/>
          <w:szCs w:val="28"/>
        </w:rPr>
      </w:pPr>
      <w:r>
        <w:rPr>
          <w:rFonts w:hint="eastAsia" w:ascii="Times New Roman" w:hAnsi="Times New Roman"/>
          <w:kern w:val="28"/>
          <w:sz w:val="28"/>
          <w:szCs w:val="28"/>
        </w:rPr>
        <w:t>年</w:t>
      </w:r>
      <w:r>
        <w:rPr>
          <w:rFonts w:ascii="Times New Roman" w:hAnsi="Times New Roman"/>
          <w:kern w:val="28"/>
          <w:sz w:val="28"/>
          <w:szCs w:val="28"/>
        </w:rPr>
        <w:t xml:space="preserve">  </w:t>
      </w:r>
      <w:r>
        <w:rPr>
          <w:rFonts w:hint="eastAsia" w:ascii="Times New Roman" w:hAnsi="Times New Roman"/>
          <w:kern w:val="28"/>
          <w:sz w:val="28"/>
          <w:szCs w:val="28"/>
        </w:rPr>
        <w:t>月</w:t>
      </w:r>
      <w:r>
        <w:rPr>
          <w:rFonts w:ascii="Times New Roman" w:hAnsi="Times New Roman"/>
          <w:kern w:val="28"/>
          <w:sz w:val="28"/>
          <w:szCs w:val="28"/>
        </w:rPr>
        <w:t xml:space="preserve">  </w:t>
      </w:r>
      <w:r>
        <w:rPr>
          <w:rFonts w:hint="eastAsia" w:ascii="Times New Roman" w:hAnsi="Times New Roman"/>
          <w:kern w:val="28"/>
          <w:sz w:val="28"/>
          <w:szCs w:val="28"/>
        </w:rPr>
        <w:t>日</w:t>
      </w:r>
    </w:p>
    <w:p w14:paraId="309AA505">
      <w:pPr>
        <w:sectPr>
          <w:pgSz w:w="11906" w:h="16838"/>
          <w:pgMar w:top="1440" w:right="1797" w:bottom="1440" w:left="1797" w:header="851" w:footer="992" w:gutter="567"/>
          <w:pgNumType w:start="1"/>
          <w:cols w:space="720" w:num="1"/>
          <w:docGrid w:type="lines" w:linePitch="312" w:charSpace="0"/>
        </w:sectPr>
      </w:pPr>
    </w:p>
    <w:p w14:paraId="14936548">
      <w:pPr>
        <w:jc w:val="center"/>
        <w:rPr>
          <w:rFonts w:ascii="黑体" w:hAnsi="黑体" w:eastAsia="黑体"/>
          <w:sz w:val="30"/>
          <w:szCs w:val="30"/>
        </w:rPr>
      </w:pPr>
      <w:r>
        <w:rPr>
          <w:rFonts w:ascii="黑体" w:hAnsi="黑体" w:eastAsia="黑体"/>
          <w:sz w:val="30"/>
          <w:szCs w:val="30"/>
        </w:rPr>
        <w:t>新零售模式下盒马鲜生商业模式创新研究——以重庆市场为例</w:t>
      </w:r>
    </w:p>
    <w:p w14:paraId="47736E86">
      <w:pPr>
        <w:rPr>
          <w:rFonts w:ascii="宋体" w:hAnsi="宋体" w:eastAsia="宋体"/>
          <w:sz w:val="24"/>
          <w:szCs w:val="24"/>
        </w:rPr>
      </w:pPr>
    </w:p>
    <w:p w14:paraId="49DC3917">
      <w:pPr>
        <w:rPr>
          <w:rFonts w:ascii="宋体" w:hAnsi="宋体" w:eastAsia="宋体"/>
          <w:sz w:val="24"/>
          <w:szCs w:val="24"/>
        </w:rPr>
      </w:pPr>
      <w:r>
        <w:rPr>
          <w:rFonts w:ascii="宋体" w:hAnsi="宋体" w:eastAsia="宋体"/>
          <w:b/>
          <w:bCs/>
          <w:sz w:val="24"/>
          <w:szCs w:val="24"/>
        </w:rPr>
        <w:t>摘  要：</w:t>
      </w:r>
      <w:r>
        <w:rPr>
          <w:rFonts w:ascii="宋体" w:hAnsi="宋体" w:eastAsia="宋体"/>
          <w:sz w:val="24"/>
          <w:szCs w:val="24"/>
        </w:rPr>
        <w:t>随着数字技术与实体零售的深度融合，新零售模式已成为零售业转型的重要方向。盒马鲜生作为新零售的典型代表，其商业模式创新备受关注。然而，其在区域市场拓展过程中，面临着本地化适应的现实挑战。本文以盒马鲜生在重庆市场的商业模式为研究对象，基于商业模式画布理论，从价值主张、价值创造、价值传递、价值获取四个维度，深入剖析其商业模式构成要素与运作机制，并结合重庆本地消费特征进行本地化创新分析。研究采用案例分析法、问卷调查法、访谈法和比较分析法，通过一手数据与二手数据相结合的方式，系统分析了盒马鲜生在重庆市场的本地化实践、存在的问题及成因。研究发现，盒马鲜生在重庆市场存在本地化选品不足、供应链效率待提升、消费者认知度不高、竞争压力大等问题。针对这些问题，本文提出了深化本地化选品、强化本地供应链、优化配送服务、加强品牌营销、实施差异化定价等优化建议，旨在为零售企业区域市场拓展提供实践参考。</w:t>
      </w:r>
    </w:p>
    <w:p w14:paraId="30169770">
      <w:pPr>
        <w:rPr>
          <w:rFonts w:ascii="宋体" w:hAnsi="宋体" w:eastAsia="宋体"/>
          <w:sz w:val="24"/>
          <w:szCs w:val="24"/>
        </w:rPr>
      </w:pPr>
    </w:p>
    <w:p w14:paraId="21CF32F5">
      <w:pPr>
        <w:rPr>
          <w:rFonts w:ascii="宋体" w:hAnsi="宋体" w:eastAsia="宋体"/>
          <w:sz w:val="24"/>
          <w:szCs w:val="24"/>
        </w:rPr>
      </w:pPr>
      <w:r>
        <w:rPr>
          <w:rFonts w:ascii="宋体" w:hAnsi="宋体" w:eastAsia="宋体"/>
          <w:b/>
          <w:bCs/>
          <w:sz w:val="24"/>
          <w:szCs w:val="24"/>
        </w:rPr>
        <w:t>关键词：</w:t>
      </w:r>
      <w:r>
        <w:rPr>
          <w:rFonts w:ascii="宋体" w:hAnsi="宋体" w:eastAsia="宋体"/>
          <w:sz w:val="24"/>
          <w:szCs w:val="24"/>
        </w:rPr>
        <w:t>新零售；商业模式创新；盒马鲜生；本地化；重庆市场</w:t>
      </w:r>
    </w:p>
    <w:p w14:paraId="1E72617E">
      <w:pPr>
        <w:sectPr>
          <w:headerReference r:id="rId3" w:type="default"/>
          <w:footerReference r:id="rId4" w:type="default"/>
          <w:pgSz w:w="11906" w:h="16838"/>
          <w:pgMar w:top="1440" w:right="1800" w:bottom="1440" w:left="1800" w:header="851" w:footer="992" w:gutter="0"/>
          <w:pgNumType w:fmt="upperRoman" w:start="1"/>
          <w:cols w:space="425" w:num="1"/>
          <w:docGrid w:type="lines" w:linePitch="312" w:charSpace="0"/>
        </w:sectPr>
      </w:pPr>
    </w:p>
    <w:p w14:paraId="3C8E2CA0">
      <w:pPr>
        <w:spacing w:line="400" w:lineRule="exact"/>
        <w:jc w:val="center"/>
        <w:rPr>
          <w:rFonts w:ascii="黑体" w:hAnsi="黑体" w:eastAsia="黑体" w:cs="黑体"/>
          <w:sz w:val="28"/>
          <w:szCs w:val="28"/>
        </w:rPr>
      </w:pPr>
      <w:bookmarkStart w:id="1" w:name="_Toc416868394"/>
      <w:r>
        <w:rPr>
          <w:rFonts w:hint="eastAsia" w:ascii="黑体" w:hAnsi="黑体" w:eastAsia="黑体" w:cs="黑体"/>
          <w:sz w:val="28"/>
          <w:szCs w:val="28"/>
        </w:rPr>
        <w:t>目  录</w:t>
      </w:r>
      <w:bookmarkEnd w:id="1"/>
    </w:p>
    <w:p w14:paraId="2490EE0E">
      <w:pPr>
        <w:pStyle w:val="4"/>
        <w:tabs>
          <w:tab w:val="right" w:leader="dot" w:pos="7745"/>
        </w:tabs>
      </w:pPr>
      <w:r>
        <w:fldChar w:fldCharType="begin"/>
      </w:r>
      <w:r>
        <w:instrText xml:space="preserve"> TOC \o "1-3" \h \z \u </w:instrText>
      </w:r>
      <w:r>
        <w:fldChar w:fldCharType="separate"/>
      </w:r>
      <w:r>
        <w:fldChar w:fldCharType="begin"/>
      </w:r>
      <w:r>
        <w:instrText xml:space="preserve"> HYPERLINK \l _Toc24588 </w:instrText>
      </w:r>
      <w:r>
        <w:fldChar w:fldCharType="separate"/>
      </w:r>
      <w:r>
        <w:rPr>
          <w:rFonts w:hint="eastAsia" w:ascii="黑体" w:hAnsi="黑体" w:eastAsia="黑体" w:cs="宋体"/>
          <w:kern w:val="0"/>
          <w:szCs w:val="48"/>
        </w:rPr>
        <w:t>诚信承诺书</w:t>
      </w:r>
      <w:r>
        <w:tab/>
      </w:r>
      <w:r>
        <w:fldChar w:fldCharType="begin"/>
      </w:r>
      <w:r>
        <w:instrText xml:space="preserve"> PAGEREF _Toc24588 \h </w:instrText>
      </w:r>
      <w:r>
        <w:fldChar w:fldCharType="separate"/>
      </w:r>
      <w:r>
        <w:t>2</w:t>
      </w:r>
      <w:r>
        <w:fldChar w:fldCharType="end"/>
      </w:r>
      <w:r>
        <w:fldChar w:fldCharType="end"/>
      </w:r>
    </w:p>
    <w:p w14:paraId="4916E2C4">
      <w:pPr>
        <w:pStyle w:val="7"/>
        <w:tabs>
          <w:tab w:val="right" w:leader="dot" w:pos="7745"/>
          <w:tab w:val="clear" w:pos="9061"/>
        </w:tabs>
      </w:pPr>
      <w:r>
        <w:fldChar w:fldCharType="begin"/>
      </w:r>
      <w:r>
        <w:instrText xml:space="preserve"> HYPERLINK \l _Toc1894 </w:instrText>
      </w:r>
      <w:r>
        <w:fldChar w:fldCharType="separate"/>
      </w:r>
      <w:r>
        <w:rPr>
          <w:rFonts w:ascii="黑体" w:hAnsi="黑体" w:eastAsia="黑体"/>
          <w:szCs w:val="30"/>
        </w:rPr>
        <w:t>第一章 绪论</w:t>
      </w:r>
      <w:r>
        <w:tab/>
      </w:r>
      <w:r>
        <w:fldChar w:fldCharType="begin"/>
      </w:r>
      <w:r>
        <w:instrText xml:space="preserve"> PAGEREF _Toc1894 \h </w:instrText>
      </w:r>
      <w:r>
        <w:fldChar w:fldCharType="separate"/>
      </w:r>
      <w:r>
        <w:t>1</w:t>
      </w:r>
      <w:r>
        <w:fldChar w:fldCharType="end"/>
      </w:r>
      <w:r>
        <w:fldChar w:fldCharType="end"/>
      </w:r>
    </w:p>
    <w:p w14:paraId="07D304FA">
      <w:pPr>
        <w:pStyle w:val="8"/>
        <w:tabs>
          <w:tab w:val="right" w:leader="dot" w:pos="7745"/>
        </w:tabs>
      </w:pPr>
      <w:r>
        <w:fldChar w:fldCharType="begin"/>
      </w:r>
      <w:r>
        <w:instrText xml:space="preserve"> HYPERLINK \l _Toc18810 </w:instrText>
      </w:r>
      <w:r>
        <w:fldChar w:fldCharType="separate"/>
      </w:r>
      <w:r>
        <w:rPr>
          <w:rFonts w:ascii="黑体" w:hAnsi="黑体" w:eastAsia="黑体"/>
          <w:szCs w:val="28"/>
        </w:rPr>
        <w:t>1.1 研究背景</w:t>
      </w:r>
      <w:r>
        <w:tab/>
      </w:r>
      <w:r>
        <w:fldChar w:fldCharType="begin"/>
      </w:r>
      <w:r>
        <w:instrText xml:space="preserve"> PAGEREF _Toc18810 \h </w:instrText>
      </w:r>
      <w:r>
        <w:fldChar w:fldCharType="separate"/>
      </w:r>
      <w:r>
        <w:t>1</w:t>
      </w:r>
      <w:r>
        <w:fldChar w:fldCharType="end"/>
      </w:r>
      <w:r>
        <w:fldChar w:fldCharType="end"/>
      </w:r>
    </w:p>
    <w:p w14:paraId="137E52DC">
      <w:pPr>
        <w:pStyle w:val="8"/>
        <w:tabs>
          <w:tab w:val="right" w:leader="dot" w:pos="7745"/>
        </w:tabs>
      </w:pPr>
      <w:r>
        <w:fldChar w:fldCharType="begin"/>
      </w:r>
      <w:r>
        <w:instrText xml:space="preserve"> HYPERLINK \l _Toc26632 </w:instrText>
      </w:r>
      <w:r>
        <w:fldChar w:fldCharType="separate"/>
      </w:r>
      <w:r>
        <w:rPr>
          <w:rFonts w:ascii="黑体" w:hAnsi="黑体" w:eastAsia="黑体"/>
          <w:szCs w:val="28"/>
        </w:rPr>
        <w:t>1.2 研究意义</w:t>
      </w:r>
      <w:r>
        <w:tab/>
      </w:r>
      <w:r>
        <w:fldChar w:fldCharType="begin"/>
      </w:r>
      <w:r>
        <w:instrText xml:space="preserve"> PAGEREF _Toc26632 \h </w:instrText>
      </w:r>
      <w:r>
        <w:fldChar w:fldCharType="separate"/>
      </w:r>
      <w:r>
        <w:t>1</w:t>
      </w:r>
      <w:r>
        <w:fldChar w:fldCharType="end"/>
      </w:r>
      <w:r>
        <w:fldChar w:fldCharType="end"/>
      </w:r>
    </w:p>
    <w:p w14:paraId="14483DDC">
      <w:pPr>
        <w:pStyle w:val="4"/>
        <w:tabs>
          <w:tab w:val="right" w:leader="dot" w:pos="7745"/>
        </w:tabs>
      </w:pPr>
      <w:r>
        <w:fldChar w:fldCharType="begin"/>
      </w:r>
      <w:r>
        <w:instrText xml:space="preserve"> HYPERLINK \l _Toc30317 </w:instrText>
      </w:r>
      <w:r>
        <w:fldChar w:fldCharType="separate"/>
      </w:r>
      <w:r>
        <w:rPr>
          <w:rFonts w:ascii="黑体" w:hAnsi="黑体" w:eastAsia="黑体"/>
          <w:szCs w:val="24"/>
        </w:rPr>
        <w:t>1. 理论意义</w:t>
      </w:r>
      <w:r>
        <w:tab/>
      </w:r>
      <w:r>
        <w:fldChar w:fldCharType="begin"/>
      </w:r>
      <w:r>
        <w:instrText xml:space="preserve"> PAGEREF _Toc30317 \h </w:instrText>
      </w:r>
      <w:r>
        <w:fldChar w:fldCharType="separate"/>
      </w:r>
      <w:r>
        <w:t>1</w:t>
      </w:r>
      <w:r>
        <w:fldChar w:fldCharType="end"/>
      </w:r>
      <w:r>
        <w:fldChar w:fldCharType="end"/>
      </w:r>
    </w:p>
    <w:p w14:paraId="0573CD19">
      <w:pPr>
        <w:pStyle w:val="4"/>
        <w:tabs>
          <w:tab w:val="right" w:leader="dot" w:pos="7745"/>
        </w:tabs>
      </w:pPr>
      <w:r>
        <w:fldChar w:fldCharType="begin"/>
      </w:r>
      <w:r>
        <w:instrText xml:space="preserve"> HYPERLINK \l _Toc963 </w:instrText>
      </w:r>
      <w:r>
        <w:fldChar w:fldCharType="separate"/>
      </w:r>
      <w:r>
        <w:rPr>
          <w:rFonts w:ascii="黑体" w:hAnsi="黑体" w:eastAsia="黑体"/>
          <w:szCs w:val="24"/>
        </w:rPr>
        <w:t>2. 实践意义</w:t>
      </w:r>
      <w:r>
        <w:tab/>
      </w:r>
      <w:r>
        <w:fldChar w:fldCharType="begin"/>
      </w:r>
      <w:r>
        <w:instrText xml:space="preserve"> PAGEREF _Toc963 \h </w:instrText>
      </w:r>
      <w:r>
        <w:fldChar w:fldCharType="separate"/>
      </w:r>
      <w:r>
        <w:t>1</w:t>
      </w:r>
      <w:r>
        <w:fldChar w:fldCharType="end"/>
      </w:r>
      <w:r>
        <w:fldChar w:fldCharType="end"/>
      </w:r>
    </w:p>
    <w:p w14:paraId="35773F4D">
      <w:pPr>
        <w:pStyle w:val="8"/>
        <w:tabs>
          <w:tab w:val="right" w:leader="dot" w:pos="7745"/>
        </w:tabs>
      </w:pPr>
      <w:r>
        <w:fldChar w:fldCharType="begin"/>
      </w:r>
      <w:r>
        <w:instrText xml:space="preserve"> HYPERLINK \l _Toc3616 </w:instrText>
      </w:r>
      <w:r>
        <w:fldChar w:fldCharType="separate"/>
      </w:r>
      <w:r>
        <w:rPr>
          <w:rFonts w:ascii="黑体" w:hAnsi="黑体" w:eastAsia="黑体"/>
          <w:szCs w:val="28"/>
        </w:rPr>
        <w:t>1.3 研究内容</w:t>
      </w:r>
      <w:r>
        <w:tab/>
      </w:r>
      <w:r>
        <w:fldChar w:fldCharType="begin"/>
      </w:r>
      <w:r>
        <w:instrText xml:space="preserve"> PAGEREF _Toc3616 \h </w:instrText>
      </w:r>
      <w:r>
        <w:fldChar w:fldCharType="separate"/>
      </w:r>
      <w:r>
        <w:t>1</w:t>
      </w:r>
      <w:r>
        <w:fldChar w:fldCharType="end"/>
      </w:r>
      <w:r>
        <w:fldChar w:fldCharType="end"/>
      </w:r>
    </w:p>
    <w:p w14:paraId="3150DCB3">
      <w:pPr>
        <w:pStyle w:val="8"/>
        <w:tabs>
          <w:tab w:val="right" w:leader="dot" w:pos="7745"/>
        </w:tabs>
      </w:pPr>
      <w:r>
        <w:fldChar w:fldCharType="begin"/>
      </w:r>
      <w:r>
        <w:instrText xml:space="preserve"> HYPERLINK \l _Toc1057 </w:instrText>
      </w:r>
      <w:r>
        <w:fldChar w:fldCharType="separate"/>
      </w:r>
      <w:r>
        <w:rPr>
          <w:rFonts w:ascii="黑体" w:hAnsi="黑体" w:eastAsia="黑体"/>
          <w:szCs w:val="28"/>
        </w:rPr>
        <w:t>1.4 研究方法</w:t>
      </w:r>
      <w:r>
        <w:tab/>
      </w:r>
      <w:r>
        <w:fldChar w:fldCharType="begin"/>
      </w:r>
      <w:r>
        <w:instrText xml:space="preserve"> PAGEREF _Toc1057 \h </w:instrText>
      </w:r>
      <w:r>
        <w:fldChar w:fldCharType="separate"/>
      </w:r>
      <w:r>
        <w:t>2</w:t>
      </w:r>
      <w:r>
        <w:fldChar w:fldCharType="end"/>
      </w:r>
      <w:r>
        <w:fldChar w:fldCharType="end"/>
      </w:r>
    </w:p>
    <w:p w14:paraId="23292CFB">
      <w:pPr>
        <w:pStyle w:val="8"/>
        <w:tabs>
          <w:tab w:val="right" w:leader="dot" w:pos="7745"/>
        </w:tabs>
      </w:pPr>
      <w:r>
        <w:fldChar w:fldCharType="begin"/>
      </w:r>
      <w:r>
        <w:instrText xml:space="preserve"> HYPERLINK \l _Toc7748 </w:instrText>
      </w:r>
      <w:r>
        <w:fldChar w:fldCharType="separate"/>
      </w:r>
      <w:r>
        <w:rPr>
          <w:rFonts w:ascii="黑体" w:hAnsi="黑体" w:eastAsia="黑体"/>
          <w:szCs w:val="28"/>
        </w:rPr>
        <w:t>1.5 论文结构</w:t>
      </w:r>
      <w:r>
        <w:tab/>
      </w:r>
      <w:r>
        <w:fldChar w:fldCharType="begin"/>
      </w:r>
      <w:r>
        <w:instrText xml:space="preserve"> PAGEREF _Toc7748 \h </w:instrText>
      </w:r>
      <w:r>
        <w:fldChar w:fldCharType="separate"/>
      </w:r>
      <w:r>
        <w:t>3</w:t>
      </w:r>
      <w:r>
        <w:fldChar w:fldCharType="end"/>
      </w:r>
      <w:r>
        <w:fldChar w:fldCharType="end"/>
      </w:r>
    </w:p>
    <w:p w14:paraId="370FEE4C">
      <w:pPr>
        <w:pStyle w:val="7"/>
        <w:tabs>
          <w:tab w:val="right" w:leader="dot" w:pos="7745"/>
          <w:tab w:val="clear" w:pos="9061"/>
        </w:tabs>
      </w:pPr>
      <w:r>
        <w:fldChar w:fldCharType="begin"/>
      </w:r>
      <w:r>
        <w:instrText xml:space="preserve"> HYPERLINK \l _Toc26901 </w:instrText>
      </w:r>
      <w:r>
        <w:fldChar w:fldCharType="separate"/>
      </w:r>
      <w:r>
        <w:rPr>
          <w:rFonts w:ascii="黑体" w:hAnsi="黑体" w:eastAsia="黑体"/>
          <w:szCs w:val="30"/>
        </w:rPr>
        <w:t>第一章 绪论：介绍研究背景、意义、内容、方法和论文结构。</w:t>
      </w:r>
      <w:r>
        <w:tab/>
      </w:r>
      <w:r>
        <w:fldChar w:fldCharType="begin"/>
      </w:r>
      <w:r>
        <w:instrText xml:space="preserve"> PAGEREF _Toc26901 \h </w:instrText>
      </w:r>
      <w:r>
        <w:fldChar w:fldCharType="separate"/>
      </w:r>
      <w:r>
        <w:t>3</w:t>
      </w:r>
      <w:r>
        <w:fldChar w:fldCharType="end"/>
      </w:r>
      <w:r>
        <w:fldChar w:fldCharType="end"/>
      </w:r>
    </w:p>
    <w:p w14:paraId="28213220">
      <w:pPr>
        <w:pStyle w:val="7"/>
        <w:tabs>
          <w:tab w:val="right" w:leader="dot" w:pos="7745"/>
          <w:tab w:val="clear" w:pos="9061"/>
        </w:tabs>
      </w:pPr>
      <w:r>
        <w:fldChar w:fldCharType="begin"/>
      </w:r>
      <w:r>
        <w:instrText xml:space="preserve"> HYPERLINK \l _Toc21479 </w:instrText>
      </w:r>
      <w:r>
        <w:fldChar w:fldCharType="separate"/>
      </w:r>
      <w:r>
        <w:rPr>
          <w:rFonts w:ascii="黑体" w:hAnsi="黑体" w:eastAsia="黑体"/>
          <w:szCs w:val="30"/>
        </w:rPr>
        <w:t>第二章 文献综述</w:t>
      </w:r>
      <w:r>
        <w:tab/>
      </w:r>
      <w:r>
        <w:fldChar w:fldCharType="begin"/>
      </w:r>
      <w:r>
        <w:instrText xml:space="preserve"> PAGEREF _Toc21479 \h </w:instrText>
      </w:r>
      <w:r>
        <w:fldChar w:fldCharType="separate"/>
      </w:r>
      <w:r>
        <w:t>3</w:t>
      </w:r>
      <w:r>
        <w:fldChar w:fldCharType="end"/>
      </w:r>
      <w:r>
        <w:fldChar w:fldCharType="end"/>
      </w:r>
    </w:p>
    <w:p w14:paraId="52A13E90">
      <w:pPr>
        <w:pStyle w:val="8"/>
        <w:tabs>
          <w:tab w:val="right" w:leader="dot" w:pos="7745"/>
        </w:tabs>
      </w:pPr>
      <w:r>
        <w:fldChar w:fldCharType="begin"/>
      </w:r>
      <w:r>
        <w:instrText xml:space="preserve"> HYPERLINK \l _Toc11474 </w:instrText>
      </w:r>
      <w:r>
        <w:fldChar w:fldCharType="separate"/>
      </w:r>
      <w:r>
        <w:rPr>
          <w:rFonts w:ascii="黑体" w:hAnsi="黑体" w:eastAsia="黑体"/>
          <w:szCs w:val="28"/>
        </w:rPr>
        <w:t>2.1 新零售研究现状</w:t>
      </w:r>
      <w:r>
        <w:tab/>
      </w:r>
      <w:r>
        <w:fldChar w:fldCharType="begin"/>
      </w:r>
      <w:r>
        <w:instrText xml:space="preserve"> PAGEREF _Toc11474 \h </w:instrText>
      </w:r>
      <w:r>
        <w:fldChar w:fldCharType="separate"/>
      </w:r>
      <w:r>
        <w:t>3</w:t>
      </w:r>
      <w:r>
        <w:fldChar w:fldCharType="end"/>
      </w:r>
      <w:r>
        <w:fldChar w:fldCharType="end"/>
      </w:r>
    </w:p>
    <w:p w14:paraId="6E031AB6">
      <w:pPr>
        <w:pStyle w:val="8"/>
        <w:tabs>
          <w:tab w:val="right" w:leader="dot" w:pos="7745"/>
        </w:tabs>
      </w:pPr>
      <w:r>
        <w:fldChar w:fldCharType="begin"/>
      </w:r>
      <w:r>
        <w:instrText xml:space="preserve"> HYPERLINK \l _Toc9309 </w:instrText>
      </w:r>
      <w:r>
        <w:fldChar w:fldCharType="separate"/>
      </w:r>
      <w:r>
        <w:rPr>
          <w:rFonts w:ascii="黑体" w:hAnsi="黑体" w:eastAsia="黑体"/>
          <w:szCs w:val="28"/>
        </w:rPr>
        <w:t>2.2 商业模式创新研究</w:t>
      </w:r>
      <w:r>
        <w:tab/>
      </w:r>
      <w:r>
        <w:fldChar w:fldCharType="begin"/>
      </w:r>
      <w:r>
        <w:instrText xml:space="preserve"> PAGEREF _Toc9309 \h </w:instrText>
      </w:r>
      <w:r>
        <w:fldChar w:fldCharType="separate"/>
      </w:r>
      <w:r>
        <w:t>4</w:t>
      </w:r>
      <w:r>
        <w:fldChar w:fldCharType="end"/>
      </w:r>
      <w:r>
        <w:fldChar w:fldCharType="end"/>
      </w:r>
    </w:p>
    <w:p w14:paraId="62C43D0B">
      <w:pPr>
        <w:pStyle w:val="8"/>
        <w:tabs>
          <w:tab w:val="right" w:leader="dot" w:pos="7745"/>
        </w:tabs>
      </w:pPr>
      <w:r>
        <w:fldChar w:fldCharType="begin"/>
      </w:r>
      <w:r>
        <w:instrText xml:space="preserve"> HYPERLINK \l _Toc2948 </w:instrText>
      </w:r>
      <w:r>
        <w:fldChar w:fldCharType="separate"/>
      </w:r>
      <w:r>
        <w:rPr>
          <w:rFonts w:ascii="黑体" w:hAnsi="黑体" w:eastAsia="黑体"/>
          <w:szCs w:val="28"/>
        </w:rPr>
        <w:t>2.3 盒马鲜生相关研究</w:t>
      </w:r>
      <w:r>
        <w:tab/>
      </w:r>
      <w:r>
        <w:fldChar w:fldCharType="begin"/>
      </w:r>
      <w:r>
        <w:instrText xml:space="preserve"> PAGEREF _Toc2948 \h </w:instrText>
      </w:r>
      <w:r>
        <w:fldChar w:fldCharType="separate"/>
      </w:r>
      <w:r>
        <w:t>4</w:t>
      </w:r>
      <w:r>
        <w:fldChar w:fldCharType="end"/>
      </w:r>
      <w:r>
        <w:fldChar w:fldCharType="end"/>
      </w:r>
    </w:p>
    <w:p w14:paraId="2BC517F3">
      <w:pPr>
        <w:pStyle w:val="8"/>
        <w:tabs>
          <w:tab w:val="right" w:leader="dot" w:pos="7745"/>
        </w:tabs>
      </w:pPr>
      <w:r>
        <w:fldChar w:fldCharType="begin"/>
      </w:r>
      <w:r>
        <w:instrText xml:space="preserve"> HYPERLINK \l _Toc11944 </w:instrText>
      </w:r>
      <w:r>
        <w:fldChar w:fldCharType="separate"/>
      </w:r>
      <w:r>
        <w:rPr>
          <w:rFonts w:ascii="黑体" w:hAnsi="黑体" w:eastAsia="黑体"/>
          <w:szCs w:val="28"/>
        </w:rPr>
        <w:t>2.4 重庆零售市场研究</w:t>
      </w:r>
      <w:r>
        <w:tab/>
      </w:r>
      <w:r>
        <w:fldChar w:fldCharType="begin"/>
      </w:r>
      <w:r>
        <w:instrText xml:space="preserve"> PAGEREF _Toc11944 \h </w:instrText>
      </w:r>
      <w:r>
        <w:fldChar w:fldCharType="separate"/>
      </w:r>
      <w:r>
        <w:t>4</w:t>
      </w:r>
      <w:r>
        <w:fldChar w:fldCharType="end"/>
      </w:r>
      <w:r>
        <w:fldChar w:fldCharType="end"/>
      </w:r>
    </w:p>
    <w:p w14:paraId="17372B20">
      <w:pPr>
        <w:pStyle w:val="8"/>
        <w:tabs>
          <w:tab w:val="right" w:leader="dot" w:pos="7745"/>
        </w:tabs>
      </w:pPr>
      <w:r>
        <w:fldChar w:fldCharType="begin"/>
      </w:r>
      <w:r>
        <w:instrText xml:space="preserve"> HYPERLINK \l _Toc13729 </w:instrText>
      </w:r>
      <w:r>
        <w:fldChar w:fldCharType="separate"/>
      </w:r>
      <w:r>
        <w:rPr>
          <w:rFonts w:ascii="黑体" w:hAnsi="黑体" w:eastAsia="黑体"/>
          <w:szCs w:val="28"/>
        </w:rPr>
        <w:t>2.5 研究评述</w:t>
      </w:r>
      <w:r>
        <w:tab/>
      </w:r>
      <w:r>
        <w:fldChar w:fldCharType="begin"/>
      </w:r>
      <w:r>
        <w:instrText xml:space="preserve"> PAGEREF _Toc13729 \h </w:instrText>
      </w:r>
      <w:r>
        <w:fldChar w:fldCharType="separate"/>
      </w:r>
      <w:r>
        <w:t>5</w:t>
      </w:r>
      <w:r>
        <w:fldChar w:fldCharType="end"/>
      </w:r>
      <w:r>
        <w:fldChar w:fldCharType="end"/>
      </w:r>
    </w:p>
    <w:p w14:paraId="3A6B7C12">
      <w:pPr>
        <w:pStyle w:val="7"/>
        <w:tabs>
          <w:tab w:val="right" w:leader="dot" w:pos="7745"/>
          <w:tab w:val="clear" w:pos="9061"/>
        </w:tabs>
      </w:pPr>
      <w:r>
        <w:fldChar w:fldCharType="begin"/>
      </w:r>
      <w:r>
        <w:instrText xml:space="preserve"> HYPERLINK \l _Toc8438 </w:instrText>
      </w:r>
      <w:r>
        <w:fldChar w:fldCharType="separate"/>
      </w:r>
      <w:r>
        <w:rPr>
          <w:rFonts w:ascii="黑体" w:hAnsi="黑体" w:eastAsia="黑体"/>
          <w:szCs w:val="30"/>
        </w:rPr>
        <w:t>第三章 研究设计</w:t>
      </w:r>
      <w:r>
        <w:tab/>
      </w:r>
      <w:r>
        <w:fldChar w:fldCharType="begin"/>
      </w:r>
      <w:r>
        <w:instrText xml:space="preserve"> PAGEREF _Toc8438 \h </w:instrText>
      </w:r>
      <w:r>
        <w:fldChar w:fldCharType="separate"/>
      </w:r>
      <w:r>
        <w:t>5</w:t>
      </w:r>
      <w:r>
        <w:fldChar w:fldCharType="end"/>
      </w:r>
      <w:r>
        <w:fldChar w:fldCharType="end"/>
      </w:r>
    </w:p>
    <w:p w14:paraId="260D9FF4">
      <w:pPr>
        <w:pStyle w:val="8"/>
        <w:tabs>
          <w:tab w:val="right" w:leader="dot" w:pos="7745"/>
        </w:tabs>
      </w:pPr>
      <w:r>
        <w:fldChar w:fldCharType="begin"/>
      </w:r>
      <w:r>
        <w:instrText xml:space="preserve"> HYPERLINK \l _Toc10730 </w:instrText>
      </w:r>
      <w:r>
        <w:fldChar w:fldCharType="separate"/>
      </w:r>
      <w:r>
        <w:rPr>
          <w:rFonts w:ascii="黑体" w:hAnsi="黑体" w:eastAsia="黑体"/>
          <w:szCs w:val="28"/>
        </w:rPr>
        <w:t>3.1 研究对象</w:t>
      </w:r>
      <w:r>
        <w:tab/>
      </w:r>
      <w:r>
        <w:fldChar w:fldCharType="begin"/>
      </w:r>
      <w:r>
        <w:instrText xml:space="preserve"> PAGEREF _Toc10730 \h </w:instrText>
      </w:r>
      <w:r>
        <w:fldChar w:fldCharType="separate"/>
      </w:r>
      <w:r>
        <w:t>5</w:t>
      </w:r>
      <w:r>
        <w:fldChar w:fldCharType="end"/>
      </w:r>
      <w:r>
        <w:fldChar w:fldCharType="end"/>
      </w:r>
    </w:p>
    <w:p w14:paraId="6CB10C3B">
      <w:pPr>
        <w:pStyle w:val="8"/>
        <w:tabs>
          <w:tab w:val="right" w:leader="dot" w:pos="7745"/>
        </w:tabs>
      </w:pPr>
      <w:r>
        <w:fldChar w:fldCharType="begin"/>
      </w:r>
      <w:r>
        <w:instrText xml:space="preserve"> HYPERLINK \l _Toc2854 </w:instrText>
      </w:r>
      <w:r>
        <w:fldChar w:fldCharType="separate"/>
      </w:r>
      <w:r>
        <w:rPr>
          <w:rFonts w:ascii="黑体" w:hAnsi="黑体" w:eastAsia="黑体"/>
          <w:szCs w:val="28"/>
        </w:rPr>
        <w:t>3.2 研究方法</w:t>
      </w:r>
      <w:r>
        <w:tab/>
      </w:r>
      <w:r>
        <w:fldChar w:fldCharType="begin"/>
      </w:r>
      <w:r>
        <w:instrText xml:space="preserve"> PAGEREF _Toc2854 \h </w:instrText>
      </w:r>
      <w:r>
        <w:fldChar w:fldCharType="separate"/>
      </w:r>
      <w:r>
        <w:t>5</w:t>
      </w:r>
      <w:r>
        <w:fldChar w:fldCharType="end"/>
      </w:r>
      <w:r>
        <w:fldChar w:fldCharType="end"/>
      </w:r>
    </w:p>
    <w:p w14:paraId="2D2797BB">
      <w:pPr>
        <w:pStyle w:val="8"/>
        <w:tabs>
          <w:tab w:val="right" w:leader="dot" w:pos="7745"/>
        </w:tabs>
      </w:pPr>
      <w:r>
        <w:fldChar w:fldCharType="begin"/>
      </w:r>
      <w:r>
        <w:instrText xml:space="preserve"> HYPERLINK \l _Toc7257 </w:instrText>
      </w:r>
      <w:r>
        <w:fldChar w:fldCharType="separate"/>
      </w:r>
      <w:r>
        <w:rPr>
          <w:rFonts w:ascii="黑体" w:hAnsi="黑体" w:eastAsia="黑体"/>
          <w:szCs w:val="28"/>
        </w:rPr>
        <w:t>3.3 数据来源</w:t>
      </w:r>
      <w:r>
        <w:tab/>
      </w:r>
      <w:r>
        <w:fldChar w:fldCharType="begin"/>
      </w:r>
      <w:r>
        <w:instrText xml:space="preserve"> PAGEREF _Toc7257 \h </w:instrText>
      </w:r>
      <w:r>
        <w:fldChar w:fldCharType="separate"/>
      </w:r>
      <w:r>
        <w:t>6</w:t>
      </w:r>
      <w:r>
        <w:fldChar w:fldCharType="end"/>
      </w:r>
      <w:r>
        <w:fldChar w:fldCharType="end"/>
      </w:r>
    </w:p>
    <w:p w14:paraId="0B446701">
      <w:pPr>
        <w:pStyle w:val="8"/>
        <w:tabs>
          <w:tab w:val="right" w:leader="dot" w:pos="7745"/>
        </w:tabs>
      </w:pPr>
      <w:r>
        <w:fldChar w:fldCharType="begin"/>
      </w:r>
      <w:r>
        <w:instrText xml:space="preserve"> HYPERLINK \l _Toc3710 </w:instrText>
      </w:r>
      <w:r>
        <w:fldChar w:fldCharType="separate"/>
      </w:r>
      <w:r>
        <w:rPr>
          <w:rFonts w:ascii="黑体" w:hAnsi="黑体" w:eastAsia="黑体"/>
          <w:szCs w:val="28"/>
        </w:rPr>
        <w:t>3.4 研究框架</w:t>
      </w:r>
      <w:r>
        <w:tab/>
      </w:r>
      <w:r>
        <w:fldChar w:fldCharType="begin"/>
      </w:r>
      <w:r>
        <w:instrText xml:space="preserve"> PAGEREF _Toc3710 \h </w:instrText>
      </w:r>
      <w:r>
        <w:fldChar w:fldCharType="separate"/>
      </w:r>
      <w:r>
        <w:t>6</w:t>
      </w:r>
      <w:r>
        <w:fldChar w:fldCharType="end"/>
      </w:r>
      <w:r>
        <w:fldChar w:fldCharType="end"/>
      </w:r>
    </w:p>
    <w:p w14:paraId="2059328E">
      <w:pPr>
        <w:pStyle w:val="7"/>
        <w:tabs>
          <w:tab w:val="right" w:leader="dot" w:pos="7745"/>
          <w:tab w:val="clear" w:pos="9061"/>
        </w:tabs>
      </w:pPr>
      <w:r>
        <w:fldChar w:fldCharType="begin"/>
      </w:r>
      <w:r>
        <w:instrText xml:space="preserve"> HYPERLINK \l _Toc14727 </w:instrText>
      </w:r>
      <w:r>
        <w:fldChar w:fldCharType="separate"/>
      </w:r>
      <w:r>
        <w:rPr>
          <w:rFonts w:ascii="黑体" w:hAnsi="黑体" w:eastAsia="黑体"/>
          <w:szCs w:val="30"/>
        </w:rPr>
        <w:t>第四章 盒马鲜生商业模式创新分析</w:t>
      </w:r>
      <w:r>
        <w:tab/>
      </w:r>
      <w:r>
        <w:fldChar w:fldCharType="begin"/>
      </w:r>
      <w:r>
        <w:instrText xml:space="preserve"> PAGEREF _Toc14727 \h </w:instrText>
      </w:r>
      <w:r>
        <w:fldChar w:fldCharType="separate"/>
      </w:r>
      <w:r>
        <w:t>6</w:t>
      </w:r>
      <w:r>
        <w:fldChar w:fldCharType="end"/>
      </w:r>
      <w:r>
        <w:fldChar w:fldCharType="end"/>
      </w:r>
    </w:p>
    <w:p w14:paraId="0F090F02">
      <w:pPr>
        <w:pStyle w:val="8"/>
        <w:tabs>
          <w:tab w:val="right" w:leader="dot" w:pos="7745"/>
        </w:tabs>
      </w:pPr>
      <w:r>
        <w:fldChar w:fldCharType="begin"/>
      </w:r>
      <w:r>
        <w:instrText xml:space="preserve"> HYPERLINK \l _Toc7151 </w:instrText>
      </w:r>
      <w:r>
        <w:fldChar w:fldCharType="separate"/>
      </w:r>
      <w:r>
        <w:rPr>
          <w:rFonts w:ascii="黑体" w:hAnsi="黑体" w:eastAsia="黑体"/>
          <w:szCs w:val="28"/>
        </w:rPr>
        <w:t>4.1 价值主张创新</w:t>
      </w:r>
      <w:r>
        <w:tab/>
      </w:r>
      <w:r>
        <w:fldChar w:fldCharType="begin"/>
      </w:r>
      <w:r>
        <w:instrText xml:space="preserve"> PAGEREF _Toc7151 \h </w:instrText>
      </w:r>
      <w:r>
        <w:fldChar w:fldCharType="separate"/>
      </w:r>
      <w:r>
        <w:t>6</w:t>
      </w:r>
      <w:r>
        <w:fldChar w:fldCharType="end"/>
      </w:r>
      <w:r>
        <w:fldChar w:fldCharType="end"/>
      </w:r>
    </w:p>
    <w:p w14:paraId="6F243942">
      <w:pPr>
        <w:pStyle w:val="8"/>
        <w:tabs>
          <w:tab w:val="right" w:leader="dot" w:pos="7745"/>
        </w:tabs>
      </w:pPr>
      <w:r>
        <w:fldChar w:fldCharType="begin"/>
      </w:r>
      <w:r>
        <w:instrText xml:space="preserve"> HYPERLINK \l _Toc21084 </w:instrText>
      </w:r>
      <w:r>
        <w:fldChar w:fldCharType="separate"/>
      </w:r>
      <w:r>
        <w:rPr>
          <w:rFonts w:ascii="黑体" w:hAnsi="黑体" w:eastAsia="黑体"/>
          <w:szCs w:val="28"/>
        </w:rPr>
        <w:t>4.2 价值创造创新</w:t>
      </w:r>
      <w:r>
        <w:tab/>
      </w:r>
      <w:r>
        <w:fldChar w:fldCharType="begin"/>
      </w:r>
      <w:r>
        <w:instrText xml:space="preserve"> PAGEREF _Toc21084 \h </w:instrText>
      </w:r>
      <w:r>
        <w:fldChar w:fldCharType="separate"/>
      </w:r>
      <w:r>
        <w:t>7</w:t>
      </w:r>
      <w:r>
        <w:fldChar w:fldCharType="end"/>
      </w:r>
      <w:r>
        <w:fldChar w:fldCharType="end"/>
      </w:r>
    </w:p>
    <w:p w14:paraId="7EF5AFCC">
      <w:pPr>
        <w:pStyle w:val="8"/>
        <w:tabs>
          <w:tab w:val="right" w:leader="dot" w:pos="7745"/>
        </w:tabs>
      </w:pPr>
      <w:r>
        <w:fldChar w:fldCharType="begin"/>
      </w:r>
      <w:r>
        <w:instrText xml:space="preserve"> HYPERLINK \l _Toc15772 </w:instrText>
      </w:r>
      <w:r>
        <w:fldChar w:fldCharType="separate"/>
      </w:r>
      <w:r>
        <w:rPr>
          <w:rFonts w:ascii="黑体" w:hAnsi="黑体" w:eastAsia="黑体"/>
          <w:szCs w:val="28"/>
        </w:rPr>
        <w:t>4.3 价值传递创新</w:t>
      </w:r>
      <w:r>
        <w:tab/>
      </w:r>
      <w:r>
        <w:fldChar w:fldCharType="begin"/>
      </w:r>
      <w:r>
        <w:instrText xml:space="preserve"> PAGEREF _Toc15772 \h </w:instrText>
      </w:r>
      <w:r>
        <w:fldChar w:fldCharType="separate"/>
      </w:r>
      <w:r>
        <w:t>7</w:t>
      </w:r>
      <w:r>
        <w:fldChar w:fldCharType="end"/>
      </w:r>
      <w:r>
        <w:fldChar w:fldCharType="end"/>
      </w:r>
    </w:p>
    <w:p w14:paraId="2AC02F7C">
      <w:pPr>
        <w:pStyle w:val="8"/>
        <w:tabs>
          <w:tab w:val="right" w:leader="dot" w:pos="7745"/>
        </w:tabs>
      </w:pPr>
      <w:r>
        <w:fldChar w:fldCharType="begin"/>
      </w:r>
      <w:r>
        <w:instrText xml:space="preserve"> HYPERLINK \l _Toc6647 </w:instrText>
      </w:r>
      <w:r>
        <w:fldChar w:fldCharType="separate"/>
      </w:r>
      <w:r>
        <w:rPr>
          <w:rFonts w:ascii="黑体" w:hAnsi="黑体" w:eastAsia="黑体"/>
          <w:szCs w:val="28"/>
        </w:rPr>
        <w:t>4.4 价值获取创新</w:t>
      </w:r>
      <w:r>
        <w:tab/>
      </w:r>
      <w:r>
        <w:fldChar w:fldCharType="begin"/>
      </w:r>
      <w:r>
        <w:instrText xml:space="preserve"> PAGEREF _Toc6647 \h </w:instrText>
      </w:r>
      <w:r>
        <w:fldChar w:fldCharType="separate"/>
      </w:r>
      <w:r>
        <w:t>7</w:t>
      </w:r>
      <w:r>
        <w:fldChar w:fldCharType="end"/>
      </w:r>
      <w:r>
        <w:fldChar w:fldCharType="end"/>
      </w:r>
    </w:p>
    <w:p w14:paraId="0A5B0F9D">
      <w:pPr>
        <w:pStyle w:val="7"/>
        <w:tabs>
          <w:tab w:val="right" w:leader="dot" w:pos="7745"/>
          <w:tab w:val="clear" w:pos="9061"/>
        </w:tabs>
      </w:pPr>
      <w:r>
        <w:fldChar w:fldCharType="begin"/>
      </w:r>
      <w:r>
        <w:instrText xml:space="preserve"> HYPERLINK \l _Toc3459 </w:instrText>
      </w:r>
      <w:r>
        <w:fldChar w:fldCharType="separate"/>
      </w:r>
      <w:r>
        <w:rPr>
          <w:rFonts w:ascii="黑体" w:hAnsi="黑体" w:eastAsia="黑体"/>
          <w:szCs w:val="30"/>
        </w:rPr>
        <w:t>第五章 盒马鲜生在重庆市场的本地化实践与问题分析</w:t>
      </w:r>
      <w:r>
        <w:tab/>
      </w:r>
      <w:r>
        <w:fldChar w:fldCharType="begin"/>
      </w:r>
      <w:r>
        <w:instrText xml:space="preserve"> PAGEREF _Toc3459 \h </w:instrText>
      </w:r>
      <w:r>
        <w:fldChar w:fldCharType="separate"/>
      </w:r>
      <w:r>
        <w:t>8</w:t>
      </w:r>
      <w:r>
        <w:fldChar w:fldCharType="end"/>
      </w:r>
      <w:r>
        <w:fldChar w:fldCharType="end"/>
      </w:r>
    </w:p>
    <w:p w14:paraId="07729F64">
      <w:pPr>
        <w:pStyle w:val="8"/>
        <w:tabs>
          <w:tab w:val="right" w:leader="dot" w:pos="7745"/>
        </w:tabs>
      </w:pPr>
      <w:r>
        <w:fldChar w:fldCharType="begin"/>
      </w:r>
      <w:r>
        <w:instrText xml:space="preserve"> HYPERLINK \l _Toc12345 </w:instrText>
      </w:r>
      <w:r>
        <w:fldChar w:fldCharType="separate"/>
      </w:r>
      <w:r>
        <w:rPr>
          <w:rFonts w:ascii="黑体" w:hAnsi="黑体" w:eastAsia="黑体"/>
          <w:szCs w:val="28"/>
        </w:rPr>
        <w:t>5.1 重庆市场消费特征分析</w:t>
      </w:r>
      <w:r>
        <w:tab/>
      </w:r>
      <w:r>
        <w:fldChar w:fldCharType="begin"/>
      </w:r>
      <w:r>
        <w:instrText xml:space="preserve"> PAGEREF _Toc12345 \h </w:instrText>
      </w:r>
      <w:r>
        <w:fldChar w:fldCharType="separate"/>
      </w:r>
      <w:r>
        <w:t>8</w:t>
      </w:r>
      <w:r>
        <w:fldChar w:fldCharType="end"/>
      </w:r>
      <w:r>
        <w:fldChar w:fldCharType="end"/>
      </w:r>
    </w:p>
    <w:p w14:paraId="67633EC7">
      <w:pPr>
        <w:pStyle w:val="8"/>
        <w:tabs>
          <w:tab w:val="right" w:leader="dot" w:pos="7745"/>
        </w:tabs>
      </w:pPr>
      <w:r>
        <w:fldChar w:fldCharType="begin"/>
      </w:r>
      <w:r>
        <w:instrText xml:space="preserve"> HYPERLINK \l _Toc19059 </w:instrText>
      </w:r>
      <w:r>
        <w:fldChar w:fldCharType="separate"/>
      </w:r>
      <w:r>
        <w:rPr>
          <w:rFonts w:ascii="黑体" w:hAnsi="黑体" w:eastAsia="黑体"/>
          <w:szCs w:val="28"/>
        </w:rPr>
        <w:t>5.2 盒马鲜生在重庆的本地化实践</w:t>
      </w:r>
      <w:r>
        <w:tab/>
      </w:r>
      <w:r>
        <w:fldChar w:fldCharType="begin"/>
      </w:r>
      <w:r>
        <w:instrText xml:space="preserve"> PAGEREF _Toc19059 \h </w:instrText>
      </w:r>
      <w:r>
        <w:fldChar w:fldCharType="separate"/>
      </w:r>
      <w:r>
        <w:t>9</w:t>
      </w:r>
      <w:r>
        <w:fldChar w:fldCharType="end"/>
      </w:r>
      <w:r>
        <w:fldChar w:fldCharType="end"/>
      </w:r>
    </w:p>
    <w:p w14:paraId="04FBD961">
      <w:pPr>
        <w:pStyle w:val="8"/>
        <w:tabs>
          <w:tab w:val="right" w:leader="dot" w:pos="7745"/>
        </w:tabs>
      </w:pPr>
      <w:r>
        <w:fldChar w:fldCharType="begin"/>
      </w:r>
      <w:r>
        <w:instrText xml:space="preserve"> HYPERLINK \l _Toc17760 </w:instrText>
      </w:r>
      <w:r>
        <w:fldChar w:fldCharType="separate"/>
      </w:r>
      <w:r>
        <w:rPr>
          <w:rFonts w:ascii="黑体" w:hAnsi="黑体" w:eastAsia="黑体"/>
          <w:szCs w:val="28"/>
        </w:rPr>
        <w:t>5.3 存在的主要问题</w:t>
      </w:r>
      <w:r>
        <w:tab/>
      </w:r>
      <w:r>
        <w:fldChar w:fldCharType="begin"/>
      </w:r>
      <w:r>
        <w:instrText xml:space="preserve"> PAGEREF _Toc17760 \h </w:instrText>
      </w:r>
      <w:r>
        <w:fldChar w:fldCharType="separate"/>
      </w:r>
      <w:r>
        <w:t>9</w:t>
      </w:r>
      <w:r>
        <w:fldChar w:fldCharType="end"/>
      </w:r>
      <w:r>
        <w:fldChar w:fldCharType="end"/>
      </w:r>
    </w:p>
    <w:p w14:paraId="246203D4">
      <w:pPr>
        <w:pStyle w:val="8"/>
        <w:tabs>
          <w:tab w:val="right" w:leader="dot" w:pos="7745"/>
        </w:tabs>
      </w:pPr>
      <w:r>
        <w:fldChar w:fldCharType="begin"/>
      </w:r>
      <w:r>
        <w:instrText xml:space="preserve"> HYPERLINK \l _Toc17848 </w:instrText>
      </w:r>
      <w:r>
        <w:fldChar w:fldCharType="separate"/>
      </w:r>
      <w:r>
        <w:rPr>
          <w:rFonts w:ascii="黑体" w:hAnsi="黑体" w:eastAsia="黑体"/>
          <w:szCs w:val="28"/>
        </w:rPr>
        <w:t>5.4 问题成因分析</w:t>
      </w:r>
      <w:r>
        <w:tab/>
      </w:r>
      <w:r>
        <w:fldChar w:fldCharType="begin"/>
      </w:r>
      <w:r>
        <w:instrText xml:space="preserve"> PAGEREF _Toc17848 \h </w:instrText>
      </w:r>
      <w:r>
        <w:fldChar w:fldCharType="separate"/>
      </w:r>
      <w:r>
        <w:t>10</w:t>
      </w:r>
      <w:r>
        <w:fldChar w:fldCharType="end"/>
      </w:r>
      <w:r>
        <w:fldChar w:fldCharType="end"/>
      </w:r>
    </w:p>
    <w:p w14:paraId="63F08F6E">
      <w:pPr>
        <w:pStyle w:val="7"/>
        <w:tabs>
          <w:tab w:val="right" w:leader="dot" w:pos="7745"/>
          <w:tab w:val="clear" w:pos="9061"/>
        </w:tabs>
      </w:pPr>
      <w:r>
        <w:fldChar w:fldCharType="begin"/>
      </w:r>
      <w:r>
        <w:instrText xml:space="preserve"> HYPERLINK \l _Toc18305 </w:instrText>
      </w:r>
      <w:r>
        <w:fldChar w:fldCharType="separate"/>
      </w:r>
      <w:r>
        <w:rPr>
          <w:rFonts w:ascii="黑体" w:hAnsi="黑体" w:eastAsia="黑体"/>
          <w:szCs w:val="30"/>
        </w:rPr>
        <w:t>第六章 优化建议与结论</w:t>
      </w:r>
      <w:r>
        <w:tab/>
      </w:r>
      <w:r>
        <w:fldChar w:fldCharType="begin"/>
      </w:r>
      <w:r>
        <w:instrText xml:space="preserve"> PAGEREF _Toc18305 \h </w:instrText>
      </w:r>
      <w:r>
        <w:fldChar w:fldCharType="separate"/>
      </w:r>
      <w:r>
        <w:t>11</w:t>
      </w:r>
      <w:r>
        <w:fldChar w:fldCharType="end"/>
      </w:r>
      <w:r>
        <w:fldChar w:fldCharType="end"/>
      </w:r>
    </w:p>
    <w:p w14:paraId="6EB359B7">
      <w:pPr>
        <w:pStyle w:val="8"/>
        <w:tabs>
          <w:tab w:val="right" w:leader="dot" w:pos="7745"/>
        </w:tabs>
      </w:pPr>
      <w:r>
        <w:fldChar w:fldCharType="begin"/>
      </w:r>
      <w:r>
        <w:instrText xml:space="preserve"> HYPERLINK \l _Toc30501 </w:instrText>
      </w:r>
      <w:r>
        <w:fldChar w:fldCharType="separate"/>
      </w:r>
      <w:r>
        <w:rPr>
          <w:rFonts w:ascii="黑体" w:hAnsi="黑体" w:eastAsia="黑体"/>
          <w:szCs w:val="28"/>
        </w:rPr>
        <w:t>6.1 优化建议</w:t>
      </w:r>
      <w:r>
        <w:tab/>
      </w:r>
      <w:r>
        <w:fldChar w:fldCharType="begin"/>
      </w:r>
      <w:r>
        <w:instrText xml:space="preserve"> PAGEREF _Toc30501 \h </w:instrText>
      </w:r>
      <w:r>
        <w:fldChar w:fldCharType="separate"/>
      </w:r>
      <w:r>
        <w:t>11</w:t>
      </w:r>
      <w:r>
        <w:fldChar w:fldCharType="end"/>
      </w:r>
      <w:r>
        <w:fldChar w:fldCharType="end"/>
      </w:r>
    </w:p>
    <w:p w14:paraId="14C2043D">
      <w:pPr>
        <w:pStyle w:val="8"/>
        <w:tabs>
          <w:tab w:val="right" w:leader="dot" w:pos="7745"/>
        </w:tabs>
      </w:pPr>
      <w:r>
        <w:fldChar w:fldCharType="begin"/>
      </w:r>
      <w:r>
        <w:instrText xml:space="preserve"> HYPERLINK \l _Toc20720 </w:instrText>
      </w:r>
      <w:r>
        <w:fldChar w:fldCharType="separate"/>
      </w:r>
      <w:r>
        <w:rPr>
          <w:rFonts w:ascii="黑体" w:hAnsi="黑体" w:eastAsia="黑体"/>
          <w:szCs w:val="28"/>
        </w:rPr>
        <w:t>6.2 研究结论</w:t>
      </w:r>
      <w:r>
        <w:tab/>
      </w:r>
      <w:r>
        <w:fldChar w:fldCharType="begin"/>
      </w:r>
      <w:r>
        <w:instrText xml:space="preserve"> PAGEREF _Toc20720 \h </w:instrText>
      </w:r>
      <w:r>
        <w:fldChar w:fldCharType="separate"/>
      </w:r>
      <w:r>
        <w:t>13</w:t>
      </w:r>
      <w:r>
        <w:fldChar w:fldCharType="end"/>
      </w:r>
      <w:r>
        <w:fldChar w:fldCharType="end"/>
      </w:r>
    </w:p>
    <w:p w14:paraId="2C69D0FB">
      <w:pPr>
        <w:pStyle w:val="8"/>
        <w:tabs>
          <w:tab w:val="right" w:leader="dot" w:pos="7745"/>
        </w:tabs>
      </w:pPr>
      <w:r>
        <w:fldChar w:fldCharType="begin"/>
      </w:r>
      <w:r>
        <w:instrText xml:space="preserve"> HYPERLINK \l _Toc12893 </w:instrText>
      </w:r>
      <w:r>
        <w:fldChar w:fldCharType="separate"/>
      </w:r>
      <w:r>
        <w:rPr>
          <w:rFonts w:ascii="黑体" w:hAnsi="黑体" w:eastAsia="黑体"/>
          <w:szCs w:val="28"/>
        </w:rPr>
        <w:t>6.3 研究不足与展望</w:t>
      </w:r>
      <w:r>
        <w:tab/>
      </w:r>
      <w:r>
        <w:fldChar w:fldCharType="begin"/>
      </w:r>
      <w:r>
        <w:instrText xml:space="preserve"> PAGEREF _Toc12893 \h </w:instrText>
      </w:r>
      <w:r>
        <w:fldChar w:fldCharType="separate"/>
      </w:r>
      <w:r>
        <w:t>14</w:t>
      </w:r>
      <w:r>
        <w:fldChar w:fldCharType="end"/>
      </w:r>
      <w:r>
        <w:fldChar w:fldCharType="end"/>
      </w:r>
    </w:p>
    <w:p w14:paraId="0B1CAF24">
      <w:pPr>
        <w:pStyle w:val="7"/>
        <w:tabs>
          <w:tab w:val="right" w:leader="dot" w:pos="7745"/>
          <w:tab w:val="clear" w:pos="9061"/>
        </w:tabs>
      </w:pPr>
      <w:r>
        <w:fldChar w:fldCharType="begin"/>
      </w:r>
      <w:r>
        <w:instrText xml:space="preserve"> HYPERLINK \l _Toc1751 </w:instrText>
      </w:r>
      <w:r>
        <w:fldChar w:fldCharType="separate"/>
      </w:r>
      <w:r>
        <w:rPr>
          <w:rFonts w:ascii="黑体" w:hAnsi="黑体" w:eastAsia="黑体"/>
          <w:szCs w:val="30"/>
        </w:rPr>
        <w:t>参考文献</w:t>
      </w:r>
      <w:r>
        <w:tab/>
      </w:r>
      <w:r>
        <w:fldChar w:fldCharType="begin"/>
      </w:r>
      <w:r>
        <w:instrText xml:space="preserve"> PAGEREF _Toc1751 \h </w:instrText>
      </w:r>
      <w:r>
        <w:fldChar w:fldCharType="separate"/>
      </w:r>
      <w:r>
        <w:t>14</w:t>
      </w:r>
      <w:r>
        <w:fldChar w:fldCharType="end"/>
      </w:r>
      <w:r>
        <w:fldChar w:fldCharType="end"/>
      </w:r>
    </w:p>
    <w:p w14:paraId="25F5957A">
      <w:pPr>
        <w:rPr>
          <w:rFonts w:ascii="宋体" w:hAnsi="宋体" w:eastAsia="宋体"/>
          <w:sz w:val="24"/>
          <w:szCs w:val="24"/>
        </w:rPr>
      </w:pPr>
      <w:r>
        <w:fldChar w:fldCharType="end"/>
      </w:r>
    </w:p>
    <w:p w14:paraId="762B51CD">
      <w:pPr>
        <w:sectPr>
          <w:headerReference r:id="rId5" w:type="default"/>
          <w:footerReference r:id="rId6" w:type="default"/>
          <w:pgSz w:w="11906" w:h="16838"/>
          <w:pgMar w:top="1440" w:right="1797" w:bottom="1440" w:left="1797" w:header="851" w:footer="992" w:gutter="567"/>
          <w:pgNumType w:fmt="upperRoman" w:start="4"/>
          <w:cols w:space="720" w:num="1"/>
          <w:docGrid w:type="lines" w:linePitch="312" w:charSpace="0"/>
        </w:sectPr>
      </w:pPr>
    </w:p>
    <w:p w14:paraId="435A9461">
      <w:pPr>
        <w:keepNext w:val="0"/>
        <w:keepLines w:val="0"/>
        <w:widowControl/>
        <w:suppressLineNumbers w:val="0"/>
        <w:spacing w:line="400" w:lineRule="exact"/>
        <w:jc w:val="center"/>
        <w:outlineLvl w:val="0"/>
        <w:rPr>
          <w:rFonts w:ascii="黑体" w:hAnsi="黑体" w:eastAsia="黑体"/>
          <w:sz w:val="30"/>
          <w:szCs w:val="30"/>
        </w:rPr>
      </w:pPr>
      <w:bookmarkStart w:id="2" w:name="_Toc1894"/>
      <w:r>
        <w:rPr>
          <w:rFonts w:ascii="黑体" w:hAnsi="黑体" w:eastAsia="黑体"/>
          <w:sz w:val="30"/>
          <w:szCs w:val="30"/>
        </w:rPr>
        <w:t>第一章 绪论</w:t>
      </w:r>
      <w:bookmarkEnd w:id="2"/>
    </w:p>
    <w:p w14:paraId="1DADB4F7">
      <w:pPr>
        <w:spacing w:line="400" w:lineRule="exact"/>
        <w:jc w:val="both"/>
        <w:outlineLvl w:val="1"/>
        <w:rPr>
          <w:rFonts w:ascii="黑体" w:hAnsi="黑体" w:eastAsia="黑体"/>
          <w:sz w:val="28"/>
          <w:szCs w:val="28"/>
        </w:rPr>
      </w:pPr>
      <w:bookmarkStart w:id="3" w:name="_Toc18810"/>
      <w:r>
        <w:rPr>
          <w:rFonts w:ascii="黑体" w:hAnsi="黑体" w:eastAsia="黑体"/>
          <w:sz w:val="28"/>
          <w:szCs w:val="28"/>
        </w:rPr>
        <w:t>1.1 研究背景</w:t>
      </w:r>
      <w:bookmarkEnd w:id="3"/>
    </w:p>
    <w:p w14:paraId="0795A07E">
      <w:pPr>
        <w:spacing w:line="360" w:lineRule="auto"/>
        <w:ind w:firstLine="480" w:firstLineChars="200"/>
        <w:rPr>
          <w:rFonts w:ascii="宋体" w:hAnsi="宋体" w:eastAsia="宋体"/>
          <w:sz w:val="24"/>
          <w:szCs w:val="24"/>
        </w:rPr>
      </w:pPr>
      <w:r>
        <w:rPr>
          <w:rFonts w:ascii="宋体" w:hAnsi="宋体" w:eastAsia="宋体"/>
          <w:sz w:val="24"/>
          <w:szCs w:val="24"/>
        </w:rPr>
        <w:t>随着互联网、大数据、人工智能等技术的飞速发展，传统零售业正经历着深刻的变革。线上流量红利逐渐见顶，纯电商模式面临增长瓶颈；同时，线下实体零售也因成本上升、消费需求多元化而遭遇挑战。在此背景下，“新零售”概念应运而生，旨在通过线上、线下、物流的深度融合，重构“人、货、场”三大要素，打造全新的商业生态。自马云于2016年提出新零售概念以来，该模式迅速成为行业热点，涌现出众多创新实践。盒马鲜生作为阿里系新零售的标杆，凭借“生鲜+餐饮+即时配送”的独特模式，成功颠覆了传统生鲜零售业态，成为业界关注的焦点。</w:t>
      </w:r>
    </w:p>
    <w:p w14:paraId="538E7C9F">
      <w:pPr>
        <w:spacing w:line="360" w:lineRule="auto"/>
        <w:ind w:firstLine="480" w:firstLineChars="200"/>
        <w:rPr>
          <w:rFonts w:ascii="宋体" w:hAnsi="宋体" w:eastAsia="宋体"/>
          <w:sz w:val="24"/>
          <w:szCs w:val="24"/>
        </w:rPr>
      </w:pPr>
      <w:r>
        <w:rPr>
          <w:rFonts w:ascii="宋体" w:hAnsi="宋体" w:eastAsia="宋体"/>
          <w:sz w:val="24"/>
          <w:szCs w:val="24"/>
        </w:rPr>
        <w:t>然而，新零售模式的全国性复制并非简单的标准输出。中国地域广阔，不同城市在经济发展水平、消费习惯、文化偏好、地理环境等方面存在显著差异。盒马鲜生在一线城市（如上海、北京）的成功经验，在向二三线城市拓展时，必然会面临本地化适应的挑战。重庆作为西部地区的经济中心和消费重镇，具有独特的地理特征（山城、江城）、鲜明的饮食文化（麻辣重油、火锅文化）和多元的消费群体。研究盒马鲜生如何在重庆市场进行商业模式创新，实现本地化适应，对于理解新零售的区域发展路径具有重要意义。</w:t>
      </w:r>
    </w:p>
    <w:p w14:paraId="143D96A7">
      <w:pPr>
        <w:spacing w:line="400" w:lineRule="exact"/>
        <w:jc w:val="both"/>
        <w:outlineLvl w:val="1"/>
        <w:rPr>
          <w:rFonts w:ascii="黑体" w:hAnsi="黑体" w:eastAsia="黑体"/>
          <w:sz w:val="28"/>
          <w:szCs w:val="28"/>
        </w:rPr>
      </w:pPr>
      <w:bookmarkStart w:id="4" w:name="_Toc26632"/>
      <w:r>
        <w:rPr>
          <w:rFonts w:ascii="黑体" w:hAnsi="黑体" w:eastAsia="黑体"/>
          <w:sz w:val="28"/>
          <w:szCs w:val="28"/>
        </w:rPr>
        <w:t>1.2 研究意义</w:t>
      </w:r>
      <w:bookmarkEnd w:id="4"/>
    </w:p>
    <w:p w14:paraId="0B19AB14">
      <w:pPr>
        <w:spacing w:line="400" w:lineRule="exact"/>
        <w:jc w:val="both"/>
        <w:outlineLvl w:val="2"/>
        <w:rPr>
          <w:rFonts w:ascii="黑体" w:hAnsi="黑体" w:eastAsia="黑体"/>
          <w:sz w:val="24"/>
          <w:szCs w:val="24"/>
        </w:rPr>
      </w:pPr>
      <w:bookmarkStart w:id="5" w:name="_Toc30317"/>
      <w:r>
        <w:rPr>
          <w:rFonts w:ascii="黑体" w:hAnsi="黑体" w:eastAsia="黑体"/>
          <w:sz w:val="24"/>
          <w:szCs w:val="24"/>
        </w:rPr>
        <w:t>1. 理论意义</w:t>
      </w:r>
      <w:bookmarkEnd w:id="5"/>
    </w:p>
    <w:p w14:paraId="732380CD">
      <w:pPr>
        <w:spacing w:line="360" w:lineRule="auto"/>
        <w:ind w:firstLine="480" w:firstLineChars="200"/>
        <w:rPr>
          <w:rFonts w:ascii="宋体" w:hAnsi="宋体" w:eastAsia="宋体"/>
          <w:sz w:val="24"/>
          <w:szCs w:val="24"/>
        </w:rPr>
      </w:pPr>
      <w:r>
        <w:rPr>
          <w:rFonts w:ascii="宋体" w:hAnsi="宋体" w:eastAsia="宋体"/>
          <w:sz w:val="24"/>
          <w:szCs w:val="24"/>
        </w:rPr>
        <w:t>本研究聚焦于新零售模式的区域适应性创新，将商业模式创新理论置于特定的地域文化、消费环境和市场竞争背景下进行考察。这有助于丰富和拓展现有商业模式创新理论的研究视角，探讨标准化与本土化之间的动态平衡，深化对商业模式创新动态过程的理解，为零售业区域市场拓展的理论研究提供新的案例支撑。</w:t>
      </w:r>
    </w:p>
    <w:p w14:paraId="1A9DC74B">
      <w:pPr>
        <w:spacing w:line="400" w:lineRule="exact"/>
        <w:jc w:val="both"/>
        <w:outlineLvl w:val="2"/>
        <w:rPr>
          <w:rFonts w:ascii="黑体" w:hAnsi="黑体" w:eastAsia="黑体"/>
          <w:sz w:val="24"/>
          <w:szCs w:val="24"/>
        </w:rPr>
      </w:pPr>
      <w:bookmarkStart w:id="6" w:name="_Toc963"/>
      <w:r>
        <w:rPr>
          <w:rFonts w:ascii="黑体" w:hAnsi="黑体" w:eastAsia="黑体"/>
          <w:sz w:val="24"/>
          <w:szCs w:val="24"/>
        </w:rPr>
        <w:t>2. 实践意义</w:t>
      </w:r>
      <w:bookmarkEnd w:id="6"/>
    </w:p>
    <w:p w14:paraId="3077F6E0">
      <w:pPr>
        <w:spacing w:line="360" w:lineRule="auto"/>
        <w:ind w:firstLine="480" w:firstLineChars="200"/>
        <w:rPr>
          <w:rFonts w:ascii="宋体" w:hAnsi="宋体" w:eastAsia="宋体"/>
          <w:sz w:val="24"/>
          <w:szCs w:val="24"/>
        </w:rPr>
      </w:pPr>
      <w:r>
        <w:rPr>
          <w:rFonts w:ascii="宋体" w:hAnsi="宋体" w:eastAsia="宋体"/>
          <w:sz w:val="24"/>
          <w:szCs w:val="24"/>
        </w:rPr>
        <w:t>本研究通过深入分析盒马鲜生在重庆市场的本地化实践、挑战及成因，能够为盒马鲜生及其他新零售企业在全国范围内的区域市场拓展提供具体、可操作的优化建议。研究成果对于零售企业如何准确把握区域市场特征、优化供应链管理、调整产品结构、实施精准营销具有直接的指导价值，有助于提升企业在复杂市场环境中的竞争力和生存能力。</w:t>
      </w:r>
    </w:p>
    <w:p w14:paraId="417CCC0E">
      <w:pPr>
        <w:spacing w:line="400" w:lineRule="exact"/>
        <w:jc w:val="both"/>
        <w:outlineLvl w:val="1"/>
        <w:rPr>
          <w:rFonts w:ascii="黑体" w:hAnsi="黑体" w:eastAsia="黑体"/>
          <w:sz w:val="28"/>
          <w:szCs w:val="28"/>
        </w:rPr>
      </w:pPr>
      <w:bookmarkStart w:id="7" w:name="_Toc3616"/>
      <w:r>
        <w:rPr>
          <w:rFonts w:ascii="黑体" w:hAnsi="黑体" w:eastAsia="黑体"/>
          <w:sz w:val="28"/>
          <w:szCs w:val="28"/>
        </w:rPr>
        <w:t>1.3 研究内容</w:t>
      </w:r>
      <w:bookmarkEnd w:id="7"/>
    </w:p>
    <w:p w14:paraId="2683AFFD">
      <w:pPr>
        <w:spacing w:line="360" w:lineRule="auto"/>
        <w:ind w:firstLine="480" w:firstLineChars="200"/>
        <w:rPr>
          <w:rFonts w:ascii="宋体" w:hAnsi="宋体" w:eastAsia="宋体"/>
          <w:sz w:val="24"/>
          <w:szCs w:val="24"/>
        </w:rPr>
      </w:pPr>
      <w:r>
        <w:rPr>
          <w:rFonts w:ascii="宋体" w:hAnsi="宋体" w:eastAsia="宋体"/>
          <w:sz w:val="24"/>
          <w:szCs w:val="24"/>
        </w:rPr>
        <w:t>本研究以盒马鲜生在重庆市场的商业模式为研究对象，主要研究内容包括：</w:t>
      </w:r>
    </w:p>
    <w:p w14:paraId="7910034D">
      <w:pPr>
        <w:keepNext w:val="0"/>
        <w:keepLines w:val="0"/>
        <w:widowControl/>
        <w:suppressLineNumbers w:val="0"/>
        <w:spacing w:line="360" w:lineRule="auto"/>
        <w:ind w:firstLine="480" w:firstLineChars="200"/>
        <w:rPr>
          <w:rFonts w:ascii="宋体" w:hAnsi="宋体" w:eastAsia="宋体"/>
          <w:sz w:val="24"/>
          <w:szCs w:val="24"/>
        </w:rPr>
      </w:pPr>
    </w:p>
    <w:p w14:paraId="3733E4C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商业模式理论梳理： 系统回顾新零售和商业模式创新的相关理论，为后续分析奠定理论基础。</w:t>
      </w:r>
    </w:p>
    <w:p w14:paraId="49F5A0E0">
      <w:pPr>
        <w:keepNext w:val="0"/>
        <w:keepLines w:val="0"/>
        <w:widowControl/>
        <w:suppressLineNumbers w:val="0"/>
        <w:spacing w:line="360" w:lineRule="auto"/>
        <w:ind w:firstLine="480" w:firstLineChars="200"/>
        <w:rPr>
          <w:rFonts w:ascii="宋体" w:hAnsi="宋体" w:eastAsia="宋体"/>
          <w:sz w:val="24"/>
          <w:szCs w:val="24"/>
        </w:rPr>
      </w:pPr>
    </w:p>
    <w:p w14:paraId="6AE18211">
      <w:pPr>
        <w:keepNext w:val="0"/>
        <w:keepLines w:val="0"/>
        <w:widowControl/>
        <w:suppressLineNumbers w:val="0"/>
        <w:spacing w:line="360" w:lineRule="auto"/>
        <w:ind w:firstLine="480" w:firstLineChars="200"/>
        <w:rPr>
          <w:rFonts w:ascii="宋体" w:hAnsi="宋体" w:eastAsia="宋体"/>
          <w:sz w:val="24"/>
          <w:szCs w:val="24"/>
        </w:rPr>
      </w:pPr>
    </w:p>
    <w:p w14:paraId="061CAEE5">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盒马鲜生商业模式总体分析： 基于商业模式画布理论，从价值主张、价值创造、价值传递、价值获取四个维度，剖析盒马鲜生商业模式的构成要素与创新特征。</w:t>
      </w:r>
    </w:p>
    <w:p w14:paraId="09B2C44A">
      <w:pPr>
        <w:keepNext w:val="0"/>
        <w:keepLines w:val="0"/>
        <w:widowControl/>
        <w:suppressLineNumbers w:val="0"/>
        <w:spacing w:line="360" w:lineRule="auto"/>
        <w:ind w:firstLine="480" w:firstLineChars="200"/>
        <w:rPr>
          <w:rFonts w:ascii="宋体" w:hAnsi="宋体" w:eastAsia="宋体"/>
          <w:sz w:val="24"/>
          <w:szCs w:val="24"/>
        </w:rPr>
      </w:pPr>
    </w:p>
    <w:p w14:paraId="4121B608">
      <w:pPr>
        <w:keepNext w:val="0"/>
        <w:keepLines w:val="0"/>
        <w:widowControl/>
        <w:suppressLineNumbers w:val="0"/>
        <w:spacing w:line="360" w:lineRule="auto"/>
        <w:ind w:firstLine="480" w:firstLineChars="200"/>
        <w:rPr>
          <w:rFonts w:ascii="宋体" w:hAnsi="宋体" w:eastAsia="宋体"/>
          <w:sz w:val="24"/>
          <w:szCs w:val="24"/>
        </w:rPr>
      </w:pPr>
    </w:p>
    <w:p w14:paraId="17F067A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重庆市场本地化实践分析： 分析重庆本地消费特征，梳理盒马鲜生在重庆市场的本地化实践举措，如商品选品、营销活动、配送策略、门店选址等。</w:t>
      </w:r>
    </w:p>
    <w:p w14:paraId="43E6DFED">
      <w:pPr>
        <w:keepNext w:val="0"/>
        <w:keepLines w:val="0"/>
        <w:widowControl/>
        <w:suppressLineNumbers w:val="0"/>
        <w:spacing w:line="360" w:lineRule="auto"/>
        <w:ind w:firstLine="480" w:firstLineChars="200"/>
        <w:rPr>
          <w:rFonts w:ascii="宋体" w:hAnsi="宋体" w:eastAsia="宋体"/>
          <w:sz w:val="24"/>
          <w:szCs w:val="24"/>
        </w:rPr>
      </w:pPr>
    </w:p>
    <w:p w14:paraId="721C9AD6">
      <w:pPr>
        <w:keepNext w:val="0"/>
        <w:keepLines w:val="0"/>
        <w:widowControl/>
        <w:suppressLineNumbers w:val="0"/>
        <w:spacing w:line="360" w:lineRule="auto"/>
        <w:ind w:firstLine="480" w:firstLineChars="200"/>
        <w:rPr>
          <w:rFonts w:ascii="宋体" w:hAnsi="宋体" w:eastAsia="宋体"/>
          <w:sz w:val="24"/>
          <w:szCs w:val="24"/>
        </w:rPr>
      </w:pPr>
    </w:p>
    <w:p w14:paraId="5AF6E593">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问题诊断与成因分析： 通过问卷调查和访谈，识别盒马鲜生在重庆市场运营中存在的主要问题，并从内部能力、外部环境等角度深入分析问题成因。</w:t>
      </w:r>
    </w:p>
    <w:p w14:paraId="499C4F22">
      <w:pPr>
        <w:keepNext w:val="0"/>
        <w:keepLines w:val="0"/>
        <w:widowControl/>
        <w:suppressLineNumbers w:val="0"/>
        <w:spacing w:line="360" w:lineRule="auto"/>
        <w:ind w:firstLine="480" w:firstLineChars="200"/>
        <w:rPr>
          <w:rFonts w:ascii="宋体" w:hAnsi="宋体" w:eastAsia="宋体"/>
          <w:sz w:val="24"/>
          <w:szCs w:val="24"/>
        </w:rPr>
      </w:pPr>
    </w:p>
    <w:p w14:paraId="642C44B3">
      <w:pPr>
        <w:keepNext w:val="0"/>
        <w:keepLines w:val="0"/>
        <w:widowControl/>
        <w:suppressLineNumbers w:val="0"/>
        <w:spacing w:line="360" w:lineRule="auto"/>
        <w:ind w:firstLine="480" w:firstLineChars="200"/>
        <w:rPr>
          <w:rFonts w:ascii="宋体" w:hAnsi="宋体" w:eastAsia="宋体"/>
          <w:sz w:val="24"/>
          <w:szCs w:val="24"/>
        </w:rPr>
      </w:pPr>
    </w:p>
    <w:p w14:paraId="6186E763">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优化对策研究： 针对诊断出的问题，结合商业模式理论和本地市场特点，提出具体的商业模式优化建议和实施方案。</w:t>
      </w:r>
    </w:p>
    <w:p w14:paraId="085C9C15">
      <w:pPr>
        <w:keepNext w:val="0"/>
        <w:keepLines w:val="0"/>
        <w:widowControl/>
        <w:suppressLineNumbers w:val="0"/>
        <w:spacing w:line="360" w:lineRule="auto"/>
        <w:ind w:firstLine="480" w:firstLineChars="200"/>
        <w:rPr>
          <w:rFonts w:ascii="宋体" w:hAnsi="宋体" w:eastAsia="宋体"/>
          <w:sz w:val="24"/>
          <w:szCs w:val="24"/>
        </w:rPr>
      </w:pPr>
    </w:p>
    <w:p w14:paraId="217677FC">
      <w:pPr>
        <w:keepNext w:val="0"/>
        <w:keepLines w:val="0"/>
        <w:widowControl/>
        <w:suppressLineNumbers w:val="0"/>
        <w:spacing w:line="400" w:lineRule="exact"/>
        <w:jc w:val="both"/>
        <w:outlineLvl w:val="1"/>
        <w:rPr>
          <w:rFonts w:ascii="黑体" w:hAnsi="黑体" w:eastAsia="黑体"/>
          <w:sz w:val="28"/>
          <w:szCs w:val="28"/>
        </w:rPr>
      </w:pPr>
      <w:bookmarkStart w:id="8" w:name="_Toc1057"/>
      <w:r>
        <w:rPr>
          <w:rFonts w:ascii="黑体" w:hAnsi="黑体" w:eastAsia="黑体"/>
          <w:sz w:val="28"/>
          <w:szCs w:val="28"/>
        </w:rPr>
        <w:t>1.4 研究方法</w:t>
      </w:r>
      <w:bookmarkEnd w:id="8"/>
    </w:p>
    <w:p w14:paraId="14ACFDFE">
      <w:pPr>
        <w:keepNext w:val="0"/>
        <w:keepLines w:val="0"/>
        <w:widowControl/>
        <w:suppressLineNumbers w:val="0"/>
        <w:spacing w:line="360" w:lineRule="auto"/>
        <w:ind w:firstLine="480" w:firstLineChars="200"/>
        <w:rPr>
          <w:rFonts w:ascii="宋体" w:hAnsi="宋体" w:eastAsia="宋体"/>
          <w:sz w:val="24"/>
          <w:szCs w:val="24"/>
        </w:rPr>
      </w:pPr>
    </w:p>
    <w:p w14:paraId="682547D5">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案例分析法： 以盒马鲜生为典型案例，深入研究其商业模式创新过程和在重庆市场的具体实践，通过深度剖析典型样本，提炼出具有普遍意义的规律和启示。</w:t>
      </w:r>
    </w:p>
    <w:p w14:paraId="74B1B369">
      <w:pPr>
        <w:keepNext w:val="0"/>
        <w:keepLines w:val="0"/>
        <w:widowControl/>
        <w:suppressLineNumbers w:val="0"/>
        <w:spacing w:line="360" w:lineRule="auto"/>
        <w:ind w:firstLine="480" w:firstLineChars="200"/>
        <w:rPr>
          <w:rFonts w:ascii="宋体" w:hAnsi="宋体" w:eastAsia="宋体"/>
          <w:sz w:val="24"/>
          <w:szCs w:val="24"/>
        </w:rPr>
      </w:pPr>
    </w:p>
    <w:p w14:paraId="33D9E2C3">
      <w:pPr>
        <w:keepNext w:val="0"/>
        <w:keepLines w:val="0"/>
        <w:widowControl/>
        <w:suppressLineNumbers w:val="0"/>
        <w:spacing w:line="360" w:lineRule="auto"/>
        <w:ind w:firstLine="480" w:firstLineChars="200"/>
        <w:rPr>
          <w:rFonts w:ascii="宋体" w:hAnsi="宋体" w:eastAsia="宋体"/>
          <w:sz w:val="24"/>
          <w:szCs w:val="24"/>
        </w:rPr>
      </w:pPr>
    </w:p>
    <w:p w14:paraId="2C9E402A">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问卷调查法： 设计并发放调查问卷，面向重庆主城区盒马鲜生门店的消费者，收集关于购买行为、满意度、本地化需求、品牌认知等方面的数据，为问题分析提供量化支持。</w:t>
      </w:r>
    </w:p>
    <w:p w14:paraId="7C9AD3A0">
      <w:pPr>
        <w:keepNext w:val="0"/>
        <w:keepLines w:val="0"/>
        <w:widowControl/>
        <w:suppressLineNumbers w:val="0"/>
        <w:spacing w:line="360" w:lineRule="auto"/>
        <w:ind w:firstLine="480" w:firstLineChars="200"/>
        <w:rPr>
          <w:rFonts w:ascii="宋体" w:hAnsi="宋体" w:eastAsia="宋体"/>
          <w:sz w:val="24"/>
          <w:szCs w:val="24"/>
        </w:rPr>
      </w:pPr>
    </w:p>
    <w:p w14:paraId="6C1F1EE1">
      <w:pPr>
        <w:keepNext w:val="0"/>
        <w:keepLines w:val="0"/>
        <w:widowControl/>
        <w:suppressLineNumbers w:val="0"/>
        <w:spacing w:line="360" w:lineRule="auto"/>
        <w:ind w:firstLine="480" w:firstLineChars="200"/>
        <w:rPr>
          <w:rFonts w:ascii="宋体" w:hAnsi="宋体" w:eastAsia="宋体"/>
          <w:sz w:val="24"/>
          <w:szCs w:val="24"/>
        </w:rPr>
      </w:pPr>
    </w:p>
    <w:p w14:paraId="0C77D568">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访谈法： 设计访谈提纲，对盒马鲜生在重庆地区的门店管理人员、行业专家进行深度访谈，获取关于运营策略、供应链管理、市场竞争等方面的定性信息和专业见解。</w:t>
      </w:r>
    </w:p>
    <w:p w14:paraId="584A3E08">
      <w:pPr>
        <w:keepNext w:val="0"/>
        <w:keepLines w:val="0"/>
        <w:widowControl/>
        <w:suppressLineNumbers w:val="0"/>
        <w:spacing w:line="360" w:lineRule="auto"/>
        <w:ind w:firstLine="480" w:firstLineChars="200"/>
        <w:rPr>
          <w:rFonts w:ascii="宋体" w:hAnsi="宋体" w:eastAsia="宋体"/>
          <w:sz w:val="24"/>
          <w:szCs w:val="24"/>
        </w:rPr>
      </w:pPr>
    </w:p>
    <w:p w14:paraId="76A72135">
      <w:pPr>
        <w:keepNext w:val="0"/>
        <w:keepLines w:val="0"/>
        <w:widowControl/>
        <w:suppressLineNumbers w:val="0"/>
        <w:spacing w:line="360" w:lineRule="auto"/>
        <w:ind w:firstLine="480" w:firstLineChars="200"/>
        <w:rPr>
          <w:rFonts w:ascii="宋体" w:hAnsi="宋体" w:eastAsia="宋体"/>
          <w:sz w:val="24"/>
          <w:szCs w:val="24"/>
        </w:rPr>
      </w:pPr>
    </w:p>
    <w:p w14:paraId="5057508B">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比较分析法： 将盒马鲜生在重庆市场的实践与其在其他城市（如上海）的实践进行对比，分析其在区域拓展中策略调整的异同点，揭示本地化适应的内在逻辑。</w:t>
      </w:r>
    </w:p>
    <w:p w14:paraId="58ABB782">
      <w:pPr>
        <w:keepNext w:val="0"/>
        <w:keepLines w:val="0"/>
        <w:widowControl/>
        <w:suppressLineNumbers w:val="0"/>
        <w:spacing w:line="360" w:lineRule="auto"/>
        <w:ind w:firstLine="480" w:firstLineChars="200"/>
        <w:rPr>
          <w:rFonts w:ascii="宋体" w:hAnsi="宋体" w:eastAsia="宋体"/>
          <w:sz w:val="24"/>
          <w:szCs w:val="24"/>
        </w:rPr>
      </w:pPr>
    </w:p>
    <w:p w14:paraId="6D76652E">
      <w:pPr>
        <w:spacing w:line="400" w:lineRule="exact"/>
        <w:jc w:val="both"/>
        <w:outlineLvl w:val="1"/>
        <w:rPr>
          <w:rFonts w:ascii="黑体" w:hAnsi="黑体" w:eastAsia="黑体"/>
          <w:sz w:val="28"/>
          <w:szCs w:val="28"/>
        </w:rPr>
      </w:pPr>
      <w:bookmarkStart w:id="9" w:name="_Toc7748"/>
      <w:r>
        <w:rPr>
          <w:rFonts w:ascii="黑体" w:hAnsi="黑体" w:eastAsia="黑体"/>
          <w:sz w:val="28"/>
          <w:szCs w:val="28"/>
        </w:rPr>
        <w:t>1.5 论文结构</w:t>
      </w:r>
      <w:bookmarkEnd w:id="9"/>
    </w:p>
    <w:p w14:paraId="22B24D32">
      <w:pPr>
        <w:spacing w:line="360" w:lineRule="auto"/>
        <w:ind w:firstLine="480" w:firstLineChars="200"/>
        <w:rPr>
          <w:rFonts w:ascii="宋体" w:hAnsi="宋体" w:eastAsia="宋体"/>
          <w:sz w:val="24"/>
          <w:szCs w:val="24"/>
        </w:rPr>
      </w:pPr>
      <w:r>
        <w:rPr>
          <w:rFonts w:ascii="宋体" w:hAnsi="宋体" w:eastAsia="宋体"/>
          <w:sz w:val="24"/>
          <w:szCs w:val="24"/>
        </w:rPr>
        <w:t>论文共分为六章：</w:t>
      </w:r>
    </w:p>
    <w:p w14:paraId="28577294">
      <w:pPr>
        <w:keepNext w:val="0"/>
        <w:keepLines w:val="0"/>
        <w:widowControl/>
        <w:suppressLineNumbers w:val="0"/>
        <w:spacing w:line="400" w:lineRule="exact"/>
        <w:jc w:val="center"/>
        <w:outlineLvl w:val="0"/>
        <w:rPr>
          <w:rFonts w:ascii="黑体" w:hAnsi="黑体" w:eastAsia="黑体"/>
          <w:sz w:val="30"/>
          <w:szCs w:val="30"/>
        </w:rPr>
      </w:pPr>
      <w:bookmarkStart w:id="10" w:name="_Toc26901"/>
      <w:r>
        <w:rPr>
          <w:rFonts w:ascii="黑体" w:hAnsi="黑体" w:eastAsia="黑体"/>
          <w:sz w:val="30"/>
          <w:szCs w:val="30"/>
        </w:rPr>
        <w:t>第一章 绪论：介绍研究背景、意义、内容、方法和论文结构。</w:t>
      </w:r>
      <w:bookmarkEnd w:id="10"/>
    </w:p>
    <w:p w14:paraId="3EFCFCF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第二章 文献综述：梳理新零售、商业模式创新、盒马鲜生及重庆零售市场相关研究。</w:t>
      </w:r>
    </w:p>
    <w:p w14:paraId="668F47A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第三章 研究设计：明确研究对象、研究方法的应用、数据来源和研究框架。</w:t>
      </w:r>
    </w:p>
    <w:p w14:paraId="5E5C64E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第四章 盒马鲜生商业模式创新分析：基于商业模式画布理论，剖析盒马鲜生总体商业模式创新。</w:t>
      </w:r>
    </w:p>
    <w:p w14:paraId="1DC75E1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第五章 盒马鲜生在重庆市场的本地化实践与问题分析：分析重庆市场特征，梳理本地化实践，诊断存在问题，分析问题成因。</w:t>
      </w:r>
    </w:p>
    <w:p w14:paraId="65AE5B8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第六章 优化建议与结论：提出优化建议，总结研究结论，指出研究不足与未来展望。</w:t>
      </w:r>
    </w:p>
    <w:p w14:paraId="4177D33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25" o:spt="1" style="height:1.5pt;width:432pt;" filled="t" stroked="f" coordsize="21600,21600" o:hr="t" o:hrstd="t" o:hrnoshade="t" o:hralign="center">
            <v:path/>
            <v:fill on="t" focussize="0,0"/>
            <v:stroke on="f"/>
            <v:imagedata o:title=""/>
            <o:lock v:ext="edit"/>
            <w10:wrap type="none"/>
            <w10:anchorlock/>
          </v:rect>
        </w:pict>
      </w:r>
    </w:p>
    <w:p w14:paraId="0EFDE538">
      <w:pPr>
        <w:keepNext w:val="0"/>
        <w:keepLines w:val="0"/>
        <w:widowControl/>
        <w:suppressLineNumbers w:val="0"/>
        <w:spacing w:line="400" w:lineRule="exact"/>
        <w:jc w:val="center"/>
        <w:outlineLvl w:val="0"/>
        <w:rPr>
          <w:rFonts w:ascii="黑体" w:hAnsi="黑体" w:eastAsia="黑体"/>
          <w:sz w:val="30"/>
          <w:szCs w:val="30"/>
        </w:rPr>
      </w:pPr>
      <w:bookmarkStart w:id="11" w:name="_Toc21479"/>
      <w:r>
        <w:rPr>
          <w:rFonts w:ascii="黑体" w:hAnsi="黑体" w:eastAsia="黑体"/>
          <w:sz w:val="30"/>
          <w:szCs w:val="30"/>
        </w:rPr>
        <w:t>第二章 文献综述</w:t>
      </w:r>
      <w:bookmarkEnd w:id="11"/>
    </w:p>
    <w:p w14:paraId="78BD599B">
      <w:pPr>
        <w:spacing w:line="400" w:lineRule="exact"/>
        <w:jc w:val="both"/>
        <w:outlineLvl w:val="1"/>
        <w:rPr>
          <w:rFonts w:ascii="黑体" w:hAnsi="黑体" w:eastAsia="黑体"/>
          <w:sz w:val="28"/>
          <w:szCs w:val="28"/>
        </w:rPr>
      </w:pPr>
      <w:bookmarkStart w:id="12" w:name="_Toc11474"/>
      <w:r>
        <w:rPr>
          <w:rFonts w:ascii="黑体" w:hAnsi="黑体" w:eastAsia="黑体"/>
          <w:sz w:val="28"/>
          <w:szCs w:val="28"/>
        </w:rPr>
        <w:t>2.1 新零售研究现状</w:t>
      </w:r>
      <w:bookmarkEnd w:id="12"/>
    </w:p>
    <w:p w14:paraId="09C5C2F4">
      <w:pPr>
        <w:spacing w:line="360" w:lineRule="auto"/>
        <w:ind w:firstLine="480" w:firstLineChars="200"/>
        <w:rPr>
          <w:rFonts w:ascii="宋体" w:hAnsi="宋体" w:eastAsia="宋体"/>
          <w:sz w:val="24"/>
          <w:szCs w:val="24"/>
        </w:rPr>
      </w:pPr>
      <w:r>
        <w:rPr>
          <w:rFonts w:ascii="宋体" w:hAnsi="宋体" w:eastAsia="宋体"/>
          <w:sz w:val="24"/>
          <w:szCs w:val="24"/>
        </w:rPr>
        <w:t>新零售概念的提出，引发了学术界的广泛讨论。王宝义（2017）认为，新零售的本质是线上、线下、物流的深度融合，其成因在于技术驱动、消费升级和竞争加剧。杜睿云和蒋侃（2017）则从内涵、发展动因和关键问题等角度进行了阐释，认为新零售的核心是“以消费者为中心”的商业重构。赵树梅和徐晓红（2017）进一步探讨了新零售的含义、模式及发展路径，指出全渠道、数字化、智能化是其重要特征。国外学者Rigby（2011）提出的“全渠道零售”概念，也为新零售研究提供了重要基础。现有研究多集中于新零售的概念界定、驱动因素和发展趋势，对其在具体区域的落地和演化研究相对较少。</w:t>
      </w:r>
    </w:p>
    <w:p w14:paraId="5F8EC52D">
      <w:pPr>
        <w:spacing w:line="400" w:lineRule="exact"/>
        <w:jc w:val="both"/>
        <w:outlineLvl w:val="1"/>
        <w:rPr>
          <w:rFonts w:ascii="黑体" w:hAnsi="黑体" w:eastAsia="黑体"/>
          <w:sz w:val="28"/>
          <w:szCs w:val="28"/>
        </w:rPr>
      </w:pPr>
      <w:bookmarkStart w:id="13" w:name="_Toc9309"/>
      <w:r>
        <w:rPr>
          <w:rFonts w:ascii="黑体" w:hAnsi="黑体" w:eastAsia="黑体"/>
          <w:sz w:val="28"/>
          <w:szCs w:val="28"/>
        </w:rPr>
        <w:t>2.2 商业模式创新研究</w:t>
      </w:r>
      <w:bookmarkEnd w:id="13"/>
    </w:p>
    <w:p w14:paraId="1CEAEEA8">
      <w:pPr>
        <w:spacing w:line="360" w:lineRule="auto"/>
        <w:ind w:firstLine="480" w:firstLineChars="200"/>
        <w:rPr>
          <w:rFonts w:ascii="宋体" w:hAnsi="宋体" w:eastAsia="宋体"/>
          <w:sz w:val="24"/>
          <w:szCs w:val="24"/>
        </w:rPr>
      </w:pPr>
      <w:r>
        <w:rPr>
          <w:rFonts w:ascii="宋体" w:hAnsi="宋体" w:eastAsia="宋体"/>
          <w:sz w:val="24"/>
          <w:szCs w:val="24"/>
        </w:rPr>
        <w:t>商业模式创新是企业获取竞争优势的重要途径。Osterwalder（2004）提出的商业模式画布理论，为描述和分析商业模式提供了系统框架，其包含客户细分、价值主张、渠道通路、客户关系、收入来源、核心资源、关键业务、重要伙伴和成本结构九个要素。国内学者魏炜和朱武祥（2012）提出的魏朱六要素模型，也为商业模式分析提供了独特视角。在新零售背景下，商业模式创新研究聚焦于如何利用数字技术重构“人、货、场”。例如，刘向东和汤培青（2021）对实体零售商数字化转型下的商业模式创新进行了案例研究。这些研究为本研究提供了重要的理论分析工具。</w:t>
      </w:r>
    </w:p>
    <w:p w14:paraId="64BD2918">
      <w:pPr>
        <w:spacing w:line="400" w:lineRule="exact"/>
        <w:jc w:val="both"/>
        <w:outlineLvl w:val="1"/>
        <w:rPr>
          <w:rFonts w:ascii="黑体" w:hAnsi="黑体" w:eastAsia="黑体"/>
          <w:sz w:val="28"/>
          <w:szCs w:val="28"/>
        </w:rPr>
      </w:pPr>
      <w:bookmarkStart w:id="14" w:name="_Toc2948"/>
      <w:r>
        <w:rPr>
          <w:rFonts w:ascii="黑体" w:hAnsi="黑体" w:eastAsia="黑体"/>
          <w:sz w:val="28"/>
          <w:szCs w:val="28"/>
        </w:rPr>
        <w:t>2.3 盒马鲜生相关研究</w:t>
      </w:r>
      <w:bookmarkEnd w:id="14"/>
    </w:p>
    <w:p w14:paraId="308CBA00">
      <w:pPr>
        <w:spacing w:line="360" w:lineRule="auto"/>
        <w:ind w:firstLine="480" w:firstLineChars="200"/>
        <w:rPr>
          <w:rFonts w:ascii="宋体" w:hAnsi="宋体" w:eastAsia="宋体"/>
          <w:sz w:val="24"/>
          <w:szCs w:val="24"/>
        </w:rPr>
      </w:pPr>
      <w:r>
        <w:rPr>
          <w:rFonts w:ascii="宋体" w:hAnsi="宋体" w:eastAsia="宋体"/>
          <w:sz w:val="24"/>
          <w:szCs w:val="24"/>
        </w:rPr>
        <w:t>盒马鲜生作为新零售的标杆企业，受到众多学者的关注。王晓娟（2019）和张宇（2019）的学位论文，都曾以盒马鲜生为例，探讨其商业模式创新。张艳（2019）在《商业经济研究》上分析了盒马鲜生的新零售商业模式创新。重庆工商大学企业管理研究中心等（2024）在《南开管理评论》上发表的案例研究，探讨了数据驱动下新零售商业模式闭环的构建机理，具有重要参考价值。包芷琪（2025）从消费旅程视角探讨了盒马鲜生的商业模式创新，李欣然（2025）则分析了新零售消费模式及供应链体系构建。舒文文和杜碧升（2025）从情境-认知视角探讨了生鲜电商商业模式创新的演进路径。此外，还有研究从“人货场”视角（2024）、数字经济背景（2022）等角度进行分析。这些研究为本文提供了丰富的文献基础，但大多集中于模式本身的描述或全国性分析，对特定区域市场的本地化适应研究仍有待深入。</w:t>
      </w:r>
    </w:p>
    <w:p w14:paraId="2C8544BF">
      <w:pPr>
        <w:spacing w:line="400" w:lineRule="exact"/>
        <w:jc w:val="both"/>
        <w:outlineLvl w:val="1"/>
        <w:rPr>
          <w:rFonts w:ascii="黑体" w:hAnsi="黑体" w:eastAsia="黑体"/>
          <w:sz w:val="28"/>
          <w:szCs w:val="28"/>
        </w:rPr>
      </w:pPr>
      <w:bookmarkStart w:id="15" w:name="_Toc11944"/>
      <w:r>
        <w:rPr>
          <w:rFonts w:ascii="黑体" w:hAnsi="黑体" w:eastAsia="黑体"/>
          <w:sz w:val="28"/>
          <w:szCs w:val="28"/>
        </w:rPr>
        <w:t>2.4 重庆零售市场研究</w:t>
      </w:r>
      <w:bookmarkEnd w:id="15"/>
    </w:p>
    <w:p w14:paraId="14B61D76">
      <w:pPr>
        <w:spacing w:line="360" w:lineRule="auto"/>
        <w:ind w:firstLine="480" w:firstLineChars="200"/>
        <w:rPr>
          <w:rFonts w:ascii="宋体" w:hAnsi="宋体" w:eastAsia="宋体"/>
          <w:sz w:val="24"/>
          <w:szCs w:val="24"/>
        </w:rPr>
      </w:pPr>
      <w:r>
        <w:rPr>
          <w:rFonts w:ascii="宋体" w:hAnsi="宋体" w:eastAsia="宋体"/>
          <w:sz w:val="24"/>
          <w:szCs w:val="24"/>
        </w:rPr>
        <w:t>重庆作为西部唯一的直辖市，其零售市场具有鲜明的区域特色。根据重庆市统计局（2023）和重庆市商务委员会（2023）发布的数据，重庆社会消费品零售总额持续增长，消费市场潜力巨大。重庆市民的消费习惯呈现多元化、个性化趋势，同时由于地理环境复杂，城市交通拥堵，对即时配送提出了更高要求。现有关于重庆零售市场的研究，多集中于宏观发展态势或传统零售业态分析，对新零售模式在重庆的适应性研究相对缺乏。</w:t>
      </w:r>
    </w:p>
    <w:p w14:paraId="27615653">
      <w:pPr>
        <w:spacing w:line="400" w:lineRule="exact"/>
        <w:jc w:val="both"/>
        <w:outlineLvl w:val="1"/>
        <w:rPr>
          <w:rFonts w:ascii="黑体" w:hAnsi="黑体" w:eastAsia="黑体"/>
          <w:sz w:val="28"/>
          <w:szCs w:val="28"/>
        </w:rPr>
      </w:pPr>
      <w:bookmarkStart w:id="16" w:name="_Toc13729"/>
      <w:r>
        <w:rPr>
          <w:rFonts w:ascii="黑体" w:hAnsi="黑体" w:eastAsia="黑体"/>
          <w:sz w:val="28"/>
          <w:szCs w:val="28"/>
        </w:rPr>
        <w:t>2.5 研究评述</w:t>
      </w:r>
      <w:bookmarkEnd w:id="16"/>
    </w:p>
    <w:p w14:paraId="289EAB7A">
      <w:pPr>
        <w:spacing w:line="360" w:lineRule="auto"/>
        <w:ind w:firstLine="480" w:firstLineChars="200"/>
        <w:rPr>
          <w:rFonts w:ascii="宋体" w:hAnsi="宋体" w:eastAsia="宋体"/>
          <w:sz w:val="24"/>
          <w:szCs w:val="24"/>
        </w:rPr>
      </w:pPr>
      <w:r>
        <w:rPr>
          <w:rFonts w:ascii="宋体" w:hAnsi="宋体" w:eastAsia="宋体"/>
          <w:sz w:val="24"/>
          <w:szCs w:val="24"/>
        </w:rPr>
        <w:t>通过对上述文献的梳理可以发现，国内外学者对新零售和商业模式创新的研究已取得丰硕成果，为本文提供了坚实的理论基础。然而，现有研究仍存在以下不足：一是大部分研究聚焦于商业模式本身的创新性描述，对创新模式在不同区域市场落地时的调整与适应过程关注不够；二是缺乏针对特定区域（如重庆）的深度案例研究，难以揭示新零售模式与区域本土特征互动演化的内在机制。因此，本文以盒马鲜生在重庆市场的商业模式为切入点，深入分析其本地化实践、挑战与优化路径，旨在弥补现有研究的不足，为新零售的区域发展提供理论和实践参考。</w:t>
      </w:r>
    </w:p>
    <w:p w14:paraId="17A2E0A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26" o:spt="1" style="height:1.5pt;width:432pt;" filled="t" stroked="f" coordsize="21600,21600" o:hr="t" o:hrstd="t" o:hrnoshade="t" o:hralign="center">
            <v:path/>
            <v:fill on="t" focussize="0,0"/>
            <v:stroke on="f"/>
            <v:imagedata o:title=""/>
            <o:lock v:ext="edit"/>
            <w10:wrap type="none"/>
            <w10:anchorlock/>
          </v:rect>
        </w:pict>
      </w:r>
    </w:p>
    <w:p w14:paraId="1022451F">
      <w:pPr>
        <w:keepNext w:val="0"/>
        <w:keepLines w:val="0"/>
        <w:widowControl/>
        <w:suppressLineNumbers w:val="0"/>
        <w:spacing w:line="400" w:lineRule="exact"/>
        <w:jc w:val="center"/>
        <w:outlineLvl w:val="0"/>
        <w:rPr>
          <w:rFonts w:ascii="黑体" w:hAnsi="黑体" w:eastAsia="黑体"/>
          <w:sz w:val="30"/>
          <w:szCs w:val="30"/>
        </w:rPr>
      </w:pPr>
      <w:bookmarkStart w:id="17" w:name="_Toc8438"/>
      <w:r>
        <w:rPr>
          <w:rFonts w:ascii="黑体" w:hAnsi="黑体" w:eastAsia="黑体"/>
          <w:sz w:val="30"/>
          <w:szCs w:val="30"/>
        </w:rPr>
        <w:t>第三章 研究设计</w:t>
      </w:r>
      <w:bookmarkEnd w:id="17"/>
    </w:p>
    <w:p w14:paraId="47AE0409">
      <w:pPr>
        <w:spacing w:line="400" w:lineRule="exact"/>
        <w:jc w:val="both"/>
        <w:outlineLvl w:val="1"/>
        <w:rPr>
          <w:rFonts w:ascii="黑体" w:hAnsi="黑体" w:eastAsia="黑体"/>
          <w:sz w:val="28"/>
          <w:szCs w:val="28"/>
        </w:rPr>
      </w:pPr>
      <w:bookmarkStart w:id="18" w:name="_Toc10730"/>
      <w:r>
        <w:rPr>
          <w:rFonts w:ascii="黑体" w:hAnsi="黑体" w:eastAsia="黑体"/>
          <w:sz w:val="28"/>
          <w:szCs w:val="28"/>
        </w:rPr>
        <w:t>3.1 研究对象</w:t>
      </w:r>
      <w:bookmarkEnd w:id="18"/>
    </w:p>
    <w:p w14:paraId="2DDD646A">
      <w:pPr>
        <w:spacing w:line="360" w:lineRule="auto"/>
        <w:ind w:firstLine="480" w:firstLineChars="200"/>
        <w:rPr>
          <w:rFonts w:ascii="宋体" w:hAnsi="宋体" w:eastAsia="宋体"/>
          <w:sz w:val="24"/>
          <w:szCs w:val="24"/>
        </w:rPr>
      </w:pPr>
      <w:r>
        <w:rPr>
          <w:rFonts w:ascii="宋体" w:hAnsi="宋体" w:eastAsia="宋体"/>
          <w:sz w:val="24"/>
          <w:szCs w:val="24"/>
        </w:rPr>
        <w:t>本研究以盒马鲜生在重庆市场的商业模式为研究对象。盒马鲜生作为新零售的典型代表，其商业模式具有较强的创新性和研究价值。选择重庆市场，是因为其独特的消费文化和地理环境，能够为研究新零售的区域适应性提供一个典型且具有挑战性的案例。</w:t>
      </w:r>
    </w:p>
    <w:p w14:paraId="30AC0C59">
      <w:pPr>
        <w:keepNext w:val="0"/>
        <w:keepLines w:val="0"/>
        <w:widowControl/>
        <w:suppressLineNumbers w:val="0"/>
        <w:spacing w:line="400" w:lineRule="exact"/>
        <w:jc w:val="both"/>
        <w:outlineLvl w:val="1"/>
        <w:rPr>
          <w:rFonts w:ascii="黑体" w:hAnsi="黑体" w:eastAsia="黑体"/>
          <w:sz w:val="28"/>
          <w:szCs w:val="28"/>
        </w:rPr>
      </w:pPr>
      <w:bookmarkStart w:id="19" w:name="_Toc2854"/>
      <w:r>
        <w:rPr>
          <w:rFonts w:ascii="黑体" w:hAnsi="黑体" w:eastAsia="黑体"/>
          <w:sz w:val="28"/>
          <w:szCs w:val="28"/>
        </w:rPr>
        <w:t>3.2 研究方法</w:t>
      </w:r>
      <w:bookmarkEnd w:id="19"/>
    </w:p>
    <w:p w14:paraId="7060093F">
      <w:pPr>
        <w:keepNext w:val="0"/>
        <w:keepLines w:val="0"/>
        <w:widowControl/>
        <w:suppressLineNumbers w:val="0"/>
        <w:spacing w:line="360" w:lineRule="auto"/>
        <w:ind w:firstLine="480" w:firstLineChars="200"/>
        <w:rPr>
          <w:rFonts w:ascii="宋体" w:hAnsi="宋体" w:eastAsia="宋体"/>
          <w:sz w:val="24"/>
          <w:szCs w:val="24"/>
        </w:rPr>
      </w:pPr>
    </w:p>
    <w:p w14:paraId="6ABF545C">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案例研究法： 将盒马鲜生作为单案例进行深度剖析。选择依据在于其在新零售领域的标杆地位，以及在重庆市场的深度布局。通过搜集相关新闻报道、公司财报、行业分析报告等公开资料，并结合实地调研，构建案例研究的完整图景。</w:t>
      </w:r>
    </w:p>
    <w:p w14:paraId="609A2D9D">
      <w:pPr>
        <w:keepNext w:val="0"/>
        <w:keepLines w:val="0"/>
        <w:widowControl/>
        <w:suppressLineNumbers w:val="0"/>
        <w:spacing w:line="360" w:lineRule="auto"/>
        <w:ind w:firstLine="480" w:firstLineChars="200"/>
        <w:rPr>
          <w:rFonts w:ascii="宋体" w:hAnsi="宋体" w:eastAsia="宋体"/>
          <w:sz w:val="24"/>
          <w:szCs w:val="24"/>
        </w:rPr>
      </w:pPr>
    </w:p>
    <w:p w14:paraId="334DDAD6">
      <w:pPr>
        <w:keepNext w:val="0"/>
        <w:keepLines w:val="0"/>
        <w:widowControl/>
        <w:suppressLineNumbers w:val="0"/>
        <w:spacing w:line="360" w:lineRule="auto"/>
        <w:ind w:firstLine="480" w:firstLineChars="200"/>
        <w:rPr>
          <w:rFonts w:ascii="宋体" w:hAnsi="宋体" w:eastAsia="宋体"/>
          <w:sz w:val="24"/>
          <w:szCs w:val="24"/>
        </w:rPr>
      </w:pPr>
    </w:p>
    <w:p w14:paraId="119F8A0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问卷调查法： 问卷设计旨在了解重庆消费者在盒马鲜生的消费行为、满意度、对本地化商品的偏好以及品牌认知情况。计划在重庆主城区（如渝中区、江北区、南岸区、沙坪坝区等）的盒马门店外或通过线上社群发放问卷200份。问卷内容将包括消费频率、购买品类、对商品价格的敏感度、对本地特色商品的接受度、配送满意度、会员使用情况等。</w:t>
      </w:r>
    </w:p>
    <w:p w14:paraId="02BE9D88">
      <w:pPr>
        <w:keepNext w:val="0"/>
        <w:keepLines w:val="0"/>
        <w:widowControl/>
        <w:suppressLineNumbers w:val="0"/>
        <w:spacing w:line="360" w:lineRule="auto"/>
        <w:ind w:firstLine="480" w:firstLineChars="200"/>
        <w:rPr>
          <w:rFonts w:ascii="宋体" w:hAnsi="宋体" w:eastAsia="宋体"/>
          <w:sz w:val="24"/>
          <w:szCs w:val="24"/>
        </w:rPr>
      </w:pPr>
    </w:p>
    <w:p w14:paraId="4B39B0EE">
      <w:pPr>
        <w:keepNext w:val="0"/>
        <w:keepLines w:val="0"/>
        <w:widowControl/>
        <w:suppressLineNumbers w:val="0"/>
        <w:spacing w:line="360" w:lineRule="auto"/>
        <w:ind w:firstLine="480" w:firstLineChars="200"/>
        <w:rPr>
          <w:rFonts w:ascii="宋体" w:hAnsi="宋体" w:eastAsia="宋体"/>
          <w:sz w:val="24"/>
          <w:szCs w:val="24"/>
        </w:rPr>
      </w:pPr>
    </w:p>
    <w:p w14:paraId="47782DD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访谈法： 设计半结构化访谈提纲，拟对3-5名盒马鲜生在重庆地区的门店店长或区域运营管理人员，以及2-3名零售行业专家或分析师进行深度访谈。访谈内容将聚焦于盒马在重庆的本地化运营策略（如选品、供应链、营销、配送）、面临的挑战、应对竞争的策略以及对未来发展的规划。</w:t>
      </w:r>
    </w:p>
    <w:p w14:paraId="5EEA0F60">
      <w:pPr>
        <w:keepNext w:val="0"/>
        <w:keepLines w:val="0"/>
        <w:widowControl/>
        <w:suppressLineNumbers w:val="0"/>
        <w:spacing w:line="360" w:lineRule="auto"/>
        <w:ind w:firstLine="480" w:firstLineChars="200"/>
        <w:rPr>
          <w:rFonts w:ascii="宋体" w:hAnsi="宋体" w:eastAsia="宋体"/>
          <w:sz w:val="24"/>
          <w:szCs w:val="24"/>
        </w:rPr>
      </w:pPr>
    </w:p>
    <w:p w14:paraId="59261F1E">
      <w:pPr>
        <w:spacing w:line="400" w:lineRule="exact"/>
        <w:jc w:val="both"/>
        <w:outlineLvl w:val="1"/>
        <w:rPr>
          <w:rFonts w:ascii="黑体" w:hAnsi="黑体" w:eastAsia="黑体"/>
          <w:sz w:val="28"/>
          <w:szCs w:val="28"/>
        </w:rPr>
      </w:pPr>
      <w:bookmarkStart w:id="20" w:name="_Toc7257"/>
      <w:r>
        <w:rPr>
          <w:rFonts w:ascii="黑体" w:hAnsi="黑体" w:eastAsia="黑体"/>
          <w:sz w:val="28"/>
          <w:szCs w:val="28"/>
        </w:rPr>
        <w:t>3.3 数据来源</w:t>
      </w:r>
      <w:bookmarkEnd w:id="20"/>
    </w:p>
    <w:p w14:paraId="23C31E08">
      <w:pPr>
        <w:spacing w:line="360" w:lineRule="auto"/>
        <w:ind w:firstLine="480" w:firstLineChars="200"/>
        <w:rPr>
          <w:rFonts w:ascii="宋体" w:hAnsi="宋体" w:eastAsia="宋体"/>
          <w:sz w:val="24"/>
          <w:szCs w:val="24"/>
        </w:rPr>
      </w:pPr>
      <w:r>
        <w:rPr>
          <w:rFonts w:ascii="宋体" w:hAnsi="宋体" w:eastAsia="宋体"/>
          <w:sz w:val="24"/>
          <w:szCs w:val="24"/>
        </w:rPr>
        <w:t>本研究的数据来源包括一手数据和二手数据：</w:t>
      </w:r>
    </w:p>
    <w:p w14:paraId="37FBE4D6">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一手数据： 主要通过上述问卷调查和深度访谈获取。问卷调查数据将用于量化分析消费者需求和行为模式；访谈记录将用于了解企业内部的运营逻辑、决策考量和面临的挑战。</w:t>
      </w:r>
    </w:p>
    <w:p w14:paraId="5175BDB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二手数据： 主要包括公开出版的文献（学术期刊、学位论文）、行业研究报告、企业公开资料（如盒马鲜生官方发布的新闻、年度报告）、统计年鉴（《重庆统计年鉴》）、政府报告（《重庆市零售业发展报告》）、新闻报道及网络信息等。二手数据将用于构建研究背景、验证观点和补充信息。</w:t>
      </w:r>
    </w:p>
    <w:p w14:paraId="25FCB7EC">
      <w:pPr>
        <w:spacing w:line="400" w:lineRule="exact"/>
        <w:jc w:val="both"/>
        <w:outlineLvl w:val="1"/>
        <w:rPr>
          <w:rFonts w:ascii="黑体" w:hAnsi="黑体" w:eastAsia="黑体"/>
          <w:sz w:val="28"/>
          <w:szCs w:val="28"/>
        </w:rPr>
      </w:pPr>
      <w:bookmarkStart w:id="21" w:name="_Toc3710"/>
      <w:r>
        <w:rPr>
          <w:rFonts w:ascii="黑体" w:hAnsi="黑体" w:eastAsia="黑体"/>
          <w:sz w:val="28"/>
          <w:szCs w:val="28"/>
        </w:rPr>
        <w:t xml:space="preserve">3.4 </w:t>
      </w:r>
      <w:bookmarkStart w:id="37" w:name="_GoBack"/>
      <w:r>
        <w:rPr>
          <w:rFonts w:ascii="黑体" w:hAnsi="黑体" w:eastAsia="黑体"/>
          <w:sz w:val="28"/>
          <w:szCs w:val="28"/>
        </w:rPr>
        <w:t>研究框架</w:t>
      </w:r>
      <w:bookmarkEnd w:id="37"/>
      <w:bookmarkEnd w:id="21"/>
    </w:p>
    <w:p w14:paraId="23F6DDEC">
      <w:pPr>
        <w:spacing w:line="360" w:lineRule="auto"/>
        <w:ind w:firstLine="480" w:firstLineChars="200"/>
        <w:rPr>
          <w:rFonts w:ascii="宋体" w:hAnsi="宋体" w:eastAsia="宋体"/>
          <w:sz w:val="24"/>
          <w:szCs w:val="24"/>
        </w:rPr>
      </w:pPr>
      <w:r>
        <w:rPr>
          <w:rFonts w:ascii="宋体" w:hAnsi="宋体" w:eastAsia="宋体"/>
          <w:sz w:val="24"/>
          <w:szCs w:val="24"/>
        </w:rPr>
        <w:t>本研究基于“理论分析-案例描述-问题诊断-对策提出”的逻辑框架展开。首先，基于商业模式画布理论，构建盒马鲜生商业模式创新的分析框架。其次，通过二手资料梳理，描述盒马鲜生总体商业模式创新特征。再次，结合重庆市场特征，运用问卷调查和访谈数据，深入剖析盒马在重庆的本地化实践、存在问题及原因。最后，基于分析结果，提出针对性的商业模式优化建议。</w:t>
      </w:r>
    </w:p>
    <w:p w14:paraId="46DC29D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27" o:spt="1" style="height:1.5pt;width:432pt;" filled="t" stroked="f" coordsize="21600,21600" o:hr="t" o:hrstd="t" o:hrnoshade="t" o:hralign="center">
            <v:path/>
            <v:fill on="t" focussize="0,0"/>
            <v:stroke on="f"/>
            <v:imagedata o:title=""/>
            <o:lock v:ext="edit"/>
            <w10:wrap type="none"/>
            <w10:anchorlock/>
          </v:rect>
        </w:pict>
      </w:r>
    </w:p>
    <w:p w14:paraId="1B78C039">
      <w:pPr>
        <w:keepNext w:val="0"/>
        <w:keepLines w:val="0"/>
        <w:widowControl/>
        <w:suppressLineNumbers w:val="0"/>
        <w:spacing w:line="400" w:lineRule="exact"/>
        <w:jc w:val="center"/>
        <w:outlineLvl w:val="0"/>
        <w:rPr>
          <w:rFonts w:ascii="黑体" w:hAnsi="黑体" w:eastAsia="黑体"/>
          <w:sz w:val="30"/>
          <w:szCs w:val="30"/>
        </w:rPr>
      </w:pPr>
      <w:bookmarkStart w:id="22" w:name="_Toc14727"/>
      <w:r>
        <w:rPr>
          <w:rFonts w:ascii="黑体" w:hAnsi="黑体" w:eastAsia="黑体"/>
          <w:sz w:val="30"/>
          <w:szCs w:val="30"/>
        </w:rPr>
        <w:t>第四章 盒马鲜生商业模式创新分析</w:t>
      </w:r>
      <w:bookmarkEnd w:id="22"/>
    </w:p>
    <w:p w14:paraId="6DB2BC85">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基于Osterwalder的商业模式画布理论，本研究从价值主张、价值创造、价值传递、价值获取四个维度对盒马鲜生的商业模式创新进行分析。</w:t>
      </w:r>
    </w:p>
    <w:p w14:paraId="7D9B6E4D">
      <w:pPr>
        <w:spacing w:line="400" w:lineRule="exact"/>
        <w:jc w:val="both"/>
        <w:outlineLvl w:val="1"/>
        <w:rPr>
          <w:rFonts w:ascii="黑体" w:hAnsi="黑体" w:eastAsia="黑体"/>
          <w:sz w:val="28"/>
          <w:szCs w:val="28"/>
        </w:rPr>
      </w:pPr>
      <w:bookmarkStart w:id="23" w:name="_Toc7151"/>
      <w:r>
        <w:rPr>
          <w:rFonts w:ascii="黑体" w:hAnsi="黑体" w:eastAsia="黑体"/>
          <w:sz w:val="28"/>
          <w:szCs w:val="28"/>
        </w:rPr>
        <w:t>4.1 价值主张创新</w:t>
      </w:r>
      <w:bookmarkEnd w:id="23"/>
    </w:p>
    <w:p w14:paraId="5B73B22F">
      <w:pPr>
        <w:spacing w:line="360" w:lineRule="auto"/>
        <w:ind w:firstLine="480" w:firstLineChars="200"/>
        <w:rPr>
          <w:rFonts w:ascii="宋体" w:hAnsi="宋体" w:eastAsia="宋体"/>
          <w:sz w:val="24"/>
          <w:szCs w:val="24"/>
        </w:rPr>
      </w:pPr>
      <w:r>
        <w:rPr>
          <w:rFonts w:ascii="宋体" w:hAnsi="宋体" w:eastAsia="宋体"/>
          <w:sz w:val="24"/>
          <w:szCs w:val="24"/>
        </w:rPr>
        <w:t>盒马鲜生的价值主张核心是“新鲜每一刻”、“所见即所得”和“30分钟送达”。</w:t>
      </w:r>
    </w:p>
    <w:p w14:paraId="2D6D9FDD">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新鲜每一刻： 强调生鲜商品的新鲜度，通过源头直采、日日配送等方式，确保消费者随时都能买到新鲜商品，颠覆了传统超市“囤货”的消费模式。</w:t>
      </w:r>
    </w:p>
    <w:p w14:paraId="4D4E2B69">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所见即所得： 线下门店不仅是销售场所，更是体验中心。消费者可以在店内看到、触摸到商品，并可直接在餐饮区加工食用，增强了对商品品质的信任感。</w:t>
      </w:r>
    </w:p>
    <w:p w14:paraId="53A0AB7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30分钟送达： 这是盒马的核心竞争力之一。通过线上APP下单，依托门店作为前置仓，实现3公里范围内30分钟送达，满足了消费者即时性的需求。</w:t>
      </w:r>
    </w:p>
    <w:p w14:paraId="387F32E6">
      <w:pPr>
        <w:spacing w:line="400" w:lineRule="exact"/>
        <w:jc w:val="both"/>
        <w:outlineLvl w:val="1"/>
        <w:rPr>
          <w:rFonts w:ascii="黑体" w:hAnsi="黑体" w:eastAsia="黑体"/>
          <w:sz w:val="28"/>
          <w:szCs w:val="28"/>
        </w:rPr>
      </w:pPr>
      <w:bookmarkStart w:id="24" w:name="_Toc21084"/>
      <w:r>
        <w:rPr>
          <w:rFonts w:ascii="黑体" w:hAnsi="黑体" w:eastAsia="黑体"/>
          <w:sz w:val="28"/>
          <w:szCs w:val="28"/>
        </w:rPr>
        <w:t>4.2 价值创造创新</w:t>
      </w:r>
      <w:bookmarkEnd w:id="24"/>
    </w:p>
    <w:p w14:paraId="1E00DB13">
      <w:pPr>
        <w:spacing w:line="360" w:lineRule="auto"/>
        <w:ind w:firstLine="480" w:firstLineChars="200"/>
        <w:rPr>
          <w:rFonts w:ascii="宋体" w:hAnsi="宋体" w:eastAsia="宋体"/>
          <w:sz w:val="24"/>
          <w:szCs w:val="24"/>
        </w:rPr>
      </w:pPr>
      <w:r>
        <w:rPr>
          <w:rFonts w:ascii="宋体" w:hAnsi="宋体" w:eastAsia="宋体"/>
          <w:sz w:val="24"/>
          <w:szCs w:val="24"/>
        </w:rPr>
        <w:t>价值创造关注企业如何通过核心资源和关键业务来提供价值。</w:t>
      </w:r>
    </w:p>
    <w:p w14:paraId="1EED427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数字化供应链： 盒马通过大数据分析，预测消费需求，指导采购和生产。其“源头直采”模式减少了中间环节，提高了效率和毛利率。同时，与阿里生态协同，如接入天猫国际、淘鲜达等，共享供应链资源。</w:t>
      </w:r>
    </w:p>
    <w:p w14:paraId="5964BD4C">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场景融合： 线上APP、线下门店和餐饮服务三者融合，创造了独特的消费场景。消费者可以在线购物、到店体验，也可以在门店用餐后顺便购买食材，实现了不同消费场景的无缝衔接。</w:t>
      </w:r>
    </w:p>
    <w:p w14:paraId="02D557AB">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技术驱动： 门店全面数字化，包括电子价签、悬挂链系统、大数据选品、智能补货等技术的应用，极大地提升了运营效率和消费者体验。</w:t>
      </w:r>
    </w:p>
    <w:p w14:paraId="425655E9">
      <w:pPr>
        <w:spacing w:line="400" w:lineRule="exact"/>
        <w:jc w:val="both"/>
        <w:outlineLvl w:val="1"/>
        <w:rPr>
          <w:rFonts w:ascii="黑体" w:hAnsi="黑体" w:eastAsia="黑体"/>
          <w:sz w:val="28"/>
          <w:szCs w:val="28"/>
        </w:rPr>
      </w:pPr>
      <w:bookmarkStart w:id="25" w:name="_Toc15772"/>
      <w:r>
        <w:rPr>
          <w:rFonts w:ascii="黑体" w:hAnsi="黑体" w:eastAsia="黑体"/>
          <w:sz w:val="28"/>
          <w:szCs w:val="28"/>
        </w:rPr>
        <w:t>4.3 价值传递创新</w:t>
      </w:r>
      <w:bookmarkEnd w:id="25"/>
    </w:p>
    <w:p w14:paraId="294AC8F6">
      <w:pPr>
        <w:spacing w:line="360" w:lineRule="auto"/>
        <w:ind w:firstLine="480" w:firstLineChars="200"/>
        <w:rPr>
          <w:rFonts w:ascii="宋体" w:hAnsi="宋体" w:eastAsia="宋体"/>
          <w:sz w:val="24"/>
          <w:szCs w:val="24"/>
        </w:rPr>
      </w:pPr>
      <w:r>
        <w:rPr>
          <w:rFonts w:ascii="宋体" w:hAnsi="宋体" w:eastAsia="宋体"/>
          <w:sz w:val="24"/>
          <w:szCs w:val="24"/>
        </w:rPr>
        <w:t>价值传递是指企业如何将产品或服务触达目标客户。</w:t>
      </w:r>
    </w:p>
    <w:p w14:paraId="7AD4872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全渠道触达： 通过自有APP和线下门店，实现全渠道覆盖。消费者既可以选择到店购物，享受即时体验，也可以选择线上订购，享受配送上门的便利。</w:t>
      </w:r>
    </w:p>
    <w:p w14:paraId="2473E02D">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即时配送： 自建配送团队，确保了配送的时效性和服务质量。30分钟送达的服务标准，有效降低了消费者的等待成本。</w:t>
      </w:r>
    </w:p>
    <w:p w14:paraId="1DA22830">
      <w:pPr>
        <w:spacing w:line="400" w:lineRule="exact"/>
        <w:jc w:val="both"/>
        <w:outlineLvl w:val="1"/>
        <w:rPr>
          <w:rFonts w:ascii="黑体" w:hAnsi="黑体" w:eastAsia="黑体"/>
          <w:sz w:val="28"/>
          <w:szCs w:val="28"/>
        </w:rPr>
      </w:pPr>
      <w:bookmarkStart w:id="26" w:name="_Toc6647"/>
      <w:r>
        <w:rPr>
          <w:rFonts w:ascii="黑体" w:hAnsi="黑体" w:eastAsia="黑体"/>
          <w:sz w:val="28"/>
          <w:szCs w:val="28"/>
        </w:rPr>
        <w:t>4.4 价值获取创新</w:t>
      </w:r>
      <w:bookmarkEnd w:id="26"/>
    </w:p>
    <w:p w14:paraId="6C33A658">
      <w:pPr>
        <w:spacing w:line="360" w:lineRule="auto"/>
        <w:ind w:firstLine="480" w:firstLineChars="200"/>
        <w:rPr>
          <w:rFonts w:ascii="宋体" w:hAnsi="宋体" w:eastAsia="宋体"/>
          <w:sz w:val="24"/>
          <w:szCs w:val="24"/>
        </w:rPr>
      </w:pPr>
      <w:r>
        <w:rPr>
          <w:rFonts w:ascii="宋体" w:hAnsi="宋体" w:eastAsia="宋体"/>
          <w:sz w:val="24"/>
          <w:szCs w:val="24"/>
        </w:rPr>
        <w:t>价值获取关注企业的收入来源和成本结构。</w:t>
      </w:r>
    </w:p>
    <w:p w14:paraId="4FC65A1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多元盈利模式： 盒马的收入来源多样化，主要包括：</w:t>
      </w:r>
    </w:p>
    <w:p w14:paraId="5B3CDF71">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5300EED5">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商品销售收入： 线上线下销售商品的差价。</w:t>
      </w:r>
    </w:p>
    <w:p w14:paraId="5E4DA60C">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4742D10D">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2E2007C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餐饮收入： 门店内餐饮加工服务带来的收入。</w:t>
      </w:r>
    </w:p>
    <w:p w14:paraId="51B8FAFF">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0457B09E">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02A7F1B8">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会员费收入： 盒马X会员体系带来的年费收入，提高了用户粘性。</w:t>
      </w:r>
    </w:p>
    <w:p w14:paraId="26BA2C4F">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2B54383C">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6840FA38">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平台佣金收入： 对入驻平台的第三方商家收取佣金。</w:t>
      </w:r>
    </w:p>
    <w:p w14:paraId="2C5FD777">
      <w:pPr>
        <w:keepNext w:val="0"/>
        <w:keepLines w:val="0"/>
        <w:widowControl/>
        <w:numPr>
          <w:ilvl w:val="1"/>
          <w:numId w:val="1"/>
        </w:numPr>
        <w:suppressLineNumbers w:val="0"/>
        <w:spacing w:line="360" w:lineRule="auto"/>
        <w:ind w:firstLine="480" w:firstLineChars="200"/>
        <w:rPr>
          <w:rFonts w:ascii="宋体" w:hAnsi="宋体" w:eastAsia="宋体"/>
          <w:sz w:val="24"/>
          <w:szCs w:val="24"/>
        </w:rPr>
      </w:pPr>
    </w:p>
    <w:p w14:paraId="12696C3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成本结构优化： 虽然自建配送团队和技术投入带来了较高的固定成本，但通过数字化供应链减少损耗、提高库存周转率，以及通过线下门店引流降低线上获客成本，实现了成本结构的优化。</w:t>
      </w:r>
    </w:p>
    <w:p w14:paraId="1809142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28" o:spt="1" style="height:1.5pt;width:432pt;" filled="t" stroked="f" coordsize="21600,21600" o:hr="t" o:hrstd="t" o:hrnoshade="t" o:hralign="center">
            <v:path/>
            <v:fill on="t" focussize="0,0"/>
            <v:stroke on="f"/>
            <v:imagedata o:title=""/>
            <o:lock v:ext="edit"/>
            <w10:wrap type="none"/>
            <w10:anchorlock/>
          </v:rect>
        </w:pict>
      </w:r>
    </w:p>
    <w:p w14:paraId="72B685CC">
      <w:pPr>
        <w:keepNext w:val="0"/>
        <w:keepLines w:val="0"/>
        <w:widowControl/>
        <w:suppressLineNumbers w:val="0"/>
        <w:spacing w:line="400" w:lineRule="exact"/>
        <w:jc w:val="center"/>
        <w:outlineLvl w:val="0"/>
        <w:rPr>
          <w:rFonts w:ascii="黑体" w:hAnsi="黑体" w:eastAsia="黑体"/>
          <w:sz w:val="30"/>
          <w:szCs w:val="30"/>
        </w:rPr>
      </w:pPr>
      <w:bookmarkStart w:id="27" w:name="_Toc3459"/>
      <w:r>
        <w:rPr>
          <w:rFonts w:ascii="黑体" w:hAnsi="黑体" w:eastAsia="黑体"/>
          <w:sz w:val="30"/>
          <w:szCs w:val="30"/>
        </w:rPr>
        <w:t>第五章 盒马鲜生在重庆市场的本地化实践与问题分析</w:t>
      </w:r>
      <w:bookmarkEnd w:id="27"/>
    </w:p>
    <w:p w14:paraId="3D76C96C">
      <w:pPr>
        <w:spacing w:line="400" w:lineRule="exact"/>
        <w:jc w:val="both"/>
        <w:outlineLvl w:val="1"/>
        <w:rPr>
          <w:rFonts w:ascii="黑体" w:hAnsi="黑体" w:eastAsia="黑体"/>
          <w:sz w:val="28"/>
          <w:szCs w:val="28"/>
        </w:rPr>
      </w:pPr>
      <w:bookmarkStart w:id="28" w:name="_Toc12345"/>
      <w:r>
        <w:rPr>
          <w:rFonts w:ascii="黑体" w:hAnsi="黑体" w:eastAsia="黑体"/>
          <w:sz w:val="28"/>
          <w:szCs w:val="28"/>
        </w:rPr>
        <w:t>5.1 重庆市场消费特征分析</w:t>
      </w:r>
      <w:bookmarkEnd w:id="28"/>
    </w:p>
    <w:p w14:paraId="62E88476">
      <w:pPr>
        <w:spacing w:line="360" w:lineRule="auto"/>
        <w:ind w:firstLine="480" w:firstLineChars="200"/>
        <w:rPr>
          <w:rFonts w:ascii="宋体" w:hAnsi="宋体" w:eastAsia="宋体"/>
          <w:sz w:val="24"/>
          <w:szCs w:val="24"/>
        </w:rPr>
      </w:pPr>
      <w:r>
        <w:rPr>
          <w:rFonts w:ascii="宋体" w:hAnsi="宋体" w:eastAsia="宋体"/>
          <w:sz w:val="24"/>
          <w:szCs w:val="24"/>
        </w:rPr>
        <w:t>基于重庆市统计局数据和前期调研，重庆市场的消费特征主要表现为：</w:t>
      </w:r>
    </w:p>
    <w:p w14:paraId="2FC01884">
      <w:pPr>
        <w:keepNext w:val="0"/>
        <w:keepLines w:val="0"/>
        <w:widowControl/>
        <w:suppressLineNumbers w:val="0"/>
        <w:spacing w:line="360" w:lineRule="auto"/>
        <w:ind w:firstLine="480" w:firstLineChars="200"/>
        <w:rPr>
          <w:rFonts w:ascii="宋体" w:hAnsi="宋体" w:eastAsia="宋体"/>
          <w:sz w:val="24"/>
          <w:szCs w:val="24"/>
        </w:rPr>
      </w:pPr>
    </w:p>
    <w:p w14:paraId="1BA0E0B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饮食偏好鲜明： 重庆市民口味偏重麻辣，对火锅、小面、江湖菜等本地美食有极高的偏好和消费频率。</w:t>
      </w:r>
    </w:p>
    <w:p w14:paraId="0F69A73F">
      <w:pPr>
        <w:keepNext w:val="0"/>
        <w:keepLines w:val="0"/>
        <w:widowControl/>
        <w:suppressLineNumbers w:val="0"/>
        <w:spacing w:line="360" w:lineRule="auto"/>
        <w:ind w:firstLine="480" w:firstLineChars="200"/>
        <w:rPr>
          <w:rFonts w:ascii="宋体" w:hAnsi="宋体" w:eastAsia="宋体"/>
          <w:sz w:val="24"/>
          <w:szCs w:val="24"/>
        </w:rPr>
      </w:pPr>
    </w:p>
    <w:p w14:paraId="200990CF">
      <w:pPr>
        <w:keepNext w:val="0"/>
        <w:keepLines w:val="0"/>
        <w:widowControl/>
        <w:suppressLineNumbers w:val="0"/>
        <w:spacing w:line="360" w:lineRule="auto"/>
        <w:ind w:firstLine="480" w:firstLineChars="200"/>
        <w:rPr>
          <w:rFonts w:ascii="宋体" w:hAnsi="宋体" w:eastAsia="宋体"/>
          <w:sz w:val="24"/>
          <w:szCs w:val="24"/>
        </w:rPr>
      </w:pPr>
    </w:p>
    <w:p w14:paraId="0A779B72">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地理结构复杂： 作为山城，地形起伏大，道路蜿蜒，交通拥堵问题较为突出，对即时配送的路线规划和效率提出了更高要求。</w:t>
      </w:r>
    </w:p>
    <w:p w14:paraId="12F2D327">
      <w:pPr>
        <w:keepNext w:val="0"/>
        <w:keepLines w:val="0"/>
        <w:widowControl/>
        <w:suppressLineNumbers w:val="0"/>
        <w:spacing w:line="360" w:lineRule="auto"/>
        <w:ind w:firstLine="480" w:firstLineChars="200"/>
        <w:rPr>
          <w:rFonts w:ascii="宋体" w:hAnsi="宋体" w:eastAsia="宋体"/>
          <w:sz w:val="24"/>
          <w:szCs w:val="24"/>
        </w:rPr>
      </w:pPr>
    </w:p>
    <w:p w14:paraId="564B840A">
      <w:pPr>
        <w:keepNext w:val="0"/>
        <w:keepLines w:val="0"/>
        <w:widowControl/>
        <w:suppressLineNumbers w:val="0"/>
        <w:spacing w:line="360" w:lineRule="auto"/>
        <w:ind w:firstLine="480" w:firstLineChars="200"/>
        <w:rPr>
          <w:rFonts w:ascii="宋体" w:hAnsi="宋体" w:eastAsia="宋体"/>
          <w:sz w:val="24"/>
          <w:szCs w:val="24"/>
        </w:rPr>
      </w:pPr>
    </w:p>
    <w:p w14:paraId="6361FAC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消费习惯多元： 消费者既有追求潮流、喜欢尝鲜的年轻群体，也有注重性价比、习惯传统农贸市场的家庭群体。</w:t>
      </w:r>
    </w:p>
    <w:p w14:paraId="042EDAA2">
      <w:pPr>
        <w:keepNext w:val="0"/>
        <w:keepLines w:val="0"/>
        <w:widowControl/>
        <w:suppressLineNumbers w:val="0"/>
        <w:spacing w:line="360" w:lineRule="auto"/>
        <w:ind w:firstLine="480" w:firstLineChars="200"/>
        <w:rPr>
          <w:rFonts w:ascii="宋体" w:hAnsi="宋体" w:eastAsia="宋体"/>
          <w:sz w:val="24"/>
          <w:szCs w:val="24"/>
        </w:rPr>
      </w:pPr>
    </w:p>
    <w:p w14:paraId="60AD664F">
      <w:pPr>
        <w:keepNext w:val="0"/>
        <w:keepLines w:val="0"/>
        <w:widowControl/>
        <w:suppressLineNumbers w:val="0"/>
        <w:spacing w:line="360" w:lineRule="auto"/>
        <w:ind w:firstLine="480" w:firstLineChars="200"/>
        <w:rPr>
          <w:rFonts w:ascii="宋体" w:hAnsi="宋体" w:eastAsia="宋体"/>
          <w:sz w:val="24"/>
          <w:szCs w:val="24"/>
        </w:rPr>
      </w:pPr>
    </w:p>
    <w:p w14:paraId="267C2772">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竞争激烈： 重庆本地零售市场既有永辉、新世纪等传统商超巨头，也有大量分布广泛的农贸市场、社区生鲜店，竞争异常激烈。</w:t>
      </w:r>
    </w:p>
    <w:p w14:paraId="35520532">
      <w:pPr>
        <w:keepNext w:val="0"/>
        <w:keepLines w:val="0"/>
        <w:widowControl/>
        <w:suppressLineNumbers w:val="0"/>
        <w:spacing w:line="360" w:lineRule="auto"/>
        <w:ind w:firstLine="480" w:firstLineChars="200"/>
        <w:rPr>
          <w:rFonts w:ascii="宋体" w:hAnsi="宋体" w:eastAsia="宋体"/>
          <w:sz w:val="24"/>
          <w:szCs w:val="24"/>
        </w:rPr>
      </w:pPr>
    </w:p>
    <w:p w14:paraId="5DC971BF">
      <w:pPr>
        <w:spacing w:line="400" w:lineRule="exact"/>
        <w:jc w:val="both"/>
        <w:outlineLvl w:val="1"/>
        <w:rPr>
          <w:rFonts w:ascii="黑体" w:hAnsi="黑体" w:eastAsia="黑体"/>
          <w:sz w:val="28"/>
          <w:szCs w:val="28"/>
        </w:rPr>
      </w:pPr>
      <w:bookmarkStart w:id="29" w:name="_Toc19059"/>
      <w:r>
        <w:rPr>
          <w:rFonts w:ascii="黑体" w:hAnsi="黑体" w:eastAsia="黑体"/>
          <w:sz w:val="28"/>
          <w:szCs w:val="28"/>
        </w:rPr>
        <w:t>5.2 盒马鲜生在重庆的本地化实践</w:t>
      </w:r>
      <w:bookmarkEnd w:id="29"/>
    </w:p>
    <w:p w14:paraId="6455990D">
      <w:pPr>
        <w:spacing w:line="360" w:lineRule="auto"/>
        <w:ind w:firstLine="480" w:firstLineChars="200"/>
        <w:rPr>
          <w:rFonts w:ascii="宋体" w:hAnsi="宋体" w:eastAsia="宋体"/>
          <w:sz w:val="24"/>
          <w:szCs w:val="24"/>
        </w:rPr>
      </w:pPr>
      <w:r>
        <w:rPr>
          <w:rFonts w:ascii="宋体" w:hAnsi="宋体" w:eastAsia="宋体"/>
          <w:sz w:val="24"/>
          <w:szCs w:val="24"/>
        </w:rPr>
        <w:t>为适应重庆市场，盒马采取了一系列本地化举措：</w:t>
      </w:r>
    </w:p>
    <w:p w14:paraId="4AAFF890">
      <w:pPr>
        <w:keepNext w:val="0"/>
        <w:keepLines w:val="0"/>
        <w:widowControl/>
        <w:suppressLineNumbers w:val="0"/>
        <w:spacing w:line="360" w:lineRule="auto"/>
        <w:ind w:firstLine="480" w:firstLineChars="200"/>
        <w:rPr>
          <w:rFonts w:ascii="宋体" w:hAnsi="宋体" w:eastAsia="宋体"/>
          <w:sz w:val="24"/>
          <w:szCs w:val="24"/>
        </w:rPr>
      </w:pPr>
    </w:p>
    <w:p w14:paraId="2EF908F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商品本地化： 引进更多符合重庆口味的本地特色商品，如重庆本地火锅底料、调料、小面佐料等；在生鲜区增加本地蔬菜、水果的采购比例；餐饮区推出麻辣口味的菜品。</w:t>
      </w:r>
    </w:p>
    <w:p w14:paraId="61136A33">
      <w:pPr>
        <w:keepNext w:val="0"/>
        <w:keepLines w:val="0"/>
        <w:widowControl/>
        <w:suppressLineNumbers w:val="0"/>
        <w:spacing w:line="360" w:lineRule="auto"/>
        <w:ind w:firstLine="480" w:firstLineChars="200"/>
        <w:rPr>
          <w:rFonts w:ascii="宋体" w:hAnsi="宋体" w:eastAsia="宋体"/>
          <w:sz w:val="24"/>
          <w:szCs w:val="24"/>
        </w:rPr>
      </w:pPr>
    </w:p>
    <w:p w14:paraId="032EBF6E">
      <w:pPr>
        <w:keepNext w:val="0"/>
        <w:keepLines w:val="0"/>
        <w:widowControl/>
        <w:suppressLineNumbers w:val="0"/>
        <w:spacing w:line="360" w:lineRule="auto"/>
        <w:ind w:firstLine="480" w:firstLineChars="200"/>
        <w:rPr>
          <w:rFonts w:ascii="宋体" w:hAnsi="宋体" w:eastAsia="宋体"/>
          <w:sz w:val="24"/>
          <w:szCs w:val="24"/>
        </w:rPr>
      </w:pPr>
    </w:p>
    <w:p w14:paraId="16E57E2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营销本地化： 结合重庆本地文化进行营销活动，如在火锅节期间推出火锅食材专场，与本地知名餐饮品牌（如“秦妈”火锅）进行联名活动，利用方言进行宣传。</w:t>
      </w:r>
    </w:p>
    <w:p w14:paraId="4C20DF80">
      <w:pPr>
        <w:keepNext w:val="0"/>
        <w:keepLines w:val="0"/>
        <w:widowControl/>
        <w:suppressLineNumbers w:val="0"/>
        <w:spacing w:line="360" w:lineRule="auto"/>
        <w:ind w:firstLine="480" w:firstLineChars="200"/>
        <w:rPr>
          <w:rFonts w:ascii="宋体" w:hAnsi="宋体" w:eastAsia="宋体"/>
          <w:sz w:val="24"/>
          <w:szCs w:val="24"/>
        </w:rPr>
      </w:pPr>
    </w:p>
    <w:p w14:paraId="76D8BC9E">
      <w:pPr>
        <w:keepNext w:val="0"/>
        <w:keepLines w:val="0"/>
        <w:widowControl/>
        <w:suppressLineNumbers w:val="0"/>
        <w:spacing w:line="360" w:lineRule="auto"/>
        <w:ind w:firstLine="480" w:firstLineChars="200"/>
        <w:rPr>
          <w:rFonts w:ascii="宋体" w:hAnsi="宋体" w:eastAsia="宋体"/>
          <w:sz w:val="24"/>
          <w:szCs w:val="24"/>
        </w:rPr>
      </w:pPr>
    </w:p>
    <w:p w14:paraId="0A08A6C0">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配送优化： 针对重庆复杂地形，优化配送路线，在选址上更注重交通便利性，提高配送员的爬楼补贴以稳定配送队伍。</w:t>
      </w:r>
    </w:p>
    <w:p w14:paraId="11CE1753">
      <w:pPr>
        <w:keepNext w:val="0"/>
        <w:keepLines w:val="0"/>
        <w:widowControl/>
        <w:suppressLineNumbers w:val="0"/>
        <w:spacing w:line="360" w:lineRule="auto"/>
        <w:ind w:firstLine="480" w:firstLineChars="200"/>
        <w:rPr>
          <w:rFonts w:ascii="宋体" w:hAnsi="宋体" w:eastAsia="宋体"/>
          <w:sz w:val="24"/>
          <w:szCs w:val="24"/>
        </w:rPr>
      </w:pPr>
    </w:p>
    <w:p w14:paraId="3D316BF1">
      <w:pPr>
        <w:keepNext w:val="0"/>
        <w:keepLines w:val="0"/>
        <w:widowControl/>
        <w:suppressLineNumbers w:val="0"/>
        <w:spacing w:line="360" w:lineRule="auto"/>
        <w:ind w:firstLine="480" w:firstLineChars="200"/>
        <w:rPr>
          <w:rFonts w:ascii="宋体" w:hAnsi="宋体" w:eastAsia="宋体"/>
          <w:sz w:val="24"/>
          <w:szCs w:val="24"/>
        </w:rPr>
      </w:pPr>
    </w:p>
    <w:p w14:paraId="0AF86D2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选址策略： 选择在人口密集、消费能力强的区域（如观音桥、解放碑、杨家坪等商圈）开设门店，同时尝试在大型社区周边布局，以覆盖更广的3公里范围。</w:t>
      </w:r>
    </w:p>
    <w:p w14:paraId="339504EF">
      <w:pPr>
        <w:keepNext w:val="0"/>
        <w:keepLines w:val="0"/>
        <w:widowControl/>
        <w:suppressLineNumbers w:val="0"/>
        <w:spacing w:line="360" w:lineRule="auto"/>
        <w:ind w:firstLine="480" w:firstLineChars="200"/>
        <w:rPr>
          <w:rFonts w:ascii="宋体" w:hAnsi="宋体" w:eastAsia="宋体"/>
          <w:sz w:val="24"/>
          <w:szCs w:val="24"/>
        </w:rPr>
      </w:pPr>
    </w:p>
    <w:p w14:paraId="668D2EED">
      <w:pPr>
        <w:spacing w:line="400" w:lineRule="exact"/>
        <w:jc w:val="both"/>
        <w:outlineLvl w:val="1"/>
        <w:rPr>
          <w:rFonts w:ascii="黑体" w:hAnsi="黑体" w:eastAsia="黑体"/>
          <w:sz w:val="28"/>
          <w:szCs w:val="28"/>
        </w:rPr>
      </w:pPr>
      <w:bookmarkStart w:id="30" w:name="_Toc17760"/>
      <w:r>
        <w:rPr>
          <w:rFonts w:ascii="黑体" w:hAnsi="黑体" w:eastAsia="黑体"/>
          <w:sz w:val="28"/>
          <w:szCs w:val="28"/>
        </w:rPr>
        <w:t>5.3 存在的主要问题</w:t>
      </w:r>
      <w:bookmarkEnd w:id="30"/>
    </w:p>
    <w:p w14:paraId="08C8605C">
      <w:pPr>
        <w:spacing w:line="360" w:lineRule="auto"/>
        <w:ind w:firstLine="480" w:firstLineChars="200"/>
        <w:rPr>
          <w:rFonts w:ascii="宋体" w:hAnsi="宋体" w:eastAsia="宋体"/>
          <w:sz w:val="24"/>
          <w:szCs w:val="24"/>
        </w:rPr>
      </w:pPr>
      <w:r>
        <w:rPr>
          <w:rFonts w:ascii="宋体" w:hAnsi="宋体" w:eastAsia="宋体"/>
          <w:sz w:val="24"/>
          <w:szCs w:val="24"/>
        </w:rPr>
        <w:t>通过问卷调查（计划回收200份有效问卷）和深度访谈，初步诊断出盒马鲜生在重庆市场运营中存在以下问题：</w:t>
      </w:r>
    </w:p>
    <w:p w14:paraId="7629B718">
      <w:pPr>
        <w:keepNext w:val="0"/>
        <w:keepLines w:val="0"/>
        <w:widowControl/>
        <w:suppressLineNumbers w:val="0"/>
        <w:spacing w:line="360" w:lineRule="auto"/>
        <w:ind w:firstLine="480" w:firstLineChars="200"/>
        <w:rPr>
          <w:rFonts w:ascii="宋体" w:hAnsi="宋体" w:eastAsia="宋体"/>
          <w:sz w:val="24"/>
          <w:szCs w:val="24"/>
        </w:rPr>
      </w:pPr>
    </w:p>
    <w:p w14:paraId="16A3AF61">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本地化选品不足： 尽管做了尝试，但仍有相当比例的消费者反映，店内本地特色商品种类和品牌不够丰富，特别是与本地农贸市场相比，选择余地较小。部分消费者认为盒马的选品过于“上海化”。</w:t>
      </w:r>
    </w:p>
    <w:p w14:paraId="64FBD455">
      <w:pPr>
        <w:keepNext w:val="0"/>
        <w:keepLines w:val="0"/>
        <w:widowControl/>
        <w:suppressLineNumbers w:val="0"/>
        <w:spacing w:line="360" w:lineRule="auto"/>
        <w:ind w:firstLine="480" w:firstLineChars="200"/>
        <w:rPr>
          <w:rFonts w:ascii="宋体" w:hAnsi="宋体" w:eastAsia="宋体"/>
          <w:sz w:val="24"/>
          <w:szCs w:val="24"/>
        </w:rPr>
      </w:pPr>
    </w:p>
    <w:p w14:paraId="2783BBF7">
      <w:pPr>
        <w:keepNext w:val="0"/>
        <w:keepLines w:val="0"/>
        <w:widowControl/>
        <w:suppressLineNumbers w:val="0"/>
        <w:spacing w:line="360" w:lineRule="auto"/>
        <w:ind w:firstLine="480" w:firstLineChars="200"/>
        <w:rPr>
          <w:rFonts w:ascii="宋体" w:hAnsi="宋体" w:eastAsia="宋体"/>
          <w:sz w:val="24"/>
          <w:szCs w:val="24"/>
        </w:rPr>
      </w:pPr>
    </w:p>
    <w:p w14:paraId="73D14ECA">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供应链效率待提升： 部分生鲜商品，尤其是本地采摘的蔬菜、水果，有时会出现断货或新鲜度下降的情况。这可能与本地供应链的整合和稳定性不足有关。</w:t>
      </w:r>
    </w:p>
    <w:p w14:paraId="507490A2">
      <w:pPr>
        <w:keepNext w:val="0"/>
        <w:keepLines w:val="0"/>
        <w:widowControl/>
        <w:suppressLineNumbers w:val="0"/>
        <w:spacing w:line="360" w:lineRule="auto"/>
        <w:ind w:firstLine="480" w:firstLineChars="200"/>
        <w:rPr>
          <w:rFonts w:ascii="宋体" w:hAnsi="宋体" w:eastAsia="宋体"/>
          <w:sz w:val="24"/>
          <w:szCs w:val="24"/>
        </w:rPr>
      </w:pPr>
    </w:p>
    <w:p w14:paraId="5FE147AC">
      <w:pPr>
        <w:keepNext w:val="0"/>
        <w:keepLines w:val="0"/>
        <w:widowControl/>
        <w:suppressLineNumbers w:val="0"/>
        <w:spacing w:line="360" w:lineRule="auto"/>
        <w:ind w:firstLine="480" w:firstLineChars="200"/>
        <w:rPr>
          <w:rFonts w:ascii="宋体" w:hAnsi="宋体" w:eastAsia="宋体"/>
          <w:sz w:val="24"/>
          <w:szCs w:val="24"/>
        </w:rPr>
      </w:pPr>
    </w:p>
    <w:p w14:paraId="74CAB31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消费者认知度不高： 与永辉、新世纪等深耕本地多年的老牌零售商相比，盒马鲜生在重庆的品牌认知度和信任度仍需提升。部分中老年消费者对线上APP操作不熟悉，到店消费的意愿也不高。</w:t>
      </w:r>
    </w:p>
    <w:p w14:paraId="203ADAD7">
      <w:pPr>
        <w:keepNext w:val="0"/>
        <w:keepLines w:val="0"/>
        <w:widowControl/>
        <w:suppressLineNumbers w:val="0"/>
        <w:spacing w:line="360" w:lineRule="auto"/>
        <w:ind w:firstLine="480" w:firstLineChars="200"/>
        <w:rPr>
          <w:rFonts w:ascii="宋体" w:hAnsi="宋体" w:eastAsia="宋体"/>
          <w:sz w:val="24"/>
          <w:szCs w:val="24"/>
        </w:rPr>
      </w:pPr>
    </w:p>
    <w:p w14:paraId="43FD8211">
      <w:pPr>
        <w:keepNext w:val="0"/>
        <w:keepLines w:val="0"/>
        <w:widowControl/>
        <w:suppressLineNumbers w:val="0"/>
        <w:spacing w:line="360" w:lineRule="auto"/>
        <w:ind w:firstLine="480" w:firstLineChars="200"/>
        <w:rPr>
          <w:rFonts w:ascii="宋体" w:hAnsi="宋体" w:eastAsia="宋体"/>
          <w:sz w:val="24"/>
          <w:szCs w:val="24"/>
        </w:rPr>
      </w:pPr>
    </w:p>
    <w:p w14:paraId="4E07C9BB">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竞争压力大： 面对永辉等本土巨头的强势竞争，尤其是在价格和品类覆盖上，盒马的优势并不突出。永辉的“超级物种”等新业态也对盒马形成了直接竞争。</w:t>
      </w:r>
    </w:p>
    <w:p w14:paraId="3DE89D36">
      <w:pPr>
        <w:keepNext w:val="0"/>
        <w:keepLines w:val="0"/>
        <w:widowControl/>
        <w:suppressLineNumbers w:val="0"/>
        <w:spacing w:line="360" w:lineRule="auto"/>
        <w:ind w:firstLine="480" w:firstLineChars="200"/>
        <w:rPr>
          <w:rFonts w:ascii="宋体" w:hAnsi="宋体" w:eastAsia="宋体"/>
          <w:sz w:val="24"/>
          <w:szCs w:val="24"/>
        </w:rPr>
      </w:pPr>
    </w:p>
    <w:p w14:paraId="2F6521BF">
      <w:pPr>
        <w:keepNext w:val="0"/>
        <w:keepLines w:val="0"/>
        <w:widowControl/>
        <w:suppressLineNumbers w:val="0"/>
        <w:spacing w:line="400" w:lineRule="exact"/>
        <w:jc w:val="both"/>
        <w:outlineLvl w:val="1"/>
        <w:rPr>
          <w:rFonts w:ascii="黑体" w:hAnsi="黑体" w:eastAsia="黑体"/>
          <w:sz w:val="28"/>
          <w:szCs w:val="28"/>
        </w:rPr>
      </w:pPr>
      <w:bookmarkStart w:id="31" w:name="_Toc17848"/>
      <w:r>
        <w:rPr>
          <w:rFonts w:ascii="黑体" w:hAnsi="黑体" w:eastAsia="黑体"/>
          <w:sz w:val="28"/>
          <w:szCs w:val="28"/>
        </w:rPr>
        <w:t>5.4 问题成因分析</w:t>
      </w:r>
      <w:bookmarkEnd w:id="31"/>
    </w:p>
    <w:p w14:paraId="0B0B864E">
      <w:pPr>
        <w:keepNext w:val="0"/>
        <w:keepLines w:val="0"/>
        <w:widowControl/>
        <w:suppressLineNumbers w:val="0"/>
        <w:spacing w:line="360" w:lineRule="auto"/>
        <w:ind w:firstLine="480" w:firstLineChars="200"/>
        <w:rPr>
          <w:rFonts w:ascii="宋体" w:hAnsi="宋体" w:eastAsia="宋体"/>
          <w:sz w:val="24"/>
          <w:szCs w:val="24"/>
        </w:rPr>
      </w:pPr>
    </w:p>
    <w:p w14:paraId="7DBB296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本地供应链整合难度大： 重庆本地生鲜供应商多而分散，建立稳定、高效、符合盒马标准的本地直采供应链需要时间和成本。这导致本地特色生鲜商品的供应和品质控制存在挑战。</w:t>
      </w:r>
    </w:p>
    <w:p w14:paraId="3C85F1A5">
      <w:pPr>
        <w:keepNext w:val="0"/>
        <w:keepLines w:val="0"/>
        <w:widowControl/>
        <w:suppressLineNumbers w:val="0"/>
        <w:spacing w:line="360" w:lineRule="auto"/>
        <w:ind w:firstLine="480" w:firstLineChars="200"/>
        <w:rPr>
          <w:rFonts w:ascii="宋体" w:hAnsi="宋体" w:eastAsia="宋体"/>
          <w:sz w:val="24"/>
          <w:szCs w:val="24"/>
        </w:rPr>
      </w:pPr>
    </w:p>
    <w:p w14:paraId="734B8BB6">
      <w:pPr>
        <w:keepNext w:val="0"/>
        <w:keepLines w:val="0"/>
        <w:widowControl/>
        <w:suppressLineNumbers w:val="0"/>
        <w:spacing w:line="360" w:lineRule="auto"/>
        <w:ind w:firstLine="480" w:firstLineChars="200"/>
        <w:rPr>
          <w:rFonts w:ascii="宋体" w:hAnsi="宋体" w:eastAsia="宋体"/>
          <w:sz w:val="24"/>
          <w:szCs w:val="24"/>
        </w:rPr>
      </w:pPr>
    </w:p>
    <w:p w14:paraId="3173B85A">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地形限制配送效率： 重庆复杂的地理环境增加了配送难度和成本，影响了30分钟送达承诺的实现稳定性，尤其是在高峰期和复杂路况下。</w:t>
      </w:r>
    </w:p>
    <w:p w14:paraId="78957A3F">
      <w:pPr>
        <w:keepNext w:val="0"/>
        <w:keepLines w:val="0"/>
        <w:widowControl/>
        <w:suppressLineNumbers w:val="0"/>
        <w:spacing w:line="360" w:lineRule="auto"/>
        <w:ind w:firstLine="480" w:firstLineChars="200"/>
        <w:rPr>
          <w:rFonts w:ascii="宋体" w:hAnsi="宋体" w:eastAsia="宋体"/>
          <w:sz w:val="24"/>
          <w:szCs w:val="24"/>
        </w:rPr>
      </w:pPr>
    </w:p>
    <w:p w14:paraId="4301D024">
      <w:pPr>
        <w:keepNext w:val="0"/>
        <w:keepLines w:val="0"/>
        <w:widowControl/>
        <w:suppressLineNumbers w:val="0"/>
        <w:spacing w:line="360" w:lineRule="auto"/>
        <w:ind w:firstLine="480" w:firstLineChars="200"/>
        <w:rPr>
          <w:rFonts w:ascii="宋体" w:hAnsi="宋体" w:eastAsia="宋体"/>
          <w:sz w:val="24"/>
          <w:szCs w:val="24"/>
        </w:rPr>
      </w:pPr>
    </w:p>
    <w:p w14:paraId="6F8633B0">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品牌宣传力度不够： 盒马进入重庆市场的时间相对较短，品牌宣传的投入和深度与本地老牌企业相比尚有差距。其目标客群（追求品质和便利的中高收入人群）的渗透率仍有提升空间。</w:t>
      </w:r>
    </w:p>
    <w:p w14:paraId="5574F6FE">
      <w:pPr>
        <w:keepNext w:val="0"/>
        <w:keepLines w:val="0"/>
        <w:widowControl/>
        <w:suppressLineNumbers w:val="0"/>
        <w:spacing w:line="360" w:lineRule="auto"/>
        <w:ind w:firstLine="480" w:firstLineChars="200"/>
        <w:rPr>
          <w:rFonts w:ascii="宋体" w:hAnsi="宋体" w:eastAsia="宋体"/>
          <w:sz w:val="24"/>
          <w:szCs w:val="24"/>
        </w:rPr>
      </w:pPr>
    </w:p>
    <w:p w14:paraId="39D980E2">
      <w:pPr>
        <w:keepNext w:val="0"/>
        <w:keepLines w:val="0"/>
        <w:widowControl/>
        <w:suppressLineNumbers w:val="0"/>
        <w:spacing w:line="360" w:lineRule="auto"/>
        <w:ind w:firstLine="480" w:firstLineChars="200"/>
        <w:rPr>
          <w:rFonts w:ascii="宋体" w:hAnsi="宋体" w:eastAsia="宋体"/>
          <w:sz w:val="24"/>
          <w:szCs w:val="24"/>
        </w:rPr>
      </w:pPr>
    </w:p>
    <w:p w14:paraId="125D877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成本压力导致定价偏高： 盒马高品质的商品定位和较高的运营成本（技术投入、自建配送、门店租金）决定了其商品价格普遍高于农贸市场，甚至高于部分传统超市。这使得其对价格敏感的消费者缺乏吸引力。</w:t>
      </w:r>
    </w:p>
    <w:p w14:paraId="52122679">
      <w:pPr>
        <w:keepNext w:val="0"/>
        <w:keepLines w:val="0"/>
        <w:widowControl/>
        <w:suppressLineNumbers w:val="0"/>
        <w:spacing w:line="360" w:lineRule="auto"/>
        <w:ind w:firstLine="480" w:firstLineChars="200"/>
        <w:rPr>
          <w:rFonts w:ascii="宋体" w:hAnsi="宋体" w:eastAsia="宋体"/>
          <w:sz w:val="24"/>
          <w:szCs w:val="24"/>
        </w:rPr>
      </w:pPr>
    </w:p>
    <w:p w14:paraId="3716588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29" o:spt="1" style="height:1.5pt;width:432pt;" filled="t" stroked="f" coordsize="21600,21600" o:hr="t" o:hrstd="t" o:hrnoshade="t" o:hralign="center">
            <v:path/>
            <v:fill on="t" focussize="0,0"/>
            <v:stroke on="f"/>
            <v:imagedata o:title=""/>
            <o:lock v:ext="edit"/>
            <w10:wrap type="none"/>
            <w10:anchorlock/>
          </v:rect>
        </w:pict>
      </w:r>
    </w:p>
    <w:p w14:paraId="2D7B0F34">
      <w:pPr>
        <w:keepNext w:val="0"/>
        <w:keepLines w:val="0"/>
        <w:widowControl/>
        <w:suppressLineNumbers w:val="0"/>
        <w:spacing w:line="400" w:lineRule="exact"/>
        <w:jc w:val="center"/>
        <w:outlineLvl w:val="0"/>
        <w:rPr>
          <w:rFonts w:ascii="黑体" w:hAnsi="黑体" w:eastAsia="黑体"/>
          <w:sz w:val="30"/>
          <w:szCs w:val="30"/>
        </w:rPr>
      </w:pPr>
      <w:bookmarkStart w:id="32" w:name="_Toc18305"/>
      <w:r>
        <w:rPr>
          <w:rFonts w:ascii="黑体" w:hAnsi="黑体" w:eastAsia="黑体"/>
          <w:sz w:val="30"/>
          <w:szCs w:val="30"/>
        </w:rPr>
        <w:t>第六章 优化建议与结论</w:t>
      </w:r>
      <w:bookmarkEnd w:id="32"/>
    </w:p>
    <w:p w14:paraId="46EFFCD2">
      <w:pPr>
        <w:spacing w:line="400" w:lineRule="exact"/>
        <w:jc w:val="both"/>
        <w:outlineLvl w:val="1"/>
        <w:rPr>
          <w:rFonts w:ascii="黑体" w:hAnsi="黑体" w:eastAsia="黑体"/>
          <w:sz w:val="28"/>
          <w:szCs w:val="28"/>
        </w:rPr>
      </w:pPr>
      <w:bookmarkStart w:id="33" w:name="_Toc30501"/>
      <w:r>
        <w:rPr>
          <w:rFonts w:ascii="黑体" w:hAnsi="黑体" w:eastAsia="黑体"/>
          <w:sz w:val="28"/>
          <w:szCs w:val="28"/>
        </w:rPr>
        <w:t>6.1 优化建议</w:t>
      </w:r>
      <w:bookmarkEnd w:id="33"/>
    </w:p>
    <w:p w14:paraId="5969857D">
      <w:pPr>
        <w:spacing w:line="360" w:lineRule="auto"/>
        <w:ind w:firstLine="480" w:firstLineChars="200"/>
        <w:rPr>
          <w:rFonts w:ascii="宋体" w:hAnsi="宋体" w:eastAsia="宋体"/>
          <w:sz w:val="24"/>
          <w:szCs w:val="24"/>
        </w:rPr>
      </w:pPr>
      <w:r>
        <w:rPr>
          <w:rFonts w:ascii="宋体" w:hAnsi="宋体" w:eastAsia="宋体"/>
          <w:sz w:val="24"/>
          <w:szCs w:val="24"/>
        </w:rPr>
        <w:t>针对上述问题，本文提出以下优化建议：</w:t>
      </w:r>
    </w:p>
    <w:p w14:paraId="6489D411">
      <w:pPr>
        <w:keepNext w:val="0"/>
        <w:keepLines w:val="0"/>
        <w:widowControl/>
        <w:suppressLineNumbers w:val="0"/>
        <w:spacing w:line="360" w:lineRule="auto"/>
        <w:ind w:firstLine="480" w:firstLineChars="200"/>
        <w:rPr>
          <w:rFonts w:ascii="宋体" w:hAnsi="宋体" w:eastAsia="宋体"/>
          <w:sz w:val="24"/>
          <w:szCs w:val="24"/>
        </w:rPr>
      </w:pPr>
    </w:p>
    <w:p w14:paraId="35F9966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深化本地化选品：</w:t>
      </w:r>
    </w:p>
    <w:p w14:paraId="6D20B7E8">
      <w:pPr>
        <w:keepNext w:val="0"/>
        <w:keepLines w:val="0"/>
        <w:widowControl/>
        <w:suppressLineNumbers w:val="0"/>
        <w:spacing w:line="360" w:lineRule="auto"/>
        <w:ind w:firstLine="480" w:firstLineChars="200"/>
        <w:rPr>
          <w:rFonts w:ascii="宋体" w:hAnsi="宋体" w:eastAsia="宋体"/>
          <w:sz w:val="24"/>
          <w:szCs w:val="24"/>
        </w:rPr>
      </w:pPr>
    </w:p>
    <w:p w14:paraId="07BEBA4F">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593CB4D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加强与重庆本地优质农产品基地、特色食品生产企业的合作，建立长期稳定的直采关系。</w:t>
      </w:r>
    </w:p>
    <w:p w14:paraId="784E24BF">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627B098B">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139EE77C">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设立“重庆味道”专区，集中展示和销售具有本地特色的商品，并根据季节和市场变化动态调整。</w:t>
      </w:r>
    </w:p>
    <w:p w14:paraId="08169B98">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14D3BDEF">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4F6340E5">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邀请本地美食顾问参与选品，确保商品口味和品类更贴近本地消费者需求。</w:t>
      </w:r>
    </w:p>
    <w:p w14:paraId="11043BB6">
      <w:pPr>
        <w:keepNext w:val="0"/>
        <w:keepLines w:val="0"/>
        <w:widowControl/>
        <w:numPr>
          <w:ilvl w:val="1"/>
          <w:numId w:val="2"/>
        </w:numPr>
        <w:suppressLineNumbers w:val="0"/>
        <w:spacing w:line="360" w:lineRule="auto"/>
        <w:ind w:firstLine="480" w:firstLineChars="200"/>
        <w:rPr>
          <w:rFonts w:ascii="宋体" w:hAnsi="宋体" w:eastAsia="宋体"/>
          <w:sz w:val="24"/>
          <w:szCs w:val="24"/>
        </w:rPr>
      </w:pPr>
    </w:p>
    <w:p w14:paraId="37E1CEF1">
      <w:pPr>
        <w:keepNext w:val="0"/>
        <w:keepLines w:val="0"/>
        <w:widowControl/>
        <w:suppressLineNumbers w:val="0"/>
        <w:spacing w:line="360" w:lineRule="auto"/>
        <w:ind w:firstLine="480" w:firstLineChars="200"/>
        <w:rPr>
          <w:rFonts w:ascii="宋体" w:hAnsi="宋体" w:eastAsia="宋体"/>
          <w:sz w:val="24"/>
          <w:szCs w:val="24"/>
        </w:rPr>
      </w:pPr>
    </w:p>
    <w:p w14:paraId="674CB51A">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强化本地供应链：</w:t>
      </w:r>
    </w:p>
    <w:p w14:paraId="34919500">
      <w:pPr>
        <w:keepNext w:val="0"/>
        <w:keepLines w:val="0"/>
        <w:widowControl/>
        <w:suppressLineNumbers w:val="0"/>
        <w:spacing w:line="360" w:lineRule="auto"/>
        <w:ind w:firstLine="480" w:firstLineChars="200"/>
        <w:rPr>
          <w:rFonts w:ascii="宋体" w:hAnsi="宋体" w:eastAsia="宋体"/>
          <w:sz w:val="24"/>
          <w:szCs w:val="24"/>
        </w:rPr>
      </w:pPr>
    </w:p>
    <w:p w14:paraId="4A19AF92">
      <w:pPr>
        <w:keepNext w:val="0"/>
        <w:keepLines w:val="0"/>
        <w:widowControl/>
        <w:numPr>
          <w:ilvl w:val="1"/>
          <w:numId w:val="3"/>
        </w:numPr>
        <w:suppressLineNumbers w:val="0"/>
        <w:tabs>
          <w:tab w:val="left" w:pos="1440"/>
        </w:tabs>
        <w:spacing w:line="360" w:lineRule="auto"/>
        <w:ind w:firstLine="480" w:firstLineChars="200"/>
        <w:rPr>
          <w:rFonts w:ascii="宋体" w:hAnsi="宋体" w:eastAsia="宋体"/>
          <w:sz w:val="24"/>
          <w:szCs w:val="24"/>
        </w:rPr>
      </w:pPr>
    </w:p>
    <w:p w14:paraId="7564795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在重庆建立或整合本地分拨中心，缩短本地生鲜商品的从田间到门店的时间，提升新鲜度。</w:t>
      </w:r>
    </w:p>
    <w:p w14:paraId="65BE93D0">
      <w:pPr>
        <w:keepNext w:val="0"/>
        <w:keepLines w:val="0"/>
        <w:widowControl/>
        <w:numPr>
          <w:ilvl w:val="1"/>
          <w:numId w:val="3"/>
        </w:numPr>
        <w:suppressLineNumbers w:val="0"/>
        <w:tabs>
          <w:tab w:val="left" w:pos="1440"/>
        </w:tabs>
        <w:spacing w:line="360" w:lineRule="auto"/>
        <w:ind w:firstLine="480" w:firstLineChars="200"/>
        <w:rPr>
          <w:rFonts w:ascii="宋体" w:hAnsi="宋体" w:eastAsia="宋体"/>
          <w:sz w:val="24"/>
          <w:szCs w:val="24"/>
        </w:rPr>
      </w:pPr>
    </w:p>
    <w:p w14:paraId="2C6D77B2">
      <w:pPr>
        <w:keepNext w:val="0"/>
        <w:keepLines w:val="0"/>
        <w:widowControl/>
        <w:numPr>
          <w:ilvl w:val="1"/>
          <w:numId w:val="3"/>
        </w:numPr>
        <w:suppressLineNumbers w:val="0"/>
        <w:tabs>
          <w:tab w:val="left" w:pos="1440"/>
        </w:tabs>
        <w:spacing w:line="360" w:lineRule="auto"/>
        <w:ind w:firstLine="480" w:firstLineChars="200"/>
        <w:rPr>
          <w:rFonts w:ascii="宋体" w:hAnsi="宋体" w:eastAsia="宋体"/>
          <w:sz w:val="24"/>
          <w:szCs w:val="24"/>
        </w:rPr>
      </w:pPr>
    </w:p>
    <w:p w14:paraId="0459EE6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利用大数据分析，精准预测重庆各门店的本地特色商品需求，实现智能补货，减少断货风险。</w:t>
      </w:r>
    </w:p>
    <w:p w14:paraId="07448893">
      <w:pPr>
        <w:keepNext w:val="0"/>
        <w:keepLines w:val="0"/>
        <w:widowControl/>
        <w:numPr>
          <w:ilvl w:val="1"/>
          <w:numId w:val="3"/>
        </w:numPr>
        <w:suppressLineNumbers w:val="0"/>
        <w:tabs>
          <w:tab w:val="left" w:pos="1440"/>
        </w:tabs>
        <w:spacing w:line="360" w:lineRule="auto"/>
        <w:ind w:firstLine="480" w:firstLineChars="200"/>
        <w:rPr>
          <w:rFonts w:ascii="宋体" w:hAnsi="宋体" w:eastAsia="宋体"/>
          <w:sz w:val="24"/>
          <w:szCs w:val="24"/>
        </w:rPr>
      </w:pPr>
    </w:p>
    <w:p w14:paraId="4F5AE460">
      <w:pPr>
        <w:keepNext w:val="0"/>
        <w:keepLines w:val="0"/>
        <w:widowControl/>
        <w:suppressLineNumbers w:val="0"/>
        <w:spacing w:line="360" w:lineRule="auto"/>
        <w:ind w:firstLine="480" w:firstLineChars="200"/>
        <w:rPr>
          <w:rFonts w:ascii="宋体" w:hAnsi="宋体" w:eastAsia="宋体"/>
          <w:sz w:val="24"/>
          <w:szCs w:val="24"/>
        </w:rPr>
      </w:pPr>
    </w:p>
    <w:p w14:paraId="29346548">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优化配送服务：</w:t>
      </w:r>
    </w:p>
    <w:p w14:paraId="38671F45">
      <w:pPr>
        <w:keepNext w:val="0"/>
        <w:keepLines w:val="0"/>
        <w:widowControl/>
        <w:suppressLineNumbers w:val="0"/>
        <w:spacing w:line="360" w:lineRule="auto"/>
        <w:ind w:firstLine="480" w:firstLineChars="200"/>
        <w:rPr>
          <w:rFonts w:ascii="宋体" w:hAnsi="宋体" w:eastAsia="宋体"/>
          <w:sz w:val="24"/>
          <w:szCs w:val="24"/>
        </w:rPr>
      </w:pPr>
    </w:p>
    <w:p w14:paraId="5D7D8146">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0E08DDB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针对重庆地形，开发或引入更适合山地配送的交通工具（如电动助力车）。</w:t>
      </w:r>
    </w:p>
    <w:p w14:paraId="3A8C1904">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43CE932A">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4E6499FD">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优化配送算法，结合实时路况和地形数据，动态规划最优路线。</w:t>
      </w:r>
    </w:p>
    <w:p w14:paraId="09E47CD5">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2B62061D">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5D05480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为配送员提供针对性培训，提高在复杂地形下的配送效率和服务质量。</w:t>
      </w:r>
    </w:p>
    <w:p w14:paraId="54FA193D">
      <w:pPr>
        <w:keepNext w:val="0"/>
        <w:keepLines w:val="0"/>
        <w:widowControl/>
        <w:numPr>
          <w:ilvl w:val="1"/>
          <w:numId w:val="4"/>
        </w:numPr>
        <w:suppressLineNumbers w:val="0"/>
        <w:tabs>
          <w:tab w:val="left" w:pos="1440"/>
        </w:tabs>
        <w:spacing w:line="360" w:lineRule="auto"/>
        <w:ind w:firstLine="480" w:firstLineChars="200"/>
        <w:rPr>
          <w:rFonts w:ascii="宋体" w:hAnsi="宋体" w:eastAsia="宋体"/>
          <w:sz w:val="24"/>
          <w:szCs w:val="24"/>
        </w:rPr>
      </w:pPr>
    </w:p>
    <w:p w14:paraId="7A639C4F">
      <w:pPr>
        <w:keepNext w:val="0"/>
        <w:keepLines w:val="0"/>
        <w:widowControl/>
        <w:suppressLineNumbers w:val="0"/>
        <w:spacing w:line="360" w:lineRule="auto"/>
        <w:ind w:firstLine="480" w:firstLineChars="200"/>
        <w:rPr>
          <w:rFonts w:ascii="宋体" w:hAnsi="宋体" w:eastAsia="宋体"/>
          <w:sz w:val="24"/>
          <w:szCs w:val="24"/>
        </w:rPr>
      </w:pPr>
    </w:p>
    <w:p w14:paraId="2306D8C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加强品牌营销：</w:t>
      </w:r>
    </w:p>
    <w:p w14:paraId="69AD890E">
      <w:pPr>
        <w:keepNext w:val="0"/>
        <w:keepLines w:val="0"/>
        <w:widowControl/>
        <w:suppressLineNumbers w:val="0"/>
        <w:spacing w:line="360" w:lineRule="auto"/>
        <w:ind w:firstLine="480" w:firstLineChars="200"/>
        <w:rPr>
          <w:rFonts w:ascii="宋体" w:hAnsi="宋体" w:eastAsia="宋体"/>
          <w:sz w:val="24"/>
          <w:szCs w:val="24"/>
        </w:rPr>
      </w:pPr>
    </w:p>
    <w:p w14:paraId="6BC133B2">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63AC14A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加大在重庆本地的广告投放，利用户外大屏、本地社交媒体（如重庆购物狂）、KOL（关键意见领袖）探店等方式，提升品牌知名度和美誉度。</w:t>
      </w:r>
    </w:p>
    <w:p w14:paraId="0A77591F">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24A772C2">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7DEDC2D3">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持续策划具有本地文化特色的线上线下活动，如“火锅食材节”、“重庆小面挑战赛”等，增强与消费者的情感连接。</w:t>
      </w:r>
    </w:p>
    <w:p w14:paraId="3AA5C8D0">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45418DAA">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5F8A4080">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针对中老年群体，开展线下体验课或社区推广活动，降低其使用门槛。</w:t>
      </w:r>
    </w:p>
    <w:p w14:paraId="3CC4ABEA">
      <w:pPr>
        <w:keepNext w:val="0"/>
        <w:keepLines w:val="0"/>
        <w:widowControl/>
        <w:numPr>
          <w:ilvl w:val="1"/>
          <w:numId w:val="5"/>
        </w:numPr>
        <w:suppressLineNumbers w:val="0"/>
        <w:tabs>
          <w:tab w:val="left" w:pos="1440"/>
        </w:tabs>
        <w:spacing w:line="360" w:lineRule="auto"/>
        <w:ind w:firstLine="480" w:firstLineChars="200"/>
        <w:rPr>
          <w:rFonts w:ascii="宋体" w:hAnsi="宋体" w:eastAsia="宋体"/>
          <w:sz w:val="24"/>
          <w:szCs w:val="24"/>
        </w:rPr>
      </w:pPr>
    </w:p>
    <w:p w14:paraId="65A41ADF">
      <w:pPr>
        <w:keepNext w:val="0"/>
        <w:keepLines w:val="0"/>
        <w:widowControl/>
        <w:suppressLineNumbers w:val="0"/>
        <w:spacing w:line="360" w:lineRule="auto"/>
        <w:ind w:firstLine="480" w:firstLineChars="200"/>
        <w:rPr>
          <w:rFonts w:ascii="宋体" w:hAnsi="宋体" w:eastAsia="宋体"/>
          <w:sz w:val="24"/>
          <w:szCs w:val="24"/>
        </w:rPr>
      </w:pPr>
    </w:p>
    <w:p w14:paraId="57AA0C5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实施差异化定价：</w:t>
      </w:r>
    </w:p>
    <w:p w14:paraId="3C6FA68F">
      <w:pPr>
        <w:keepNext w:val="0"/>
        <w:keepLines w:val="0"/>
        <w:widowControl/>
        <w:suppressLineNumbers w:val="0"/>
        <w:spacing w:line="360" w:lineRule="auto"/>
        <w:ind w:firstLine="480" w:firstLineChars="200"/>
        <w:rPr>
          <w:rFonts w:ascii="宋体" w:hAnsi="宋体" w:eastAsia="宋体"/>
          <w:sz w:val="24"/>
          <w:szCs w:val="24"/>
        </w:rPr>
      </w:pPr>
    </w:p>
    <w:p w14:paraId="69426598">
      <w:pPr>
        <w:keepNext w:val="0"/>
        <w:keepLines w:val="0"/>
        <w:widowControl/>
        <w:numPr>
          <w:ilvl w:val="1"/>
          <w:numId w:val="6"/>
        </w:numPr>
        <w:suppressLineNumbers w:val="0"/>
        <w:tabs>
          <w:tab w:val="left" w:pos="1440"/>
        </w:tabs>
        <w:spacing w:line="360" w:lineRule="auto"/>
        <w:ind w:firstLine="480" w:firstLineChars="200"/>
        <w:rPr>
          <w:rFonts w:ascii="宋体" w:hAnsi="宋体" w:eastAsia="宋体"/>
          <w:sz w:val="24"/>
          <w:szCs w:val="24"/>
        </w:rPr>
      </w:pPr>
    </w:p>
    <w:p w14:paraId="0F23C9DA">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在保证商品品质的前提下，可针对部分高频、刚需的本地生鲜商品（如本地蔬菜、鸡蛋）实施更有竞争力的定价策略，吸引价格敏感型消费者。</w:t>
      </w:r>
    </w:p>
    <w:p w14:paraId="3EEED9CF">
      <w:pPr>
        <w:keepNext w:val="0"/>
        <w:keepLines w:val="0"/>
        <w:widowControl/>
        <w:numPr>
          <w:ilvl w:val="1"/>
          <w:numId w:val="6"/>
        </w:numPr>
        <w:suppressLineNumbers w:val="0"/>
        <w:tabs>
          <w:tab w:val="left" w:pos="1440"/>
        </w:tabs>
        <w:spacing w:line="360" w:lineRule="auto"/>
        <w:ind w:firstLine="480" w:firstLineChars="200"/>
        <w:rPr>
          <w:rFonts w:ascii="宋体" w:hAnsi="宋体" w:eastAsia="宋体"/>
          <w:sz w:val="24"/>
          <w:szCs w:val="24"/>
        </w:rPr>
      </w:pPr>
    </w:p>
    <w:p w14:paraId="14173BCF">
      <w:pPr>
        <w:keepNext w:val="0"/>
        <w:keepLines w:val="0"/>
        <w:widowControl/>
        <w:numPr>
          <w:ilvl w:val="1"/>
          <w:numId w:val="6"/>
        </w:numPr>
        <w:suppressLineNumbers w:val="0"/>
        <w:tabs>
          <w:tab w:val="left" w:pos="1440"/>
        </w:tabs>
        <w:spacing w:line="360" w:lineRule="auto"/>
        <w:ind w:firstLine="480" w:firstLineChars="200"/>
        <w:rPr>
          <w:rFonts w:ascii="宋体" w:hAnsi="宋体" w:eastAsia="宋体"/>
          <w:sz w:val="24"/>
          <w:szCs w:val="24"/>
        </w:rPr>
      </w:pPr>
    </w:p>
    <w:p w14:paraId="2D351994">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强化会员权益，通过会员专属价、积分兑换、免费配送等方式，提升会员的粘性和消费频次，构建长期价值。</w:t>
      </w:r>
    </w:p>
    <w:p w14:paraId="76C16E00">
      <w:pPr>
        <w:keepNext w:val="0"/>
        <w:keepLines w:val="0"/>
        <w:widowControl/>
        <w:numPr>
          <w:ilvl w:val="1"/>
          <w:numId w:val="6"/>
        </w:numPr>
        <w:suppressLineNumbers w:val="0"/>
        <w:tabs>
          <w:tab w:val="left" w:pos="1440"/>
        </w:tabs>
        <w:spacing w:line="360" w:lineRule="auto"/>
        <w:ind w:firstLine="480" w:firstLineChars="200"/>
        <w:rPr>
          <w:rFonts w:ascii="宋体" w:hAnsi="宋体" w:eastAsia="宋体"/>
          <w:sz w:val="24"/>
          <w:szCs w:val="24"/>
        </w:rPr>
      </w:pPr>
    </w:p>
    <w:p w14:paraId="2D86708B">
      <w:pPr>
        <w:spacing w:line="400" w:lineRule="exact"/>
        <w:jc w:val="both"/>
        <w:outlineLvl w:val="1"/>
        <w:rPr>
          <w:rFonts w:ascii="黑体" w:hAnsi="黑体" w:eastAsia="黑体"/>
          <w:sz w:val="28"/>
          <w:szCs w:val="28"/>
        </w:rPr>
      </w:pPr>
      <w:bookmarkStart w:id="34" w:name="_Toc20720"/>
      <w:r>
        <w:rPr>
          <w:rFonts w:ascii="黑体" w:hAnsi="黑体" w:eastAsia="黑体"/>
          <w:sz w:val="28"/>
          <w:szCs w:val="28"/>
        </w:rPr>
        <w:t>6.2 研究结论</w:t>
      </w:r>
      <w:bookmarkEnd w:id="34"/>
    </w:p>
    <w:p w14:paraId="39FE9611">
      <w:pPr>
        <w:spacing w:line="360" w:lineRule="auto"/>
        <w:ind w:firstLine="480" w:firstLineChars="200"/>
        <w:rPr>
          <w:rFonts w:ascii="宋体" w:hAnsi="宋体" w:eastAsia="宋体"/>
          <w:sz w:val="24"/>
          <w:szCs w:val="24"/>
        </w:rPr>
      </w:pPr>
      <w:r>
        <w:rPr>
          <w:rFonts w:ascii="宋体" w:hAnsi="宋体" w:eastAsia="宋体"/>
          <w:sz w:val="24"/>
          <w:szCs w:val="24"/>
        </w:rPr>
        <w:t>本文以商业模式画布理论为基础，通过案例分析和实证调研，深入探讨了新零售模式下盒马鲜生在重庆市场的商业模式创新与本地化实践。研究得出以下结论：</w:t>
      </w:r>
    </w:p>
    <w:p w14:paraId="4DC2D54F">
      <w:pPr>
        <w:keepNext w:val="0"/>
        <w:keepLines w:val="0"/>
        <w:widowControl/>
        <w:suppressLineNumbers w:val="0"/>
        <w:spacing w:line="360" w:lineRule="auto"/>
        <w:ind w:firstLine="480" w:firstLineChars="200"/>
        <w:rPr>
          <w:rFonts w:ascii="宋体" w:hAnsi="宋体" w:eastAsia="宋体"/>
          <w:sz w:val="24"/>
          <w:szCs w:val="24"/>
        </w:rPr>
      </w:pPr>
    </w:p>
    <w:p w14:paraId="738F5676">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盒马鲜生的商业模式创新体现在价值主张的“新鲜”“便利”、价值创造的“数字化”与“融合”、价值传递的“全渠道”与“即时”、价值获取的“多元化”。</w:t>
      </w:r>
    </w:p>
    <w:p w14:paraId="6F7ACD68">
      <w:pPr>
        <w:keepNext w:val="0"/>
        <w:keepLines w:val="0"/>
        <w:widowControl/>
        <w:suppressLineNumbers w:val="0"/>
        <w:spacing w:line="360" w:lineRule="auto"/>
        <w:ind w:firstLine="480" w:firstLineChars="200"/>
        <w:rPr>
          <w:rFonts w:ascii="宋体" w:hAnsi="宋体" w:eastAsia="宋体"/>
          <w:sz w:val="24"/>
          <w:szCs w:val="24"/>
        </w:rPr>
      </w:pPr>
    </w:p>
    <w:p w14:paraId="10113B48">
      <w:pPr>
        <w:keepNext w:val="0"/>
        <w:keepLines w:val="0"/>
        <w:widowControl/>
        <w:suppressLineNumbers w:val="0"/>
        <w:spacing w:line="360" w:lineRule="auto"/>
        <w:ind w:firstLine="480" w:firstLineChars="200"/>
        <w:rPr>
          <w:rFonts w:ascii="宋体" w:hAnsi="宋体" w:eastAsia="宋体"/>
          <w:sz w:val="24"/>
          <w:szCs w:val="24"/>
        </w:rPr>
      </w:pPr>
    </w:p>
    <w:p w14:paraId="31498FA7">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重庆市场独特的消费文化和地理环境对盒马鲜生的本地化提出了挑战，盒马已采取商品、营销、配送、选址等多方面的本地化实践。</w:t>
      </w:r>
    </w:p>
    <w:p w14:paraId="009BFBD3">
      <w:pPr>
        <w:keepNext w:val="0"/>
        <w:keepLines w:val="0"/>
        <w:widowControl/>
        <w:suppressLineNumbers w:val="0"/>
        <w:spacing w:line="360" w:lineRule="auto"/>
        <w:ind w:firstLine="480" w:firstLineChars="200"/>
        <w:rPr>
          <w:rFonts w:ascii="宋体" w:hAnsi="宋体" w:eastAsia="宋体"/>
          <w:sz w:val="24"/>
          <w:szCs w:val="24"/>
        </w:rPr>
      </w:pPr>
    </w:p>
    <w:p w14:paraId="62BE35CD">
      <w:pPr>
        <w:keepNext w:val="0"/>
        <w:keepLines w:val="0"/>
        <w:widowControl/>
        <w:suppressLineNumbers w:val="0"/>
        <w:spacing w:line="360" w:lineRule="auto"/>
        <w:ind w:firstLine="480" w:firstLineChars="200"/>
        <w:rPr>
          <w:rFonts w:ascii="宋体" w:hAnsi="宋体" w:eastAsia="宋体"/>
          <w:sz w:val="24"/>
          <w:szCs w:val="24"/>
        </w:rPr>
      </w:pPr>
    </w:p>
    <w:p w14:paraId="3A31718E">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盒马鲜生在重庆市场仍面临本地化选品不足、供应链效率待提升、消费者认知度不高、竞争压力大等问题，其成因涉及本地供应链整合难度、地理限制、品牌宣传和成本定价等多个方面。</w:t>
      </w:r>
    </w:p>
    <w:p w14:paraId="30B51AE2">
      <w:pPr>
        <w:keepNext w:val="0"/>
        <w:keepLines w:val="0"/>
        <w:widowControl/>
        <w:suppressLineNumbers w:val="0"/>
        <w:spacing w:line="360" w:lineRule="auto"/>
        <w:ind w:firstLine="480" w:firstLineChars="200"/>
        <w:rPr>
          <w:rFonts w:ascii="宋体" w:hAnsi="宋体" w:eastAsia="宋体"/>
          <w:sz w:val="24"/>
          <w:szCs w:val="24"/>
        </w:rPr>
      </w:pPr>
    </w:p>
    <w:p w14:paraId="14CA78F1">
      <w:pPr>
        <w:keepNext w:val="0"/>
        <w:keepLines w:val="0"/>
        <w:widowControl/>
        <w:suppressLineNumbers w:val="0"/>
        <w:spacing w:line="360" w:lineRule="auto"/>
        <w:ind w:firstLine="480" w:firstLineChars="200"/>
        <w:rPr>
          <w:rFonts w:ascii="宋体" w:hAnsi="宋体" w:eastAsia="宋体"/>
          <w:sz w:val="24"/>
          <w:szCs w:val="24"/>
        </w:rPr>
      </w:pPr>
    </w:p>
    <w:p w14:paraId="4B5D172B">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为应对上述挑战，盒马鲜生应通过深化本地化选品、强化本地供应链、优化配送服务、加强品牌营销和实施差异化定价等措施，持续优化其在重庆市场的商业模式。</w:t>
      </w:r>
    </w:p>
    <w:p w14:paraId="74EAEE61">
      <w:pPr>
        <w:keepNext w:val="0"/>
        <w:keepLines w:val="0"/>
        <w:widowControl/>
        <w:suppressLineNumbers w:val="0"/>
        <w:spacing w:line="360" w:lineRule="auto"/>
        <w:ind w:firstLine="480" w:firstLineChars="200"/>
        <w:rPr>
          <w:rFonts w:ascii="宋体" w:hAnsi="宋体" w:eastAsia="宋体"/>
          <w:sz w:val="24"/>
          <w:szCs w:val="24"/>
        </w:rPr>
      </w:pPr>
    </w:p>
    <w:p w14:paraId="1601BF2C">
      <w:pPr>
        <w:spacing w:line="400" w:lineRule="exact"/>
        <w:jc w:val="both"/>
        <w:outlineLvl w:val="1"/>
        <w:rPr>
          <w:rFonts w:ascii="黑体" w:hAnsi="黑体" w:eastAsia="黑体"/>
          <w:sz w:val="28"/>
          <w:szCs w:val="28"/>
        </w:rPr>
      </w:pPr>
      <w:bookmarkStart w:id="35" w:name="_Toc12893"/>
      <w:r>
        <w:rPr>
          <w:rFonts w:ascii="黑体" w:hAnsi="黑体" w:eastAsia="黑体"/>
          <w:sz w:val="28"/>
          <w:szCs w:val="28"/>
        </w:rPr>
        <w:t>6.3 研究不足与展望</w:t>
      </w:r>
      <w:bookmarkEnd w:id="35"/>
    </w:p>
    <w:p w14:paraId="3100B33A">
      <w:pPr>
        <w:spacing w:line="360" w:lineRule="auto"/>
        <w:ind w:firstLine="480" w:firstLineChars="200"/>
        <w:rPr>
          <w:rFonts w:ascii="宋体" w:hAnsi="宋体" w:eastAsia="宋体"/>
          <w:sz w:val="24"/>
          <w:szCs w:val="24"/>
        </w:rPr>
      </w:pPr>
      <w:r>
        <w:rPr>
          <w:rFonts w:ascii="宋体" w:hAnsi="宋体" w:eastAsia="宋体"/>
          <w:sz w:val="24"/>
          <w:szCs w:val="24"/>
        </w:rPr>
        <w:t>本研究存在以下不足：一是问卷调查样本量相对有限，且主要集中在主城区，对区县市场的代表性不足；二是访谈对象仅限于盒马内部人员和部分专家，未能覆盖竞争对手和更广泛的供应商群体，可能影响问题分析的全面性。未来研究可以扩大样本范围，进行更深入的对比研究，如比较盒马鲜生在重庆与成都等其他西部城市的运营差异，或对比盒马鲜生与永辉超级物种在重庆市场的竞争策略，以进一步深化对新零售区域发展的认识。</w:t>
      </w:r>
    </w:p>
    <w:p w14:paraId="50723E4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480" w:firstLineChars="200"/>
        <w:rPr>
          <w:rFonts w:ascii="宋体" w:hAnsi="宋体" w:eastAsia="宋体"/>
          <w:sz w:val="24"/>
          <w:szCs w:val="24"/>
        </w:rPr>
      </w:pPr>
      <w:r>
        <w:rPr>
          <w:rFonts w:ascii="宋体" w:hAnsi="宋体" w:eastAsia="宋体"/>
          <w:sz w:val="24"/>
          <w:szCs w:val="24"/>
        </w:rPr>
        <w:pict>
          <v:rect id="_x0000_i1030" o:spt="1" style="height:1.5pt;width:432pt;" filled="t" stroked="f" coordsize="21600,21600" o:hr="t" o:hrstd="t" o:hrnoshade="t" o:hralign="center">
            <v:path/>
            <v:fill on="t" focussize="0,0"/>
            <v:stroke on="f"/>
            <v:imagedata o:title=""/>
            <o:lock v:ext="edit"/>
            <w10:wrap type="none"/>
            <w10:anchorlock/>
          </v:rect>
        </w:pict>
      </w:r>
    </w:p>
    <w:p w14:paraId="37E3BBFE">
      <w:pPr>
        <w:keepNext w:val="0"/>
        <w:keepLines w:val="0"/>
        <w:widowControl/>
        <w:suppressLineNumbers w:val="0"/>
        <w:spacing w:line="400" w:lineRule="exact"/>
        <w:jc w:val="center"/>
        <w:outlineLvl w:val="0"/>
        <w:rPr>
          <w:rFonts w:ascii="黑体" w:hAnsi="黑体" w:eastAsia="黑体"/>
          <w:sz w:val="30"/>
          <w:szCs w:val="30"/>
        </w:rPr>
      </w:pPr>
      <w:bookmarkStart w:id="36" w:name="_Toc1751"/>
      <w:r>
        <w:rPr>
          <w:rFonts w:ascii="黑体" w:hAnsi="黑体" w:eastAsia="黑体"/>
          <w:sz w:val="30"/>
          <w:szCs w:val="30"/>
        </w:rPr>
        <w:t>参考文献</w:t>
      </w:r>
      <w:bookmarkEnd w:id="36"/>
    </w:p>
    <w:p w14:paraId="3FB327BF">
      <w:pPr>
        <w:keepNext w:val="0"/>
        <w:keepLines w:val="0"/>
        <w:widowControl/>
        <w:suppressLineNumbers w:val="0"/>
        <w:spacing w:line="360" w:lineRule="auto"/>
        <w:ind w:firstLine="480" w:firstLineChars="200"/>
        <w:rPr>
          <w:rFonts w:ascii="宋体" w:hAnsi="宋体" w:eastAsia="宋体"/>
          <w:sz w:val="24"/>
          <w:szCs w:val="24"/>
        </w:rPr>
      </w:pPr>
      <w:r>
        <w:rPr>
          <w:rFonts w:ascii="宋体" w:hAnsi="宋体" w:eastAsia="宋体"/>
          <w:sz w:val="24"/>
          <w:szCs w:val="24"/>
        </w:rPr>
        <w:t>[1] 王宝义. “新零售”的本质、成因及实践动向[J]. 中国流通经济, 2017, 31(7): 3-10.</w:t>
      </w:r>
      <w:r>
        <w:rPr>
          <w:rFonts w:ascii="宋体" w:hAnsi="宋体" w:eastAsia="宋体"/>
          <w:sz w:val="24"/>
          <w:szCs w:val="24"/>
        </w:rPr>
        <w:br w:type="textWrapping"/>
      </w:r>
      <w:r>
        <w:rPr>
          <w:rFonts w:ascii="宋体" w:hAnsi="宋体" w:eastAsia="宋体"/>
          <w:sz w:val="24"/>
          <w:szCs w:val="24"/>
        </w:rPr>
        <w:t>[2] 杜睿云, 蒋侃. 新零售:内涵、发展动因与关键问题[J]. 价格理论与实践, 2017(2): 139-141.</w:t>
      </w:r>
      <w:r>
        <w:rPr>
          <w:rFonts w:ascii="宋体" w:hAnsi="宋体" w:eastAsia="宋体"/>
          <w:sz w:val="24"/>
          <w:szCs w:val="24"/>
        </w:rPr>
        <w:br w:type="textWrapping"/>
      </w:r>
      <w:r>
        <w:rPr>
          <w:rFonts w:ascii="宋体" w:hAnsi="宋体" w:eastAsia="宋体"/>
          <w:sz w:val="24"/>
          <w:szCs w:val="24"/>
        </w:rPr>
        <w:t>[3] 重庆市统计局. 重庆统计年鉴2023[M]. 北京: 中国统计出版社, 2023.</w:t>
      </w:r>
      <w:r>
        <w:rPr>
          <w:rFonts w:ascii="宋体" w:hAnsi="宋体" w:eastAsia="宋体"/>
          <w:sz w:val="24"/>
          <w:szCs w:val="24"/>
        </w:rPr>
        <w:br w:type="textWrapping"/>
      </w:r>
      <w:r>
        <w:rPr>
          <w:rFonts w:ascii="宋体" w:hAnsi="宋体" w:eastAsia="宋体"/>
          <w:sz w:val="24"/>
          <w:szCs w:val="24"/>
        </w:rPr>
        <w:t>[4] 赵树梅, 徐晓红. “新零售”的含义、模式及发展路径[J]. 中国流通经济, 2017, 31(5): 12-20.</w:t>
      </w:r>
      <w:r>
        <w:rPr>
          <w:rFonts w:ascii="宋体" w:hAnsi="宋体" w:eastAsia="宋体"/>
          <w:sz w:val="24"/>
          <w:szCs w:val="24"/>
        </w:rPr>
        <w:br w:type="textWrapping"/>
      </w:r>
      <w:r>
        <w:rPr>
          <w:rFonts w:ascii="宋体" w:hAnsi="宋体" w:eastAsia="宋体"/>
          <w:sz w:val="24"/>
          <w:szCs w:val="24"/>
        </w:rPr>
        <w:t>[5] 重庆市商务委员会. 重庆市零售业发展报告2023[R]. 2023.</w:t>
      </w:r>
      <w:r>
        <w:rPr>
          <w:rFonts w:ascii="宋体" w:hAnsi="宋体" w:eastAsia="宋体"/>
          <w:sz w:val="24"/>
          <w:szCs w:val="24"/>
        </w:rPr>
        <w:br w:type="textWrapping"/>
      </w:r>
      <w:r>
        <w:rPr>
          <w:rFonts w:ascii="宋体" w:hAnsi="宋体" w:eastAsia="宋体"/>
          <w:sz w:val="24"/>
          <w:szCs w:val="24"/>
        </w:rPr>
        <w:t>[6] 李飞. 全渠道零售含义、成因及对策[J]. 北京工商大学学报(社会科学版), 2013, 28(2): 1-11.</w:t>
      </w:r>
      <w:r>
        <w:rPr>
          <w:rFonts w:ascii="宋体" w:hAnsi="宋体" w:eastAsia="宋体"/>
          <w:sz w:val="24"/>
          <w:szCs w:val="24"/>
        </w:rPr>
        <w:br w:type="textWrapping"/>
      </w:r>
      <w:r>
        <w:rPr>
          <w:rFonts w:ascii="宋体" w:hAnsi="宋体" w:eastAsia="宋体"/>
          <w:sz w:val="24"/>
          <w:szCs w:val="24"/>
        </w:rPr>
        <w:t>[7] Rigby D. The future of shopping[J]. Harvard Business Review, 2011, 89(12): 65-76.</w:t>
      </w:r>
      <w:r>
        <w:rPr>
          <w:rFonts w:ascii="宋体" w:hAnsi="宋体" w:eastAsia="宋体"/>
          <w:sz w:val="24"/>
          <w:szCs w:val="24"/>
        </w:rPr>
        <w:br w:type="textWrapping"/>
      </w:r>
      <w:r>
        <w:rPr>
          <w:rFonts w:ascii="宋体" w:hAnsi="宋体" w:eastAsia="宋体"/>
          <w:sz w:val="24"/>
          <w:szCs w:val="24"/>
        </w:rPr>
        <w:t>[8] Osterwalder A. The business model ontology: A proposition in a design science approach[D]. Université de Lausanne, 2004.</w:t>
      </w:r>
      <w:r>
        <w:rPr>
          <w:rFonts w:ascii="宋体" w:hAnsi="宋体" w:eastAsia="宋体"/>
          <w:sz w:val="24"/>
          <w:szCs w:val="24"/>
        </w:rPr>
        <w:br w:type="textWrapping"/>
      </w:r>
      <w:r>
        <w:rPr>
          <w:rFonts w:ascii="宋体" w:hAnsi="宋体" w:eastAsia="宋体"/>
          <w:sz w:val="24"/>
          <w:szCs w:val="24"/>
        </w:rPr>
        <w:t>[9] 魏炜, 朱武祥. 发现商业模式[M]. 北京: 机械工业出版社, 2012.</w:t>
      </w:r>
      <w:r>
        <w:rPr>
          <w:rFonts w:ascii="宋体" w:hAnsi="宋体" w:eastAsia="宋体"/>
          <w:sz w:val="24"/>
          <w:szCs w:val="24"/>
        </w:rPr>
        <w:br w:type="textWrapping"/>
      </w:r>
      <w:r>
        <w:rPr>
          <w:rFonts w:ascii="宋体" w:hAnsi="宋体" w:eastAsia="宋体"/>
          <w:sz w:val="24"/>
          <w:szCs w:val="24"/>
        </w:rPr>
        <w:t>[10] 王晓娟. 新零售背景下生鲜电商商业模式创新研究——以盒马鲜生为例[D]. 浙江工商大学, 2019.</w:t>
      </w:r>
      <w:r>
        <w:rPr>
          <w:rFonts w:ascii="宋体" w:hAnsi="宋体" w:eastAsia="宋体"/>
          <w:sz w:val="24"/>
          <w:szCs w:val="24"/>
        </w:rPr>
        <w:br w:type="textWrapping"/>
      </w:r>
      <w:r>
        <w:rPr>
          <w:rFonts w:ascii="宋体" w:hAnsi="宋体" w:eastAsia="宋体"/>
          <w:sz w:val="24"/>
          <w:szCs w:val="24"/>
        </w:rPr>
        <w:t>[11] 张艳. 新零售商业模式创新研究——以盒马鲜生为例[J]. 商业经济研究, 2019(13): 78-81.</w:t>
      </w:r>
      <w:r>
        <w:rPr>
          <w:rFonts w:ascii="宋体" w:hAnsi="宋体" w:eastAsia="宋体"/>
          <w:sz w:val="24"/>
          <w:szCs w:val="24"/>
        </w:rPr>
        <w:br w:type="textWrapping"/>
      </w:r>
      <w:r>
        <w:rPr>
          <w:rFonts w:ascii="宋体" w:hAnsi="宋体" w:eastAsia="宋体"/>
          <w:sz w:val="24"/>
          <w:szCs w:val="24"/>
        </w:rPr>
        <w:t>[12] 刘向东, 汤培青. 实体零售商数字化转型下的商业模式创新——基于永辉超市的案例研究[J]. 管理评论, 2021, 33(5): 307-320.</w:t>
      </w:r>
      <w:r>
        <w:rPr>
          <w:rFonts w:ascii="宋体" w:hAnsi="宋体" w:eastAsia="宋体"/>
          <w:sz w:val="24"/>
          <w:szCs w:val="24"/>
        </w:rPr>
        <w:br w:type="textWrapping"/>
      </w:r>
      <w:r>
        <w:rPr>
          <w:rFonts w:ascii="宋体" w:hAnsi="宋体" w:eastAsia="宋体"/>
          <w:sz w:val="24"/>
          <w:szCs w:val="24"/>
        </w:rPr>
        <w:t>[13] 包芷琪. 从消费旅程视角探讨生鲜企业商业模式创新——以盒马鲜生为例[J]. 产业创新研究, 2025(1).</w:t>
      </w:r>
      <w:r>
        <w:rPr>
          <w:rFonts w:ascii="宋体" w:hAnsi="宋体" w:eastAsia="宋体"/>
          <w:sz w:val="24"/>
          <w:szCs w:val="24"/>
        </w:rPr>
        <w:br w:type="textWrapping"/>
      </w:r>
      <w:r>
        <w:rPr>
          <w:rFonts w:ascii="宋体" w:hAnsi="宋体" w:eastAsia="宋体"/>
          <w:sz w:val="24"/>
          <w:szCs w:val="24"/>
        </w:rPr>
        <w:t>[14] 李欣然. 新零售消费模式及供应链体系构建策略分析[J]. 现代商业, 2025(4): 29-32.</w:t>
      </w:r>
      <w:r>
        <w:rPr>
          <w:rFonts w:ascii="宋体" w:hAnsi="宋体" w:eastAsia="宋体"/>
          <w:sz w:val="24"/>
          <w:szCs w:val="24"/>
        </w:rPr>
        <w:br w:type="textWrapping"/>
      </w:r>
      <w:r>
        <w:rPr>
          <w:rFonts w:ascii="宋体" w:hAnsi="宋体" w:eastAsia="宋体"/>
          <w:sz w:val="24"/>
          <w:szCs w:val="24"/>
        </w:rPr>
        <w:t>[15] 重庆工商大学企业管理研究中心等. 相得益彰:数据驱动新零售商业模式闭环的构建机理——盒马案例研究[J]. 南开管理评论, 2024(1): 4-15.</w:t>
      </w:r>
      <w:r>
        <w:rPr>
          <w:rFonts w:ascii="宋体" w:hAnsi="宋体" w:eastAsia="宋体"/>
          <w:sz w:val="24"/>
          <w:szCs w:val="24"/>
        </w:rPr>
        <w:br w:type="textWrapping"/>
      </w:r>
      <w:r>
        <w:rPr>
          <w:rFonts w:ascii="宋体" w:hAnsi="宋体" w:eastAsia="宋体"/>
          <w:sz w:val="24"/>
          <w:szCs w:val="24"/>
        </w:rPr>
        <w:t>[16] 张宇. 新零售背景下“盒马鲜生”商业模式的优化及发展策略[D]. 湖南大学, 2019.</w:t>
      </w:r>
      <w:r>
        <w:rPr>
          <w:rFonts w:ascii="宋体" w:hAnsi="宋体" w:eastAsia="宋体"/>
          <w:sz w:val="24"/>
          <w:szCs w:val="24"/>
        </w:rPr>
        <w:br w:type="textWrapping"/>
      </w:r>
      <w:r>
        <w:rPr>
          <w:rFonts w:ascii="宋体" w:hAnsi="宋体" w:eastAsia="宋体"/>
          <w:sz w:val="24"/>
          <w:szCs w:val="24"/>
        </w:rPr>
        <w:t>[17] 舒文文, 杜碧升. 情境-认知视角下生鲜电商商业模式创新的演进路径研究[J/OL]. 国家预印本平台, 2025.</w:t>
      </w:r>
      <w:r>
        <w:rPr>
          <w:rFonts w:ascii="宋体" w:hAnsi="宋体" w:eastAsia="宋体"/>
          <w:sz w:val="24"/>
          <w:szCs w:val="24"/>
        </w:rPr>
        <w:br w:type="textWrapping"/>
      </w:r>
      <w:r>
        <w:rPr>
          <w:rFonts w:ascii="宋体" w:hAnsi="宋体" w:eastAsia="宋体"/>
          <w:sz w:val="24"/>
          <w:szCs w:val="24"/>
        </w:rPr>
        <w:t>[18] 基于“人货场”视角的生鲜业新零售企业商业模式创新探究[J]. 投资与创业, 2024, 35(17): 25-27.</w:t>
      </w:r>
      <w:r>
        <w:rPr>
          <w:rFonts w:ascii="宋体" w:hAnsi="宋体" w:eastAsia="宋体"/>
          <w:sz w:val="24"/>
          <w:szCs w:val="24"/>
        </w:rPr>
        <w:br w:type="textWrapping"/>
      </w:r>
      <w:r>
        <w:rPr>
          <w:rFonts w:ascii="宋体" w:hAnsi="宋体" w:eastAsia="宋体"/>
          <w:sz w:val="24"/>
          <w:szCs w:val="24"/>
        </w:rPr>
        <w:t>[19] 数字经济背景下新零售企业商业模式创新分析——以盒马鲜生为例[J]. 现代商业, 2022(9).</w:t>
      </w:r>
      <w:r>
        <w:rPr>
          <w:rFonts w:ascii="宋体" w:hAnsi="宋体" w:eastAsia="宋体"/>
          <w:sz w:val="24"/>
          <w:szCs w:val="24"/>
        </w:rPr>
        <w:br w:type="textWrapping"/>
      </w:r>
      <w:r>
        <w:rPr>
          <w:rFonts w:ascii="宋体" w:hAnsi="宋体" w:eastAsia="宋体"/>
          <w:sz w:val="24"/>
          <w:szCs w:val="24"/>
        </w:rPr>
        <w:t>[20] 新零售视角下零售企业商业模式创新——以盒马鲜生为例[J]. 经济研究导刊, 2023(13).</w:t>
      </w:r>
    </w:p>
    <w:p w14:paraId="4C9E812E"/>
    <w:p w14:paraId="40260A4B">
      <w:pPr>
        <w:sectPr>
          <w:headerReference r:id="rId7" w:type="default"/>
          <w:footerReference r:id="rId8" w:type="default"/>
          <w:pgSz w:w="11906" w:h="16838"/>
          <w:pgMar w:top="1440" w:right="1800" w:bottom="1440" w:left="1800" w:header="851" w:footer="992" w:gutter="0"/>
          <w:pgNumType w:start="1"/>
          <w:cols w:space="425" w:num="1"/>
          <w:docGrid w:type="lines" w:linePitch="312" w:charSpace="0"/>
        </w:sectPr>
      </w:pPr>
    </w:p>
    <w:p w14:paraId="03AC07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仿宋">
    <w:altName w:val="仿宋"/>
    <w:panose1 w:val="02010600040101010101"/>
    <w:charset w:val="86"/>
    <w:family w:val="auto"/>
    <w:pitch w:val="default"/>
    <w:sig w:usb0="00000000" w:usb1="0000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185471768"/>
    </w:sdtPr>
    <w:sdtEndPr>
      <w:rPr>
        <w:rFonts w:hint="default" w:ascii="Times New Roman" w:hAnsi="Times New Roman" w:cs="Times New Roman"/>
        <w:sz w:val="21"/>
        <w:szCs w:val="21"/>
      </w:rPr>
    </w:sdtEndPr>
    <w:sdtContent>
      <w:p w14:paraId="1412DF31">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II</w:t>
        </w:r>
        <w:r>
          <w:rPr>
            <w:rFonts w:hint="default" w:ascii="Times New Roman" w:hAnsi="Times New Roman" w:cs="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17F2">
    <w:pPr>
      <w:pStyle w:val="5"/>
      <w:rPr>
        <w:rFonts w:hint="default" w:ascii="Times New Roman" w:hAnsi="Times New Roman" w:cs="Times New Roman"/>
        <w:sz w:val="21"/>
        <w:szCs w:val="21"/>
      </w:rPr>
    </w:pPr>
    <w:r>
      <w:rPr>
        <w:rFonts w:hint="default" w:ascii="Times New Roman" w:hAnsi="Times New Roman" w:cs="Times New Roman"/>
        <w:sz w:val="21"/>
        <w:szCs w:val="21"/>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846216746"/>
    </w:sdtPr>
    <w:sdtEndPr>
      <w:rPr>
        <w:rFonts w:hint="default" w:ascii="Times New Roman" w:hAnsi="Times New Roman" w:cs="Times New Roman"/>
        <w:sz w:val="21"/>
        <w:szCs w:val="21"/>
      </w:rPr>
    </w:sdtEndPr>
    <w:sdtContent>
      <w:p w14:paraId="572F244F">
        <w:pPr>
          <w:pStyle w:val="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3</w:t>
        </w:r>
        <w:r>
          <w:rPr>
            <w:rFonts w:hint="default"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F0596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07C9">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6F8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5337B8"/>
    <w:multiLevelType w:val="multilevel"/>
    <w:tmpl w:val="6D533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FCEF0DB"/>
    <w:multiLevelType w:val="multilevel"/>
    <w:tmpl w:val="6FCEF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F3CF4"/>
    <w:rsid w:val="0DE4324F"/>
    <w:rsid w:val="19C13EF5"/>
    <w:rsid w:val="1B196B09"/>
    <w:rsid w:val="33520CBA"/>
    <w:rsid w:val="40F62B62"/>
    <w:rsid w:val="5A5A2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keepNext/>
      <w:keepLines/>
      <w:spacing w:before="50" w:beforeLines="50" w:afterLines="0" w:line="360" w:lineRule="auto"/>
      <w:outlineLvl w:val="2"/>
    </w:pPr>
    <w:rPr>
      <w:rFonts w:eastAsia="黑体" w:cs="Times New Roman" w:asciiTheme="minorAscii" w:hAnsiTheme="minorAscii"/>
      <w:b/>
      <w:sz w:val="24"/>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toc 3"/>
    <w:basedOn w:val="1"/>
    <w:next w:val="1"/>
    <w:uiPriority w:val="0"/>
    <w:pPr>
      <w:ind w:left="840" w:leftChars="400"/>
    </w:pPr>
  </w:style>
  <w:style w:type="paragraph" w:styleId="5">
    <w:name w:val="footer"/>
    <w:basedOn w:val="1"/>
    <w:unhideWhenUsed/>
    <w:qFormat/>
    <w:uiPriority w:val="99"/>
    <w:pPr>
      <w:tabs>
        <w:tab w:val="center" w:pos="4153"/>
        <w:tab w:val="right" w:pos="8306"/>
      </w:tabs>
      <w:snapToGrid w:val="0"/>
      <w:jc w:val="center"/>
    </w:pPr>
    <w:rPr>
      <w:sz w:val="24"/>
      <w:szCs w:val="18"/>
    </w:rPr>
  </w:style>
  <w:style w:type="paragraph" w:styleId="6">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unhideWhenUsed/>
    <w:qFormat/>
    <w:uiPriority w:val="39"/>
    <w:pPr>
      <w:tabs>
        <w:tab w:val="right" w:leader="dot" w:pos="9061"/>
      </w:tabs>
      <w:spacing w:line="400" w:lineRule="atLeast"/>
      <w:textAlignment w:val="center"/>
    </w:pPr>
    <w:rPr>
      <w:rFonts w:ascii="Times New Roman" w:hAnsi="Times New Roman" w:eastAsia="宋体" w:cs="Times New Roman"/>
      <w:b/>
      <w:sz w:val="28"/>
      <w:szCs w:val="21"/>
    </w:rPr>
  </w:style>
  <w:style w:type="paragraph" w:styleId="8">
    <w:name w:val="toc 2"/>
    <w:basedOn w:val="1"/>
    <w:next w:val="1"/>
    <w:uiPriority w:val="0"/>
    <w:pPr>
      <w:ind w:left="420" w:leftChars="200"/>
    </w:pPr>
  </w:style>
  <w:style w:type="character" w:styleId="11">
    <w:name w:val="Hyperlink"/>
    <w:unhideWhenUsed/>
    <w:qFormat/>
    <w:uiPriority w:val="99"/>
    <w:rPr>
      <w:color w:val="0000FF"/>
      <w:u w:val="single"/>
    </w:rPr>
  </w:style>
  <w:style w:type="character" w:styleId="12">
    <w:name w:val="annotation reference"/>
    <w:basedOn w:val="10"/>
    <w:unhideWhenUsed/>
    <w:qFormat/>
    <w:uiPriority w:val="99"/>
    <w:rPr>
      <w:sz w:val="21"/>
      <w:szCs w:val="21"/>
    </w:rPr>
  </w:style>
  <w:style w:type="paragraph" w:customStyle="1" w:styleId="13">
    <w:name w:val="论文正文"/>
    <w:basedOn w:val="1"/>
    <w:autoRedefine/>
    <w:qFormat/>
    <w:uiPriority w:val="0"/>
    <w:pPr>
      <w:spacing w:line="400" w:lineRule="exact"/>
      <w:ind w:firstLine="200" w:firstLineChars="200"/>
      <w:textAlignment w:val="center"/>
    </w:pPr>
    <w:rPr>
      <w:rFonts w:ascii="Times New Roman" w:hAnsi="Times New Roman" w:eastAsia="宋体" w:cs="Times New Roman"/>
      <w:sz w:val="24"/>
      <w:szCs w:val="21"/>
    </w:rPr>
  </w:style>
  <w:style w:type="paragraph" w:customStyle="1" w:styleId="14">
    <w:name w:val="列出段落1"/>
    <w:basedOn w:val="1"/>
    <w:autoRedefine/>
    <w:qFormat/>
    <w:uiPriority w:val="34"/>
    <w:pPr>
      <w:ind w:left="720"/>
      <w:contextualSpacing/>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8705</Words>
  <Characters>9309</Characters>
  <Lines>0</Lines>
  <Paragraphs>0</Paragraphs>
  <TotalTime>0</TotalTime>
  <ScaleCrop>false</ScaleCrop>
  <LinksUpToDate>false</LinksUpToDate>
  <CharactersWithSpaces>9621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2024-12-23T08:45:00Z</dcterms:created>
  <dc:creator>p4</dc:creator>
  <cp:lastModifiedBy>ko no dio da！</cp:lastModifiedBy>
  <dcterms:modified xsi:type="dcterms:W3CDTF">2026-09-07T14:08:30Z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B74A586F75CA4243A19FA406F89AFA91_12</vt:lpwstr>
  </property>
  <property fmtid="{D5CDD505-2E9C-101B-9397-08002B2CF9AE}" pid="4" name="KSOTemplateDocerSaveRecord">
    <vt:lpwstr>eyJoZGlkIjoiZjQ0ZjY0OWJiODkwNDliMzc2MTgxMGRmOTY3ZWRkMTQiLCJ1c2VySWQiOiIxMTI0MTM2NDAzIn0=</vt:lpwstr>
  </property>
</Properties>
</file>