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C5F8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СВОЙСТВА МАГНИТНЫХ МОДЕЛЕЙ НА АНСАМБЛЯХ КОНФОРМАЦИЙ</w:t>
      </w:r>
    </w:p>
    <w:p w14:paraId="631EB3BA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E1D17F" w14:textId="0E1440B5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Москаленко Р. Б.</w:t>
      </w:r>
    </w:p>
    <w:p w14:paraId="112EB055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Национальный исследовательский университет «Высшая школа экономики»</w:t>
      </w:r>
    </w:p>
    <w:p w14:paraId="472F7363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департамент прикладной математики</w:t>
      </w:r>
    </w:p>
    <w:p w14:paraId="026A73E3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i/>
          <w:sz w:val="20"/>
          <w:szCs w:val="20"/>
        </w:rPr>
        <w:t>МИЭМ НИУ ВШЭ</w:t>
      </w:r>
    </w:p>
    <w:p w14:paraId="48EC738D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219C8E2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Аннотация</w:t>
      </w:r>
    </w:p>
    <w:p w14:paraId="223C5CB9" w14:textId="2AEFABB5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В данной работе рассматривается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на решёточных моделях макромолекул на квадратной двумерной решётке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 представленных в виде случайных блужданий без самопересечений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Цель исследования – определить точку магнитного перехода в глобулярных конформациях и сравнить её с точкой геометрического перехода клубок – глобула. В статье 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представлены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текущие результаты и будущие планы развития проекта.</w:t>
      </w:r>
    </w:p>
    <w:p w14:paraId="00BDD7CA" w14:textId="77777777" w:rsidR="00537532" w:rsidRPr="0063154A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0C04CD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Введение</w:t>
      </w:r>
    </w:p>
    <w:p w14:paraId="37816674" w14:textId="42B0DB35" w:rsidR="007E2E11" w:rsidRPr="0063154A" w:rsidRDefault="00E90D81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0A221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[1]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случайных блужданиях без самопересечений – новая и активно изучаемая модель макромолекул.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9A3A6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Данные модели применимы к различным видам магнитных полимеров 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[2],[3].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933E0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Обычно в таких моделях 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одновременно 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может 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менят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ь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ся и геометрическая структура, и спиновая система молекулы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 как например в работе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="00331A4C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="00F92A06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. Однако времена релаксации структурных степеней свободы обычно значительно больше времен релаксации магнитных переменных.</w:t>
      </w:r>
      <w:r w:rsidR="000A221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Поэтому в этой работе мы рассматриваем модель с замороженным беспорядком, где модель </w:t>
      </w:r>
      <w:proofErr w:type="spellStart"/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рассматривается на фиксированных конформациях.</w:t>
      </w:r>
    </w:p>
    <w:p w14:paraId="514C9B3E" w14:textId="77777777" w:rsidR="00A96437" w:rsidRDefault="00D220FA" w:rsidP="00A01B42">
      <w:pPr>
        <w:spacing w:before="20" w:line="240" w:lineRule="auto"/>
        <w:ind w:firstLine="425"/>
        <w:jc w:val="both"/>
        <w:rPr>
          <w:noProof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Решёточная модель макромолекулы представляет собой случайное блуждание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без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самопересечений,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зависящее от температуры. У конформаций наблюдается геометрический фазовый переход между двумя состояниями: клубок (развёрнутое) и глобула (плотное). На данных конформациях рассматривается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без внешнего поля, где в каждой вершине расположен магнитный момент, и каждая вершина имеет от 1 до 4 соседей.</w:t>
      </w:r>
    </w:p>
    <w:p w14:paraId="4AA7CECA" w14:textId="50FB3C7E" w:rsidR="002B45DE" w:rsidRPr="0063154A" w:rsidRDefault="00D220FA" w:rsidP="00A9643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noProof/>
        </w:rPr>
        <w:drawing>
          <wp:inline distT="0" distB="0" distL="0" distR="0" wp14:anchorId="1EF67AA4" wp14:editId="39052A91">
            <wp:extent cx="1313993" cy="868756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93" cy="868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3154A">
        <w:rPr>
          <w:noProof/>
        </w:rPr>
        <w:drawing>
          <wp:inline distT="0" distB="0" distL="0" distR="0" wp14:anchorId="51985345" wp14:editId="137BB3FB">
            <wp:extent cx="1305261" cy="8667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261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D4F7F" w14:textId="391F9ECB" w:rsidR="00A96437" w:rsidRPr="0063154A" w:rsidRDefault="002B45DE" w:rsidP="00A96437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1. Пример конформаций вида клубок и глобула</w:t>
      </w:r>
    </w:p>
    <w:p w14:paraId="4CD35883" w14:textId="3D0AE8B2" w:rsidR="00966929" w:rsidRPr="0063154A" w:rsidRDefault="00D220FA" w:rsidP="0096692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Как можно увидеть на рис. 1 глобулярные конформации по структуре близки к обычной двумерной решётке (вершины расположены плотно, у большинства вершин 3 или 4 соседа), в то время как клубки ближе к одномерной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(большинство вершин имеет ровно 2 соседа). можно предположить, что клубки и глобулы будут иметь магнитные свойства, схожие с данными решётками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: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6504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г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лобулы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имеют магнитный фазовый переход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="000A687D" w:rsidRPr="0063154A">
        <w:t xml:space="preserve"> 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 отличии от </w:t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квазиодномерных</w:t>
      </w:r>
      <w:proofErr w:type="spellEnd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конфо</w:t>
      </w:r>
      <w:proofErr w:type="spellEnd"/>
      <w:r w:rsidR="00BF6738">
        <w:rPr>
          <w:rFonts w:ascii="Times New Roman" w:eastAsia="Times New Roman" w:hAnsi="Times New Roman" w:cs="Times New Roman"/>
          <w:sz w:val="20"/>
          <w:szCs w:val="20"/>
          <w:lang w:val="ru-RU"/>
        </w:rPr>
        <w:tab/>
      </w:r>
      <w:proofErr w:type="spellStart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рмаций</w:t>
      </w:r>
      <w:proofErr w:type="spellEnd"/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вида клубок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89EDE4A" w14:textId="4D640E7B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Зная точку фазового перехода клубок </w:t>
      </w:r>
      <w:r w:rsidR="00A24879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–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глобула, большой интерес представляет определение точки магнитного перехода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глобулах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, и их сравнение. Это и является целью данного исследования</w:t>
      </w:r>
    </w:p>
    <w:p w14:paraId="31C2AB8E" w14:textId="42368682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На данный момент написан программный комплекс для генерации конформаций и расчета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1B3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методами Монте-Карло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на суперкомпьютерном кластере ВШЭ</w:t>
      </w:r>
      <w:r w:rsidR="002773C2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код доступен на </w:t>
      </w:r>
      <w:r w:rsidR="001D3B66"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GitHub</w:t>
      </w:r>
      <w:r w:rsidR="00400E0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5</w:t>
      </w:r>
      <w:r w:rsidR="00400E0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564A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П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олучены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результаты для конформаций соответствующих низким температурам. Подробнее об этом в следующих разделах</w:t>
      </w:r>
    </w:p>
    <w:p w14:paraId="08AF9296" w14:textId="77777777" w:rsidR="00A24879" w:rsidRPr="0063154A" w:rsidRDefault="00A24879" w:rsidP="00A24879">
      <w:pPr>
        <w:spacing w:before="2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1FAB50" w14:textId="7B3A5A85" w:rsidR="00537532" w:rsidRPr="0063154A" w:rsidRDefault="00D220FA" w:rsidP="00A24879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Реализация модели</w:t>
      </w:r>
    </w:p>
    <w:p w14:paraId="5EFC0243" w14:textId="0A16EF56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В данной модели мы рассматриваем наборы конформаций равной длины при одинаковой температуре</w:t>
      </w:r>
      <w:r w:rsidR="009E2783" w:rsidRPr="0063154A">
        <w:rPr>
          <w:rFonts w:ascii="Times New Roman" w:eastAsia="Times New Roman" w:hAnsi="Times New Roman" w:cs="Times New Roman"/>
          <w:sz w:val="20"/>
          <w:szCs w:val="20"/>
        </w:rPr>
        <w:t>, полученные</w:t>
      </w:r>
      <w:r w:rsidR="009E2783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как случайные блуждания без самопересечений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по алгоритму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представленному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статье 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="00105A7A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]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На каждой из конформаций вычисляется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>, полученные энергия и намагниченности затем усредняются по конформациям.</w:t>
      </w:r>
    </w:p>
    <w:p w14:paraId="04EFBB41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Гамильтониан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задаётся следующей формулой.</w:t>
      </w:r>
    </w:p>
    <w:p w14:paraId="7BEF6A33" w14:textId="5A20E87A" w:rsidR="00537532" w:rsidRPr="0063154A" w:rsidRDefault="00A01B4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H</m:t>
          </m:r>
          <m:r>
            <w:rPr>
              <w:rFonts w:ascii="Cambria Math" w:eastAsia="Times New Roman" w:hAnsi="Cambria Math" w:cs="Times New Roman"/>
              <w:sz w:val="20"/>
              <w:szCs w:val="20"/>
            </w:rPr>
            <m:t> = -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J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i,j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2ACA3292" w14:textId="64E5B09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где (i, j) - пары соседних</w:t>
      </w:r>
      <w:r w:rsidR="00331B30" w:rsidRPr="0063154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узлов</w:t>
      </w: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, J - коэффициент взаимодействия</w:t>
      </w:r>
    </w:p>
    <w:p w14:paraId="2A02D140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9223F4B" w14:textId="203A8BA5" w:rsidR="00537532" w:rsidRPr="0063154A" w:rsidRDefault="00331B30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Статистическая сумма</w:t>
      </w:r>
      <w:r w:rsidR="00D220FA" w:rsidRPr="0063154A">
        <w:rPr>
          <w:rFonts w:ascii="Times New Roman" w:eastAsia="Times New Roman" w:hAnsi="Times New Roman" w:cs="Times New Roman"/>
          <w:sz w:val="20"/>
          <w:szCs w:val="20"/>
        </w:rPr>
        <w:t xml:space="preserve"> для каждой конформации вычисляется по всем возможным наборам значений спинов.</w:t>
      </w:r>
    </w:p>
    <w:p w14:paraId="41E2FF2E" w14:textId="39497663" w:rsidR="00537532" w:rsidRPr="0063154A" w:rsidRDefault="00AF1727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m:oMathPara>
        <m:oMath>
          <m: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Z = 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{σ}</m:t>
              </m:r>
            </m:sub>
            <m:sup/>
            <m:e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0"/>
                      <w:szCs w:val="20"/>
                    </w:rPr>
                    <m:t>H(σ)</m:t>
                  </m:r>
                  <m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m:t>β</m:t>
                  </m:r>
                </m:sup>
              </m:sSup>
            </m:e>
          </m:nary>
          <m:r>
            <w:rPr>
              <w:rFonts w:ascii="Times New Roman" w:eastAsia="Times New Roman" w:hAnsi="Times New Roman" w:cs="Times New Roman"/>
              <w:sz w:val="20"/>
              <w:szCs w:val="20"/>
            </w:rPr>
            <m:t>, β</m:t>
          </m:r>
          <m:r>
            <m:rPr>
              <m:sty m:val="bi"/>
            </m:rPr>
            <w:rPr>
              <w:rFonts w:ascii="Times New Roman" w:eastAsia="Times New Roman" w:hAnsi="Times New Roman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  <w:sz w:val="16"/>
                  <w:szCs w:val="16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1</m:t>
              </m:r>
            </m:num>
            <m:den>
              <m:r>
                <w:rPr>
                  <w:rFonts w:ascii="Times New Roman" w:eastAsia="Times New Roman" w:hAnsi="Times New Roman" w:cs="Times New Roman"/>
                  <w:sz w:val="16"/>
                  <w:szCs w:val="16"/>
                </w:rPr>
                <m:t>kT</m:t>
              </m:r>
            </m:den>
          </m:f>
        </m:oMath>
      </m:oMathPara>
    </w:p>
    <w:p w14:paraId="3C6466DF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T - температура, k - постоянная Больцмана</w:t>
      </w:r>
    </w:p>
    <w:p w14:paraId="72CB46B6" w14:textId="77777777" w:rsidR="00537532" w:rsidRPr="0063154A" w:rsidRDefault="00537532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7B649BD1" w14:textId="768648D3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Расчет модели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происходит по алгоритму Вольфа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6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] с кластерным апдейтом. Мы случайным образом инициализируем спины на конформации, делаем некоторое число шагов для отжига модели. После отжига на каждом шаге замеряем энергию и намагниченность. Усреднив полученные значения по шагам, получаем средние значения намагниченности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⟨m⟩</m:t>
        </m:r>
      </m:oMath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и энергии </w:t>
      </w:r>
      <m:oMath>
        <m:r>
          <w:rPr>
            <w:rFonts w:ascii="Times New Roman" w:eastAsia="Times New Roman" w:hAnsi="Times New Roman" w:cs="Times New Roman"/>
            <w:sz w:val="20"/>
            <w:szCs w:val="20"/>
          </w:rPr>
          <m:t>⟨E⟩</m:t>
        </m:r>
      </m:oMath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для конформации.</w:t>
      </w:r>
    </w:p>
    <w:p w14:paraId="18A4B4F3" w14:textId="56E6D7EF" w:rsidR="00B34966" w:rsidRPr="0063154A" w:rsidRDefault="009E2783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Задача</w:t>
      </w:r>
      <w:r w:rsidR="00B34966" w:rsidRPr="0063154A">
        <w:rPr>
          <w:rFonts w:ascii="Times New Roman" w:eastAsia="Times New Roman" w:hAnsi="Times New Roman" w:cs="Times New Roman"/>
          <w:sz w:val="20"/>
          <w:szCs w:val="20"/>
        </w:rPr>
        <w:t xml:space="preserve"> с замороженным беспорядком, соответственно по замороженным переменным усредняются физические наблюдаемые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: средняя намагниченность и энергия для ансамбля вычисляется, как средняя энергия и намагниченность по конформациям.</w:t>
      </w:r>
    </w:p>
    <w:p w14:paraId="1A2693BB" w14:textId="70F6C5CF" w:rsidR="00D220FA" w:rsidRPr="0063154A" w:rsidRDefault="00D220FA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60F9C2C" w14:textId="77777777" w:rsidR="009E2783" w:rsidRPr="0063154A" w:rsidRDefault="009E2783" w:rsidP="00D220FA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2BD3DF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Поиск точки перехода</w:t>
      </w:r>
    </w:p>
    <w:p w14:paraId="786BF6B6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Для исследования были сгенерированы по 1000 конформаций длины 250, 500, 1000, 2000.</w:t>
      </w:r>
    </w:p>
    <w:p w14:paraId="60E4A91D" w14:textId="4635DB69" w:rsidR="00537532" w:rsidRPr="0063154A" w:rsidRDefault="00D220FA" w:rsidP="00927B28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При рассмотрении конформаций полученных при генерации </w:t>
      </w:r>
      <w:r w:rsidR="002B45DE" w:rsidRPr="0063154A">
        <w:rPr>
          <w:rFonts w:ascii="Times New Roman" w:eastAsia="Times New Roman" w:hAnsi="Times New Roman" w:cs="Times New Roman"/>
          <w:sz w:val="20"/>
          <w:szCs w:val="20"/>
        </w:rPr>
        <w:t>оказалось,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что около 35% из них не намагничиваются при низких температурах. Из-за большой разницы в намагниченности от конформации к конформации при вычислении средней намагниченности и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кумулянта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Биндера [</w:t>
      </w:r>
      <w:r w:rsidR="0054283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7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]</w:t>
      </w:r>
      <w:r w:rsidR="008D5B8E" w:rsidRPr="0063154A">
        <w:rPr>
          <w:rFonts w:ascii="Times New Roman" w:eastAsia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sz w:val="20"/>
              <w:szCs w:val="20"/>
              <w:lang w:val="ru-RU"/>
            </w:rPr>
            <w:br/>
          </m:r>
        </m:oMath>
      </m:oMathPara>
      <w:r w:rsidRPr="0063154A">
        <w:rPr>
          <w:rFonts w:ascii="Times New Roman" w:eastAsia="Times New Roman" w:hAnsi="Times New Roman" w:cs="Times New Roman"/>
          <w:sz w:val="20"/>
          <w:szCs w:val="20"/>
        </w:rPr>
        <w:t>мы получаем большие погрешности, что не позв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</w:rPr>
        <w:t>оляет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определить точку перехода. Следующей задачей стало определить способ выделения намагничивающихся конформаций из сгенерированного набора. </w:t>
      </w:r>
    </w:p>
    <w:p w14:paraId="7B757420" w14:textId="0366AFA1" w:rsidR="00537532" w:rsidRPr="0063154A" w:rsidRDefault="00D220FA" w:rsidP="00C55F0E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Первым рассмотренным способом разделения конформаций на магнитные и немагнитные стало вычисление их радиуса инерции. Из предположения что магнитные конформации более плотные и имеют меньший радиус инерции.</w:t>
      </w:r>
    </w:p>
    <w:p w14:paraId="63F4F811" w14:textId="1DEA789E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b/>
          <w:color w:val="202122"/>
          <w:sz w:val="20"/>
          <w:szCs w:val="20"/>
        </w:rPr>
      </w:pPr>
      <m:oMathPara>
        <m:oMath>
          <m:r>
            <m:rPr>
              <m:sty m:val="bi"/>
            </m:rPr>
            <w:rPr>
              <w:rFonts w:ascii="Times New Roman" w:eastAsia="Times New Roman" w:hAnsi="Times New Roman" w:cs="Times New Roman"/>
              <w:color w:val="202122"/>
              <w:sz w:val="20"/>
              <w:szCs w:val="20"/>
            </w:rPr>
            <m:t>R=</m:t>
          </m:r>
          <m:rad>
            <m:radPr>
              <m:degHide m:val="1"/>
              <m:ctrlPr>
                <w:rPr>
                  <w:rFonts w:ascii="Times New Roman" w:eastAsia="Times New Roman" w:hAnsi="Times New Roman" w:cs="Times New Roman"/>
                  <w:b/>
                  <w:color w:val="202122"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Times New Roman" w:eastAsia="Times New Roman" w:hAnsi="Times New Roman" w:cs="Times New Roman"/>
                      <w:b/>
                      <w:color w:val="202122"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Times New Roman" w:eastAsia="Times New Roman" w:hAnsi="Times New Roman" w:cs="Times New Roman"/>
                      <w:color w:val="202122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color w:val="202122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color w:val="202122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202122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202122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BA4BE2C" w14:textId="72F33A9C" w:rsidR="00537532" w:rsidRPr="0063154A" w:rsidRDefault="00D220FA" w:rsidP="00C55F0E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i/>
                <w:color w:val="202122"/>
                <w:sz w:val="16"/>
                <w:szCs w:val="16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</w:rPr>
              <m:t>i</m:t>
            </m:r>
          </m:sub>
        </m:sSub>
      </m:oMath>
      <w:r w:rsidRPr="0063154A">
        <w:rPr>
          <w:rFonts w:ascii="Times New Roman" w:eastAsia="Times New Roman" w:hAnsi="Times New Roman" w:cs="Times New Roman"/>
          <w:i/>
          <w:color w:val="202122"/>
          <w:sz w:val="16"/>
          <w:szCs w:val="16"/>
        </w:rPr>
        <w:t xml:space="preserve"> - расстояние от i-й вершины, до центра масс конформации</w:t>
      </w:r>
    </w:p>
    <w:p w14:paraId="1A206AF0" w14:textId="6122A6DB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Эксперименты с этим способом показали, что таким образом можно выделить наборы конформаций разных длин</w:t>
      </w:r>
      <w:r w:rsidR="009A16A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так</w:t>
      </w:r>
      <w:r w:rsidR="009A16A0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что для них будет возможно найти точку перехода. Несмотря на это данный вариант разделения оказался неподходящим по нескольким причинам: радиус инерции нелинейно зависит от длины конформаций, некоторым значениям радиуса инерции соответствуют конформации с совершенно разными значениями намагниченности. Последняя причина особенно важна, так как она означает, что при расчётах мы либо будем оставлять </w:t>
      </w:r>
      <w:r w:rsidR="00F00455" w:rsidRPr="0063154A">
        <w:rPr>
          <w:rFonts w:ascii="Times New Roman" w:eastAsia="Times New Roman" w:hAnsi="Times New Roman" w:cs="Times New Roman"/>
          <w:sz w:val="20"/>
          <w:szCs w:val="20"/>
        </w:rPr>
        <w:t>не намагничивающиеся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конформации либо отбрасывать намагничивающиеся.</w:t>
      </w: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6D5AE5E" wp14:editId="5E8F1FD8">
            <wp:extent cx="2686050" cy="160358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044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0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2F2BD" w14:textId="77777777" w:rsidR="00C55F0E" w:rsidRPr="0063154A" w:rsidRDefault="00D220FA" w:rsidP="00A01B42">
      <w:pPr>
        <w:spacing w:before="20" w:line="240" w:lineRule="auto"/>
        <w:ind w:firstLine="425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 xml:space="preserve">Рисунок 2. График </w:t>
      </w:r>
      <w:proofErr w:type="spellStart"/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кумулянтов</w:t>
      </w:r>
      <w:proofErr w:type="spellEnd"/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 xml:space="preserve"> полученный при приблизительном разделении конформаций по радиусу</w:t>
      </w:r>
      <w:r w:rsidR="00C55F0E" w:rsidRPr="0063154A">
        <w:rPr>
          <w:rFonts w:ascii="Times New Roman" w:eastAsia="Times New Roman" w:hAnsi="Times New Roman" w:cs="Times New Roman"/>
          <w:i/>
          <w:sz w:val="16"/>
          <w:szCs w:val="16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инерции</w:t>
      </w:r>
    </w:p>
    <w:p w14:paraId="68B34191" w14:textId="52D07345" w:rsidR="00537532" w:rsidRPr="0063154A" w:rsidRDefault="00D220FA" w:rsidP="00C55F0E">
      <w:pPr>
        <w:spacing w:before="2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33C57730" wp14:editId="397A3E7C">
            <wp:extent cx="2686050" cy="18034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74359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3. график значений квадрата намагниченности и радиуса инерции для конформаций длины 1000</w:t>
      </w:r>
    </w:p>
    <w:p w14:paraId="260F87D9" w14:textId="77777777" w:rsidR="00537532" w:rsidRPr="0063154A" w:rsidRDefault="00537532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DB537E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Кластеризованные</w:t>
      </w:r>
      <w:proofErr w:type="spellEnd"/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 xml:space="preserve"> конформации</w:t>
      </w:r>
    </w:p>
    <w:p w14:paraId="451EE370" w14:textId="5AC026FA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При анализе результатов разделения конформаций по радиусу инерции был построен искусственный пример немагнитной конформации с малым радиусом инерции (Рис.3</w:t>
      </w:r>
      <w:r w:rsidR="004E2E9D" w:rsidRPr="0063154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4D081149" w14:textId="77777777" w:rsidR="00537532" w:rsidRPr="0063154A" w:rsidRDefault="00D220FA" w:rsidP="00A01B42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1BBF0EB" wp14:editId="421620FE">
            <wp:extent cx="2686050" cy="17780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BEFF1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4. Пример конформации с двумя кластерами</w:t>
      </w:r>
    </w:p>
    <w:p w14:paraId="1880C2E6" w14:textId="3A93318F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Она состоит из двух плотных двумерных магнитных доменов (далее кластеры), соединённых одномерной цепочкой (далее мост). Из-за разделяющей цепочки данные кластеры намагничиваются почти независимо друг от друга, из-за чего значения спинов в них с вероятностью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162D8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близкой к </w:t>
      </w:r>
      <w:r w:rsidR="003A3878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1/2</w:t>
      </w:r>
      <w:r w:rsidR="000A687D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>окажутся противоположными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(если в каком-то состоянии изменить направление спинов в одном из кластеров на противоположные, гамильтониан изменится на ±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</w:t>
      </w:r>
      <w:r w:rsidR="00A7401E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а</w:t>
      </w:r>
      <w:r w:rsidR="006D0F35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вероятность данного состояния почти не изменится)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6254C2" w:rsidRPr="0063154A">
        <w:rPr>
          <w:rFonts w:ascii="Times New Roman" w:eastAsia="Times New Roman" w:hAnsi="Times New Roman" w:cs="Times New Roman"/>
          <w:sz w:val="20"/>
          <w:szCs w:val="20"/>
        </w:rPr>
        <w:t>Естественно,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при увеличении числа кластеров или длин мостов намагниченность конформации становится ещё меньше.</w:t>
      </w:r>
    </w:p>
    <w:p w14:paraId="16C91DD4" w14:textId="77777777" w:rsidR="00503850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Учитывая полученный пример, для более полного анализа конформаций на наличие кластеров была написана программа для определения кластеров и мостов.</w:t>
      </w:r>
    </w:p>
    <w:p w14:paraId="1EC1BCEF" w14:textId="286DC91D" w:rsidR="00537532" w:rsidRPr="0063154A" w:rsidRDefault="00D220FA" w:rsidP="00503850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65FC7DE6" wp14:editId="2276C14A">
            <wp:extent cx="2454275" cy="162748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62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9EC54" w14:textId="77777777" w:rsidR="00537532" w:rsidRPr="0063154A" w:rsidRDefault="00D220FA" w:rsidP="00A01B42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5. Пример выделения кластеров и мостов на конформации</w:t>
      </w:r>
    </w:p>
    <w:p w14:paraId="256BFB47" w14:textId="77777777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Данный алгоритм позволяет нам определить количество и размеры мостов и кластеров. Так же он не учитывает мосты, которые соединяют один и тот же кластер, так как они не имеют структурной значимости.</w:t>
      </w:r>
    </w:p>
    <w:p w14:paraId="41641746" w14:textId="77777777" w:rsidR="00A96437" w:rsidRDefault="00D220FA" w:rsidP="00A96437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sz w:val="20"/>
          <w:szCs w:val="20"/>
        </w:rPr>
        <w:t>Анализ кластеров и мостов в конформациях происходит на 10000 конформациях длины 1000. Как и ожидалось, число кластеров, мостов и их размеры напрямую влияют на значение намагниченности. Особенно хорошо это видно при рассмотрении размера наибольшего кластера в конформации (рис. 6). На данный момент разделение конформаций, основанное на этом параметре</w:t>
      </w:r>
      <w:r w:rsidR="00404AC7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Pr="0063154A">
        <w:rPr>
          <w:rFonts w:ascii="Times New Roman" w:eastAsia="Times New Roman" w:hAnsi="Times New Roman" w:cs="Times New Roman"/>
          <w:sz w:val="20"/>
          <w:szCs w:val="20"/>
        </w:rPr>
        <w:t xml:space="preserve"> выглядит наиболее перспективным, так как в данном способе не наблюдается большого разброса значений намагниченности при равных размерах кластера, и намагниченность конформаций зависит от размера кластера почти линейно.</w:t>
      </w:r>
    </w:p>
    <w:p w14:paraId="4D3EA0F0" w14:textId="72F5239C" w:rsidR="00537532" w:rsidRPr="0063154A" w:rsidRDefault="00D220FA" w:rsidP="00A9643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40E1FA77" wp14:editId="3852851E">
            <wp:extent cx="2686050" cy="1803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223E28" w14:textId="15B755E8" w:rsidR="00A24879" w:rsidRPr="0063154A" w:rsidRDefault="00D220FA" w:rsidP="00A24879">
      <w:pPr>
        <w:spacing w:before="2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63154A">
        <w:rPr>
          <w:rFonts w:ascii="Times New Roman" w:eastAsia="Times New Roman" w:hAnsi="Times New Roman" w:cs="Times New Roman"/>
          <w:i/>
          <w:sz w:val="16"/>
          <w:szCs w:val="16"/>
        </w:rPr>
        <w:t>Рисунок 6. график значений квадрата намагниченности и размера наибольшего кластера для конформаций длины 1000</w:t>
      </w:r>
    </w:p>
    <w:p w14:paraId="2D559DEE" w14:textId="4447815B" w:rsidR="00A24879" w:rsidRPr="0063154A" w:rsidRDefault="00A24879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63A479E" w14:textId="6DFEAD35" w:rsidR="000768F4" w:rsidRPr="0063154A" w:rsidRDefault="000768F4" w:rsidP="000768F4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Заключение</w:t>
      </w:r>
    </w:p>
    <w:p w14:paraId="5E47CEF3" w14:textId="2937F587" w:rsidR="000768F4" w:rsidRPr="0063154A" w:rsidRDefault="00C55F0E" w:rsidP="000768F4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В работе рассмотрена модель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ансамблях конф</w:t>
      </w:r>
      <w:r w:rsidR="00346510">
        <w:rPr>
          <w:rFonts w:ascii="Times New Roman" w:eastAsia="Times New Roman" w:hAnsi="Times New Roman" w:cs="Times New Roman"/>
          <w:sz w:val="20"/>
          <w:szCs w:val="20"/>
          <w:lang w:val="ru-RU"/>
        </w:rPr>
        <w:t>о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рмаций. На данный момент реализован метод численного исследования свойств модели. М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ы рассмотрели модель </w:t>
      </w:r>
      <w:proofErr w:type="spellStart"/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Изинга</w:t>
      </w:r>
      <w:proofErr w:type="spellEnd"/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на нескольких наборах конформаций, однако из-за разнообразия сгенерированных конформаций, мы не можем определить точку магнитного перехода. </w:t>
      </w:r>
      <w:r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Б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ыл предложен алгоритм, позволяющий определить глобулярные конформации среди множества сгенерированных. Используя этот алгоритм, мы 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планируем выдел</w:t>
      </w:r>
      <w:r w:rsidR="00957051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и</w:t>
      </w:r>
      <w:r w:rsidR="002463EB" w:rsidRPr="0063154A">
        <w:rPr>
          <w:rFonts w:ascii="Times New Roman" w:eastAsia="Times New Roman" w:hAnsi="Times New Roman" w:cs="Times New Roman"/>
          <w:sz w:val="20"/>
          <w:szCs w:val="20"/>
          <w:lang w:val="ru-RU"/>
        </w:rPr>
        <w:t>ть наборы глобулярных конформаций, и искать точку перехода для них</w:t>
      </w:r>
      <w:r w:rsidR="00BF6738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14:paraId="43810323" w14:textId="77777777" w:rsidR="000768F4" w:rsidRPr="0063154A" w:rsidRDefault="000768F4" w:rsidP="00175587">
      <w:p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BBC5D7" w14:textId="77752275" w:rsidR="00537532" w:rsidRPr="0063154A" w:rsidRDefault="00D220FA" w:rsidP="00A01B42">
      <w:pPr>
        <w:spacing w:before="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154A">
        <w:rPr>
          <w:rFonts w:ascii="Times New Roman" w:eastAsia="Times New Roman" w:hAnsi="Times New Roman" w:cs="Times New Roman"/>
          <w:b/>
          <w:sz w:val="20"/>
          <w:szCs w:val="20"/>
        </w:rPr>
        <w:t>Список литературы</w:t>
      </w:r>
    </w:p>
    <w:p w14:paraId="4FA193CF" w14:textId="347F1A82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Ernst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>, Contribution to the Theory of Ferromagnetism, 1925</w:t>
      </w:r>
      <w:r w:rsidR="00CF748C" w:rsidRPr="0063154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B28AB1F" w14:textId="4D9FE56B" w:rsidR="009A3A6E" w:rsidRPr="0063154A" w:rsidRDefault="009A3A6E" w:rsidP="009A3A6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F.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Vonderviszt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3154A">
        <w:rPr>
          <w:rFonts w:ascii="Times New Roman" w:hAnsi="Times New Roman" w:cs="Times New Roman"/>
          <w:sz w:val="20"/>
          <w:szCs w:val="20"/>
          <w:lang w:val="en-US"/>
        </w:rPr>
        <w:t>E.Bereczk</w:t>
      </w:r>
      <w:proofErr w:type="gramEnd"/>
      <w:r w:rsidRPr="0063154A">
        <w:rPr>
          <w:rFonts w:ascii="Times New Roman" w:hAnsi="Times New Roman" w:cs="Times New Roman"/>
          <w:sz w:val="20"/>
          <w:szCs w:val="20"/>
          <w:lang w:val="en-US"/>
        </w:rPr>
        <w:t>-Tompa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B. Horvath, I.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Szalaid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and M.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Posfai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Biotemplated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synthesis of magnetic filaments. Nanoscale, 9:15062, 2017.</w:t>
      </w:r>
    </w:p>
    <w:p w14:paraId="0A312AF1" w14:textId="2232BE2F" w:rsidR="009A3A6E" w:rsidRPr="0063154A" w:rsidRDefault="0054283E" w:rsidP="0054283E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J.J.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Benkoski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S.E. Bowles, R.L. Jones, J.F. Douglas, 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Pyun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and A. Karim. Self-assembly of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polymercoated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 ferromagnetic nanoparticles into mesoscopic polymer chains. J.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. Sci., Part B: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Polym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>. Phys.,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46:2267, 2008.</w:t>
      </w:r>
    </w:p>
    <w:p w14:paraId="72F5D143" w14:textId="210A0F9F" w:rsidR="000A221A" w:rsidRPr="0063154A" w:rsidRDefault="000A221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K.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Faizullina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I.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Pchelintsev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 xml:space="preserve">, E. 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Burovski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en-US"/>
        </w:rPr>
        <w:t>, Critical and geometric properties of magnetic polymers across the globule-coil transition. Phys. Rev. E 104, 054501, 2021.</w:t>
      </w:r>
    </w:p>
    <w:p w14:paraId="3BDF8FCE" w14:textId="0DF67896" w:rsidR="00400E01" w:rsidRPr="0063154A" w:rsidRDefault="00400E01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Git</w:t>
      </w:r>
      <w:r w:rsidR="007D168C" w:rsidRPr="0063154A">
        <w:rPr>
          <w:rFonts w:ascii="Times New Roman" w:hAnsi="Times New Roman" w:cs="Times New Roman"/>
          <w:sz w:val="20"/>
          <w:szCs w:val="20"/>
          <w:lang w:val="en-US"/>
        </w:rPr>
        <w:t>hub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 xml:space="preserve"> репозиторий проекта 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://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MoskalenkoRomanBorisovich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>/</w:t>
      </w:r>
      <w:proofErr w:type="spellStart"/>
      <w:r w:rsidRPr="0063154A">
        <w:rPr>
          <w:rFonts w:ascii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on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random</w:t>
      </w:r>
      <w:r w:rsidRPr="0063154A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63154A">
        <w:rPr>
          <w:rFonts w:ascii="Times New Roman" w:hAnsi="Times New Roman" w:cs="Times New Roman"/>
          <w:sz w:val="20"/>
          <w:szCs w:val="20"/>
          <w:lang w:val="en-US"/>
        </w:rPr>
        <w:t>conformation</w:t>
      </w:r>
      <w:r w:rsidR="00CF748C" w:rsidRPr="0063154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4B0552D" w14:textId="25AF592A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hAnsi="Times New Roman" w:cs="Times New Roman"/>
          <w:sz w:val="20"/>
          <w:szCs w:val="20"/>
          <w:lang w:val="en-US"/>
        </w:rPr>
        <w:t>U. Wolff, Collective Monte Carlo Updating for Spin Systems. Physical Review Letters. 62 (4): 361–364, 1989</w:t>
      </w:r>
      <w:r w:rsidR="00CF748C" w:rsidRPr="0063154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BC0652D" w14:textId="7EDA0D25" w:rsidR="00537532" w:rsidRPr="0063154A" w:rsidRDefault="00D220FA" w:rsidP="000A221A">
      <w:pPr>
        <w:numPr>
          <w:ilvl w:val="0"/>
          <w:numId w:val="2"/>
        </w:numPr>
        <w:spacing w:before="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K. Binder, Finite size scaling analysis of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ising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model block distribution functions.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Zeitschrift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für </w:t>
      </w:r>
      <w:proofErr w:type="spellStart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>Physik</w:t>
      </w:r>
      <w:proofErr w:type="spellEnd"/>
      <w:r w:rsidRPr="0063154A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B: Condensed Matter. 43 (2): 119–140, </w:t>
      </w:r>
      <w:r w:rsidRPr="0063154A">
        <w:rPr>
          <w:color w:val="202122"/>
          <w:sz w:val="19"/>
          <w:szCs w:val="19"/>
          <w:lang w:val="en-US"/>
        </w:rPr>
        <w:t>1981</w:t>
      </w:r>
      <w:r w:rsidR="00CF748C" w:rsidRPr="0063154A">
        <w:rPr>
          <w:color w:val="202122"/>
          <w:sz w:val="19"/>
          <w:szCs w:val="19"/>
          <w:lang w:val="en-US"/>
        </w:rPr>
        <w:t>.</w:t>
      </w:r>
    </w:p>
    <w:sectPr w:rsidR="00537532" w:rsidRPr="0063154A" w:rsidSect="00A01B42">
      <w:pgSz w:w="11909" w:h="16834"/>
      <w:pgMar w:top="1440" w:right="1440" w:bottom="1440" w:left="1440" w:header="283" w:footer="1133" w:gutter="0"/>
      <w:pgNumType w:start="1"/>
      <w:cols w:num="2" w:space="5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0EEC"/>
    <w:multiLevelType w:val="multilevel"/>
    <w:tmpl w:val="975C0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C2658"/>
    <w:multiLevelType w:val="multilevel"/>
    <w:tmpl w:val="961A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1639576">
    <w:abstractNumId w:val="1"/>
  </w:num>
  <w:num w:numId="2" w16cid:durableId="79417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7532"/>
    <w:rsid w:val="00001A1B"/>
    <w:rsid w:val="000768F4"/>
    <w:rsid w:val="000A221A"/>
    <w:rsid w:val="000A687D"/>
    <w:rsid w:val="00105A7A"/>
    <w:rsid w:val="00153AF1"/>
    <w:rsid w:val="00162D85"/>
    <w:rsid w:val="00175587"/>
    <w:rsid w:val="001A2241"/>
    <w:rsid w:val="001D3B66"/>
    <w:rsid w:val="002463EB"/>
    <w:rsid w:val="002751B3"/>
    <w:rsid w:val="002773C2"/>
    <w:rsid w:val="002B45DE"/>
    <w:rsid w:val="00303D27"/>
    <w:rsid w:val="00327A11"/>
    <w:rsid w:val="00330830"/>
    <w:rsid w:val="00331A4C"/>
    <w:rsid w:val="00331B30"/>
    <w:rsid w:val="00346510"/>
    <w:rsid w:val="003A3878"/>
    <w:rsid w:val="00400E01"/>
    <w:rsid w:val="00404AC7"/>
    <w:rsid w:val="004D63EB"/>
    <w:rsid w:val="004E2E9D"/>
    <w:rsid w:val="00503850"/>
    <w:rsid w:val="00537532"/>
    <w:rsid w:val="0054283E"/>
    <w:rsid w:val="005564A1"/>
    <w:rsid w:val="005945FD"/>
    <w:rsid w:val="005963A3"/>
    <w:rsid w:val="005A0605"/>
    <w:rsid w:val="005B64EB"/>
    <w:rsid w:val="006041C3"/>
    <w:rsid w:val="006254C2"/>
    <w:rsid w:val="0063154A"/>
    <w:rsid w:val="00656FD9"/>
    <w:rsid w:val="006D0F35"/>
    <w:rsid w:val="00736504"/>
    <w:rsid w:val="00766627"/>
    <w:rsid w:val="00777134"/>
    <w:rsid w:val="007969CF"/>
    <w:rsid w:val="007B0624"/>
    <w:rsid w:val="007D168C"/>
    <w:rsid w:val="007E2E11"/>
    <w:rsid w:val="008D3134"/>
    <w:rsid w:val="008D5B8E"/>
    <w:rsid w:val="00927B28"/>
    <w:rsid w:val="00933E0C"/>
    <w:rsid w:val="00943234"/>
    <w:rsid w:val="00957051"/>
    <w:rsid w:val="00966929"/>
    <w:rsid w:val="00981A01"/>
    <w:rsid w:val="009A16A0"/>
    <w:rsid w:val="009A3A6E"/>
    <w:rsid w:val="009B1FF7"/>
    <w:rsid w:val="009E058B"/>
    <w:rsid w:val="009E2783"/>
    <w:rsid w:val="00A01B42"/>
    <w:rsid w:val="00A24879"/>
    <w:rsid w:val="00A7401E"/>
    <w:rsid w:val="00A96437"/>
    <w:rsid w:val="00AF1727"/>
    <w:rsid w:val="00B0148C"/>
    <w:rsid w:val="00B34966"/>
    <w:rsid w:val="00B75311"/>
    <w:rsid w:val="00BE51C1"/>
    <w:rsid w:val="00BF6738"/>
    <w:rsid w:val="00C205DD"/>
    <w:rsid w:val="00C55F0E"/>
    <w:rsid w:val="00C76593"/>
    <w:rsid w:val="00CF748C"/>
    <w:rsid w:val="00D220FA"/>
    <w:rsid w:val="00D5292C"/>
    <w:rsid w:val="00D63516"/>
    <w:rsid w:val="00D6682B"/>
    <w:rsid w:val="00D727AF"/>
    <w:rsid w:val="00DB04EC"/>
    <w:rsid w:val="00DB1C2D"/>
    <w:rsid w:val="00DC2CF4"/>
    <w:rsid w:val="00DE1CF8"/>
    <w:rsid w:val="00E01F6B"/>
    <w:rsid w:val="00E463AA"/>
    <w:rsid w:val="00E714A3"/>
    <w:rsid w:val="00E90D81"/>
    <w:rsid w:val="00EF5A99"/>
    <w:rsid w:val="00F00455"/>
    <w:rsid w:val="00F92A06"/>
    <w:rsid w:val="00FB04C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841A"/>
  <w15:docId w15:val="{1016C353-3892-448F-B634-8C7465D6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D63EB"/>
    <w:rPr>
      <w:color w:val="808080"/>
    </w:rPr>
  </w:style>
  <w:style w:type="character" w:styleId="a6">
    <w:name w:val="Hyperlink"/>
    <w:basedOn w:val="a0"/>
    <w:uiPriority w:val="99"/>
    <w:unhideWhenUsed/>
    <w:rsid w:val="00105A7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0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LcDE7hOhiXr+HcX+Hh+vTvlMQ==">AMUW2mWTCoWTUSuW+t0SI+KP9yqaDwfttF4HTnNiGbwoTFH+74GsCOw/K2FiDmofbv0iy/Hjc0VaL6W1075OuSngR04z8Qgyrx/PfWnGH6HrJAw845ZiSTc=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EEB2A1-207F-4DEC-88AB-F01BDD716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Москаленко Роман Борисович</cp:lastModifiedBy>
  <cp:revision>45</cp:revision>
  <cp:lastPrinted>2022-05-25T20:25:00Z</cp:lastPrinted>
  <dcterms:created xsi:type="dcterms:W3CDTF">2022-03-01T16:14:00Z</dcterms:created>
  <dcterms:modified xsi:type="dcterms:W3CDTF">2022-05-25T20:28:00Z</dcterms:modified>
</cp:coreProperties>
</file>