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C5F8" w14:textId="77777777" w:rsidR="00537532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СВОЙСТВА МАГНИТНЫХ МОДЕЛЕЙ НА АНСАМБЛЯХ КОНФОРМАЦИЙ</w:t>
      </w:r>
    </w:p>
    <w:p w14:paraId="631EB3BA" w14:textId="77777777" w:rsidR="00537532" w:rsidRDefault="00537532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BE1D17F" w14:textId="0E1440B5" w:rsidR="00537532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Москаленко Р. Б.</w:t>
      </w:r>
    </w:p>
    <w:p w14:paraId="112EB055" w14:textId="77777777" w:rsidR="00537532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Национальный исследовательский университет «Высшая школа экономики»</w:t>
      </w:r>
    </w:p>
    <w:p w14:paraId="472F7363" w14:textId="77777777" w:rsidR="00537532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департамент прикладной математики</w:t>
      </w:r>
    </w:p>
    <w:p w14:paraId="026A73E3" w14:textId="77777777" w:rsidR="00537532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МИЭМ НИУ ВШЭ</w:t>
      </w:r>
    </w:p>
    <w:p w14:paraId="48EC738D" w14:textId="77777777" w:rsidR="00537532" w:rsidRDefault="00537532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219C8E2" w14:textId="77777777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Аннотация</w:t>
      </w:r>
    </w:p>
    <w:p w14:paraId="223C5CB9" w14:textId="2AEFABB5" w:rsidR="00537532" w:rsidRPr="00A24879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 данной работе рассматривается модель Изинга на решёточных моделях макромолекул на квадратной двумерной решётке</w:t>
      </w:r>
      <w:r w:rsidR="00331B30">
        <w:rPr>
          <w:rFonts w:ascii="Times New Roman" w:eastAsia="Times New Roman" w:hAnsi="Times New Roman" w:cs="Times New Roman"/>
          <w:sz w:val="20"/>
          <w:szCs w:val="20"/>
          <w:lang w:val="ru-RU"/>
        </w:rPr>
        <w:t>, представленных в виде случайных блужданий без самопересечений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A2487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Цель исследования – определить точку магнитного перехода в глобулярных конформациях и сравнить её с точкой геометрического перехода клубок – глобула. В статье </w:t>
      </w:r>
      <w:r w:rsidR="00331B30">
        <w:rPr>
          <w:rFonts w:ascii="Times New Roman" w:eastAsia="Times New Roman" w:hAnsi="Times New Roman" w:cs="Times New Roman"/>
          <w:sz w:val="20"/>
          <w:szCs w:val="20"/>
          <w:lang w:val="ru-RU"/>
        </w:rPr>
        <w:t>представлены</w:t>
      </w:r>
      <w:r w:rsidR="00A24879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текущие результаты и будущие планы развития проекта.</w:t>
      </w:r>
    </w:p>
    <w:p w14:paraId="00BDD7CA" w14:textId="77777777" w:rsidR="00537532" w:rsidRDefault="00537532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E0C04CD" w14:textId="77777777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Введение</w:t>
      </w:r>
    </w:p>
    <w:p w14:paraId="4AA7CECA" w14:textId="5D9D92C2" w:rsidR="002B45DE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Решёточная модель макромолекулы представляет собой случайное блуждание </w:t>
      </w:r>
      <w:r w:rsidR="002B45DE">
        <w:rPr>
          <w:rFonts w:ascii="Times New Roman" w:eastAsia="Times New Roman" w:hAnsi="Times New Roman" w:cs="Times New Roman"/>
          <w:sz w:val="20"/>
          <w:szCs w:val="20"/>
        </w:rPr>
        <w:t>без</w:t>
      </w:r>
      <w:r w:rsidR="002B45DE" w:rsidRPr="002B45D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2B45DE">
        <w:rPr>
          <w:rFonts w:ascii="Times New Roman" w:eastAsia="Times New Roman" w:hAnsi="Times New Roman" w:cs="Times New Roman"/>
          <w:sz w:val="20"/>
          <w:szCs w:val="20"/>
        </w:rPr>
        <w:t>самопересечений,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зависящее от температуры. У конформаций наблюдается геометрический фазовый переход между двумя состояниями: клубок (развёрнутое) и глобула (плотное). На данных конформациях рассматривается модель Изинга [1] без внешнего поля, где в каждой вершине расположен магнитный момент, и каждая вершина имеет от 1 до 4 соседей.</w:t>
      </w:r>
      <w:r w:rsidR="002B45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F67AA4" wp14:editId="39052A91">
            <wp:extent cx="1313993" cy="868756"/>
            <wp:effectExtent l="0" t="0" r="0" b="762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93" cy="868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85345" wp14:editId="137BB3FB">
            <wp:extent cx="1305261" cy="86677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5261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D47816" w14:textId="22B4F526" w:rsidR="00537532" w:rsidRDefault="002B45DE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z w:val="16"/>
          <w:szCs w:val="16"/>
        </w:rPr>
        <w:t>Рисунок 1. Пример конформаций вида клубок и глобула</w:t>
      </w:r>
    </w:p>
    <w:p w14:paraId="250FC254" w14:textId="07DC4E9E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Как можно увидеть на рис. 1 глобулярные конформации по структуре близки к обычной двумерной решётке (вершины расположены плотно, у большинства вершин 3 или 4 соседа), в то время как клубки ближе к одномерной (большинство вершин имеет ровно 2 соседа). можно предположить, что клубки и глобулы будут иметь магнитные свойства, схожие с данными решётками. </w:t>
      </w:r>
      <w:r w:rsidR="002B45DE">
        <w:rPr>
          <w:rFonts w:ascii="Times New Roman" w:eastAsia="Times New Roman" w:hAnsi="Times New Roman" w:cs="Times New Roman"/>
          <w:sz w:val="20"/>
          <w:szCs w:val="20"/>
        </w:rPr>
        <w:t>Иными словами,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глобулы имеют магнитный фазовый переход.</w:t>
      </w:r>
    </w:p>
    <w:p w14:paraId="689EDE4A" w14:textId="73AAD1AA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Зная точку фазового перехода клубок </w:t>
      </w:r>
      <w:r w:rsidR="00A24879">
        <w:rPr>
          <w:rFonts w:ascii="Times New Roman" w:eastAsia="Times New Roman" w:hAnsi="Times New Roman" w:cs="Times New Roman"/>
          <w:sz w:val="20"/>
          <w:szCs w:val="20"/>
          <w:lang w:val="ru-RU"/>
        </w:rPr>
        <w:t>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глобула, большой интерес представляет определение точки магнитного перехода, и их сравнение. Это и является целью данного исследования</w:t>
      </w:r>
    </w:p>
    <w:p w14:paraId="31C2AB8E" w14:textId="58C92EC8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На данный момент написан программный комплекс для генерации конформаций и расчета модели Изинга </w:t>
      </w:r>
      <w:r w:rsidR="00331B30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методами Монте-Карло </w:t>
      </w:r>
      <w:r>
        <w:rPr>
          <w:rFonts w:ascii="Times New Roman" w:eastAsia="Times New Roman" w:hAnsi="Times New Roman" w:cs="Times New Roman"/>
          <w:sz w:val="20"/>
          <w:szCs w:val="20"/>
        </w:rPr>
        <w:t>на суперкомпьютерном кластере ВШЭ</w:t>
      </w:r>
      <w:r w:rsidR="002773C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, код доступен на </w:t>
      </w:r>
      <w:r w:rsidR="001D3B66">
        <w:rPr>
          <w:rFonts w:ascii="Times New Roman" w:eastAsia="Times New Roman" w:hAnsi="Times New Roman" w:cs="Times New Roman"/>
          <w:sz w:val="20"/>
          <w:szCs w:val="20"/>
          <w:lang w:val="en-US"/>
        </w:rPr>
        <w:t>GitHub</w:t>
      </w:r>
      <w:r w:rsidR="00400E0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400E01" w:rsidRPr="00400E01">
        <w:rPr>
          <w:rFonts w:ascii="Times New Roman" w:eastAsia="Times New Roman" w:hAnsi="Times New Roman" w:cs="Times New Roman"/>
          <w:sz w:val="20"/>
          <w:szCs w:val="20"/>
          <w:lang w:val="ru-RU"/>
        </w:rPr>
        <w:t>[2]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5564A1">
        <w:rPr>
          <w:rFonts w:ascii="Times New Roman" w:eastAsia="Times New Roman" w:hAnsi="Times New Roman" w:cs="Times New Roman"/>
          <w:sz w:val="20"/>
          <w:szCs w:val="20"/>
          <w:lang w:val="ru-RU"/>
        </w:rPr>
        <w:t>П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олучены результаты </w:t>
      </w:r>
      <w:r>
        <w:rPr>
          <w:rFonts w:ascii="Times New Roman" w:eastAsia="Times New Roman" w:hAnsi="Times New Roman" w:cs="Times New Roman"/>
          <w:sz w:val="20"/>
          <w:szCs w:val="20"/>
        </w:rPr>
        <w:t>для конформаций соответствующих низким температурам. Подробнее об этом в следующих разделах</w:t>
      </w:r>
    </w:p>
    <w:p w14:paraId="08AF9296" w14:textId="77777777" w:rsidR="00A24879" w:rsidRDefault="00A24879" w:rsidP="00A24879">
      <w:pPr>
        <w:spacing w:before="2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1FAB50" w14:textId="7B3A5A85" w:rsidR="00537532" w:rsidRDefault="00D220FA" w:rsidP="00A24879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Реализация модели</w:t>
      </w:r>
    </w:p>
    <w:p w14:paraId="5EFC0243" w14:textId="77777777" w:rsidR="00537532" w:rsidRPr="00A24879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 данной модели мы рассматриваем наборы конформаций равной длины, полученные при одинаковой температуре по алгоритму SAW. На каждой из конформаций вычисляется модель Изинга, полученные энергия и намагниченности затем усредняются по конформациям.</w:t>
      </w:r>
    </w:p>
    <w:p w14:paraId="04EFBB41" w14:textId="77777777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Гамильтониан модели Изинга задаётся следующей формулой.</w:t>
      </w:r>
    </w:p>
    <w:p w14:paraId="7BEF6A33" w14:textId="5A20E87A" w:rsidR="00537532" w:rsidRDefault="00A01B42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H</m:t>
          </m:r>
          <m:r>
            <w:rPr>
              <w:rFonts w:ascii="Cambria Math" w:eastAsia="Times New Roman" w:hAnsi="Cambria Math" w:cs="Times New Roman"/>
              <w:sz w:val="20"/>
              <w:szCs w:val="20"/>
            </w:rPr>
            <m:t> = -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J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naryPr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i,j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e>
              </m:d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e>
          </m:nary>
        </m:oMath>
      </m:oMathPara>
    </w:p>
    <w:p w14:paraId="2ACA3292" w14:textId="64E5B097" w:rsidR="00537532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z w:val="16"/>
          <w:szCs w:val="16"/>
        </w:rPr>
        <w:t>где (i, j) - пары соседних</w:t>
      </w:r>
      <w:r w:rsidR="00331B30">
        <w:rPr>
          <w:rFonts w:ascii="Times New Roman" w:eastAsia="Times New Roman" w:hAnsi="Times New Roman" w:cs="Times New Roman"/>
          <w:i/>
          <w:sz w:val="16"/>
          <w:szCs w:val="16"/>
          <w:lang w:val="ru-RU"/>
        </w:rPr>
        <w:t xml:space="preserve"> узлов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, J - коэффициент взаимодействия</w:t>
      </w:r>
    </w:p>
    <w:p w14:paraId="2A02D140" w14:textId="77777777" w:rsidR="00537532" w:rsidRDefault="00537532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49223F4B" w14:textId="203A8BA5" w:rsidR="00537532" w:rsidRDefault="00331B30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Статистическая сумма</w:t>
      </w:r>
      <w:r w:rsidR="00D220FA">
        <w:rPr>
          <w:rFonts w:ascii="Times New Roman" w:eastAsia="Times New Roman" w:hAnsi="Times New Roman" w:cs="Times New Roman"/>
          <w:sz w:val="20"/>
          <w:szCs w:val="20"/>
        </w:rPr>
        <w:t xml:space="preserve"> для каждой конформации вычисляется по всем возможным наборам значений спинов.</w:t>
      </w:r>
    </w:p>
    <w:p w14:paraId="41E2FF2E" w14:textId="39497663" w:rsidR="00537532" w:rsidRDefault="00AF1727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r>
            <w:rPr>
              <w:rFonts w:ascii="Times New Roman" w:eastAsia="Times New Roman" w:hAnsi="Times New Roman" w:cs="Times New Roman"/>
              <w:sz w:val="20"/>
              <w:szCs w:val="20"/>
            </w:rPr>
            <m:t xml:space="preserve">Z = 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{σ}</m:t>
              </m:r>
            </m:sub>
            <m:sup/>
            <m:e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0"/>
                      <w:szCs w:val="20"/>
                    </w:rPr>
                    <m:t>H(σ)</m:t>
                  </m:r>
                  <m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m:t>β</m:t>
                  </m:r>
                </m:sup>
              </m:sSup>
            </m:e>
          </m:nary>
          <m:r>
            <w:rPr>
              <w:rFonts w:ascii="Times New Roman" w:eastAsia="Times New Roman" w:hAnsi="Times New Roman" w:cs="Times New Roman"/>
              <w:sz w:val="20"/>
              <w:szCs w:val="20"/>
            </w:rPr>
            <m:t>, β</m:t>
          </m:r>
          <m:r>
            <m:rPr>
              <m:sty m:val="bi"/>
            </m:rPr>
            <w:rPr>
              <w:rFonts w:ascii="Times New Roman" w:eastAsia="Times New Roman" w:hAnsi="Times New Roman" w:cs="Times New Roman"/>
              <w:sz w:val="20"/>
              <w:szCs w:val="20"/>
            </w:rPr>
            <m:t xml:space="preserve"> = </m:t>
          </m:r>
          <m:f>
            <m:fPr>
              <m:ctrlPr>
                <w:rPr>
                  <w:rFonts w:ascii="Times New Roman" w:eastAsia="Times New Roman" w:hAnsi="Times New Roman" w:cs="Times New Roman"/>
                  <w:sz w:val="16"/>
                  <w:szCs w:val="16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16"/>
                  <w:szCs w:val="16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16"/>
                  <w:szCs w:val="16"/>
                </w:rPr>
                <m:t>kT</m:t>
              </m:r>
            </m:den>
          </m:f>
        </m:oMath>
      </m:oMathPara>
    </w:p>
    <w:p w14:paraId="3C6466DF" w14:textId="77777777" w:rsidR="00537532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z w:val="16"/>
          <w:szCs w:val="16"/>
        </w:rPr>
        <w:t>T - температура, k - постоянная Больцмана</w:t>
      </w:r>
    </w:p>
    <w:p w14:paraId="72CB46B6" w14:textId="77777777" w:rsidR="00537532" w:rsidRDefault="00537532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7B649BD1" w14:textId="31CDA954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Расчет модели Изинга происходит по алгоритму Вольфа [</w:t>
      </w:r>
      <w:r w:rsidR="00C205DD">
        <w:rPr>
          <w:rFonts w:ascii="Times New Roman" w:eastAsia="Times New Roman" w:hAnsi="Times New Roman" w:cs="Times New Roman"/>
          <w:sz w:val="20"/>
          <w:szCs w:val="20"/>
          <w:lang w:val="ru-RU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] с кластерным апдейтом. Мы случайным образом инициализируем спины на конформации, делаем некоторое число шагов для отжига модели. После отжига на каждом шаге замеряем энергию и намагниченность. Усреднив полученные значения по шагам, получаем средние значения намагниченности </w:t>
      </w:r>
      <m:oMath>
        <m:r>
          <w:rPr>
            <w:rFonts w:ascii="Times New Roman" w:eastAsia="Times New Roman" w:hAnsi="Times New Roman" w:cs="Times New Roman"/>
            <w:sz w:val="20"/>
            <w:szCs w:val="20"/>
          </w:rPr>
          <m:t>⟨m⟩</m:t>
        </m:r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 и энергии </w:t>
      </w:r>
      <m:oMath>
        <m:r>
          <w:rPr>
            <w:rFonts w:ascii="Times New Roman" w:eastAsia="Times New Roman" w:hAnsi="Times New Roman" w:cs="Times New Roman"/>
            <w:sz w:val="20"/>
            <w:szCs w:val="20"/>
          </w:rPr>
          <m:t>⟨E⟩</m:t>
        </m:r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 для конформации.</w:t>
      </w:r>
    </w:p>
    <w:p w14:paraId="2D233EC5" w14:textId="4DE4A92D" w:rsidR="00537532" w:rsidRDefault="00D220FA" w:rsidP="00D220FA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Далее, имея намагниченность и энергию каждой из конформаций, мы берём среднее арифметическое этих значений и получаем среднюю намагниченность и энергию для данного набора конформаций. </w:t>
      </w:r>
    </w:p>
    <w:p w14:paraId="1A2693BB" w14:textId="77777777" w:rsidR="00D220FA" w:rsidRDefault="00D220FA" w:rsidP="00D220FA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C2BD3DF" w14:textId="77777777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Поиск точки перехода</w:t>
      </w:r>
    </w:p>
    <w:p w14:paraId="786BF6B6" w14:textId="77777777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Для исследования были сгенерированы по 1000 конформаций длины 250, 500, 1000, 2000.</w:t>
      </w:r>
    </w:p>
    <w:p w14:paraId="60E4A91D" w14:textId="136324A1" w:rsidR="00537532" w:rsidRPr="004D63EB" w:rsidRDefault="00D220FA" w:rsidP="00927B28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При рассмотрении конформаций полученных при генерации </w:t>
      </w:r>
      <w:r w:rsidR="002B45DE">
        <w:rPr>
          <w:rFonts w:ascii="Times New Roman" w:eastAsia="Times New Roman" w:hAnsi="Times New Roman" w:cs="Times New Roman"/>
          <w:sz w:val="20"/>
          <w:szCs w:val="20"/>
        </w:rPr>
        <w:t>оказалось,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что около 35% из них не намагничиваются при низких температурах. Из-за большой разницы в намагниченности от конформации к конформации при вычислении средней намагниченности и кумулянта Биндера [</w:t>
      </w:r>
      <w:r w:rsidR="00C205DD">
        <w:rPr>
          <w:rFonts w:ascii="Times New Roman" w:eastAsia="Times New Roman" w:hAnsi="Times New Roman" w:cs="Times New Roman"/>
          <w:sz w:val="20"/>
          <w:szCs w:val="20"/>
          <w:lang w:val="ru-RU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]</w:t>
      </w:r>
      <w:r w:rsidR="008D5B8E">
        <w:rPr>
          <w:rFonts w:ascii="Times New Roman" w:eastAsia="Times New Roman" w:hAnsi="Times New Roman" w:cs="Times New Roman"/>
          <w:sz w:val="20"/>
          <w:szCs w:val="20"/>
        </w:rPr>
        <w:br/>
      </w:r>
      <m:oMathPara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Times New Roman" w:eastAsia="Times New Roman" w:hAnsi="Times New Roman" w:cs="Times New Roman"/>
              <w:sz w:val="20"/>
              <w:szCs w:val="20"/>
              <w:lang w:val="ru-RU"/>
            </w:rPr>
            <w:br/>
          </m:r>
        </m:oMath>
      </m:oMathPara>
      <w:r>
        <w:rPr>
          <w:rFonts w:ascii="Times New Roman" w:eastAsia="Times New Roman" w:hAnsi="Times New Roman" w:cs="Times New Roman"/>
          <w:sz w:val="20"/>
          <w:szCs w:val="20"/>
        </w:rPr>
        <w:t xml:space="preserve">мы получаем большие погрешности, что не позволяет определить точку перехода. Следующей задачей стало определить способ выделения намагничивающихся конформаций из сгенерированного набора. </w:t>
      </w:r>
    </w:p>
    <w:p w14:paraId="3F38A742" w14:textId="77777777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Первым рассмотренным способом разделения конформаций на магнитные и немагнитные стало вычисление их радиуса инерции. Из предположения что магнитные конформации более плотные и имеют меньший радиус инерции.</w:t>
      </w:r>
    </w:p>
    <w:p w14:paraId="7B757420" w14:textId="77777777" w:rsidR="00537532" w:rsidRDefault="00537532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3F4F811" w14:textId="1DEA789E" w:rsidR="00537532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b/>
          <w:color w:val="202122"/>
          <w:sz w:val="20"/>
          <w:szCs w:val="20"/>
        </w:rPr>
      </w:pPr>
      <m:oMathPara>
        <m:oMath>
          <m:r>
            <m:rPr>
              <m:sty m:val="bi"/>
            </m:rPr>
            <w:rPr>
              <w:rFonts w:ascii="Times New Roman" w:eastAsia="Times New Roman" w:hAnsi="Times New Roman" w:cs="Times New Roman"/>
              <w:color w:val="202122"/>
              <w:sz w:val="20"/>
              <w:szCs w:val="20"/>
            </w:rPr>
            <m:t>R=</m:t>
          </m:r>
          <m:rad>
            <m:radPr>
              <m:degHide m:val="1"/>
              <m:ctrlPr>
                <w:rPr>
                  <w:rFonts w:ascii="Times New Roman" w:eastAsia="Times New Roman" w:hAnsi="Times New Roman" w:cs="Times New Roman"/>
                  <w:b/>
                  <w:color w:val="202122"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Times New Roman" w:eastAsia="Times New Roman" w:hAnsi="Times New Roman" w:cs="Times New Roman"/>
                      <w:b/>
                      <w:color w:val="202122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Times New Roman" w:eastAsia="Times New Roman" w:hAnsi="Times New Roman" w:cs="Times New Roman"/>
                      <w:color w:val="202122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Times New Roman" w:eastAsia="Times New Roman" w:hAnsi="Times New Roman" w:cs="Times New Roman"/>
                      <w:color w:val="202122"/>
                      <w:sz w:val="20"/>
                      <w:szCs w:val="20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Times New Roman" w:eastAsia="Times New Roman" w:hAnsi="Times New Roman" w:cs="Times New Roman"/>
                      <w:b/>
                      <w:color w:val="202122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Times New Roman" w:eastAsia="Times New Roman" w:hAnsi="Times New Roman" w:cs="Times New Roman"/>
                      <w:color w:val="202122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Times New Roman" w:eastAsia="Times New Roman" w:hAnsi="Times New Roman" w:cs="Times New Roman"/>
                      <w:color w:val="202122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color w:val="202122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color w:val="202122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202122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202122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202122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47DD9B89" w14:textId="77777777" w:rsidR="00537532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color w:val="202122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202122"/>
          <w:sz w:val="16"/>
          <w:szCs w:val="16"/>
        </w:rPr>
        <w:t xml:space="preserve">где </w:t>
      </w:r>
      <m:oMath>
        <m:sSub>
          <m:sSubPr>
            <m:ctrlPr>
              <w:rPr>
                <w:rFonts w:ascii="Times New Roman" w:eastAsia="Times New Roman" w:hAnsi="Times New Roman" w:cs="Times New Roman"/>
                <w:i/>
                <w:color w:val="202122"/>
                <w:sz w:val="16"/>
                <w:szCs w:val="16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202122"/>
                <w:sz w:val="16"/>
                <w:szCs w:val="16"/>
              </w:rPr>
              <m:t>r</m:t>
            </m:r>
          </m:e>
          <m:sub>
            <m:r>
              <w:rPr>
                <w:rFonts w:ascii="Times New Roman" w:eastAsia="Times New Roman" w:hAnsi="Times New Roman" w:cs="Times New Roman"/>
                <w:color w:val="202122"/>
                <w:sz w:val="16"/>
                <w:szCs w:val="16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i/>
          <w:color w:val="202122"/>
          <w:sz w:val="16"/>
          <w:szCs w:val="16"/>
        </w:rPr>
        <w:t xml:space="preserve"> - расстояние от i-й вершины, до центра масс конформации</w:t>
      </w:r>
    </w:p>
    <w:p w14:paraId="1BA4BE2C" w14:textId="77777777" w:rsidR="00537532" w:rsidRDefault="00537532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color w:val="202122"/>
          <w:sz w:val="16"/>
          <w:szCs w:val="16"/>
        </w:rPr>
      </w:pPr>
    </w:p>
    <w:p w14:paraId="1A206AF0" w14:textId="393253A8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Эксперименты с этим способом показали, что таким образом можно выделить наборы конформаций разных длин</w:t>
      </w:r>
      <w:r w:rsidR="009A16A0" w:rsidRPr="009A16A0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так</w:t>
      </w:r>
      <w:r w:rsidR="009A16A0" w:rsidRPr="009A16A0">
        <w:rPr>
          <w:rFonts w:ascii="Times New Roman" w:eastAsia="Times New Roman" w:hAnsi="Times New Roman" w:cs="Times New Roman"/>
          <w:sz w:val="20"/>
          <w:szCs w:val="20"/>
          <w:lang w:val="ru-RU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что для них будет возможно найти точку перехода. Несмотря на это данный вариант разделения оказался неподходящим по нескольким причинам: радиус инерции нелинейно зависит от длины конформаций, некоторым значениям радиуса инерции соответствуют конформации с совершенно разными значениями намагниченности. Последняя причина особенно важна, так как она означает, что при расчётах мы либо будем оставлять </w:t>
      </w:r>
      <w:r w:rsidR="00F00455">
        <w:rPr>
          <w:rFonts w:ascii="Times New Roman" w:eastAsia="Times New Roman" w:hAnsi="Times New Roman" w:cs="Times New Roman"/>
          <w:sz w:val="20"/>
          <w:szCs w:val="20"/>
        </w:rPr>
        <w:t>не намагничивающиеся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конформации либо отбрасывать намагничивающиеся.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56D5AE5E" wp14:editId="5E8F1FD8">
            <wp:extent cx="2686050" cy="1603583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t="1044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03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B34191" w14:textId="77777777" w:rsidR="00537532" w:rsidRDefault="00D220FA" w:rsidP="00A01B42">
      <w:pPr>
        <w:spacing w:before="20" w:line="240" w:lineRule="auto"/>
        <w:ind w:firstLine="4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16"/>
          <w:szCs w:val="16"/>
        </w:rPr>
        <w:t>Рисунок 2. График кумулянтов полученный при приблизительном разделении конформаций по радиусу инерции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33C57730" wp14:editId="397A3E7C">
            <wp:extent cx="2686050" cy="18034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74359" w14:textId="77777777" w:rsidR="00537532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z w:val="16"/>
          <w:szCs w:val="16"/>
        </w:rPr>
        <w:t>Рисунок 3. график значений квадрата намагниченности и радиуса инерции для конформаций длины 1000</w:t>
      </w:r>
    </w:p>
    <w:p w14:paraId="260F87D9" w14:textId="77777777" w:rsidR="00537532" w:rsidRDefault="00537532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CDB537E" w14:textId="77777777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Кластеризованные конформации</w:t>
      </w:r>
    </w:p>
    <w:p w14:paraId="451EE370" w14:textId="5AC026FA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При анализе результатов разделения конформаций по радиусу инерции был построен </w:t>
      </w:r>
      <w:r>
        <w:rPr>
          <w:rFonts w:ascii="Times New Roman" w:eastAsia="Times New Roman" w:hAnsi="Times New Roman" w:cs="Times New Roman"/>
          <w:sz w:val="20"/>
          <w:szCs w:val="20"/>
        </w:rPr>
        <w:t>искусственный пример немагнитной конформации с малым радиусом инерции (Рис.3</w:t>
      </w:r>
      <w:r w:rsidR="004E2E9D"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4D081149" w14:textId="77777777" w:rsidR="00537532" w:rsidRDefault="00D220FA" w:rsidP="00A01B42">
      <w:pPr>
        <w:spacing w:before="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21BBF0EB" wp14:editId="421620FE">
            <wp:extent cx="2686050" cy="17780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BEFF1" w14:textId="77777777" w:rsidR="00537532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z w:val="16"/>
          <w:szCs w:val="16"/>
        </w:rPr>
        <w:t>Рисунок 4. Пример конформации с двумя кластерами</w:t>
      </w:r>
    </w:p>
    <w:p w14:paraId="1880C2E6" w14:textId="18A42196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Она состоит из двух плотных двумерных магнитных доменов (далее кластеры), соединённых одномерной цепочкой (далее мост). Из-за разделяющей цепочки данные кластеры намагничиваются почти независимо друг от друга, из-за чего значения спинов в них с большой вероятностью окажутся противоположными. </w:t>
      </w:r>
      <w:r w:rsidR="006254C2">
        <w:rPr>
          <w:rFonts w:ascii="Times New Roman" w:eastAsia="Times New Roman" w:hAnsi="Times New Roman" w:cs="Times New Roman"/>
          <w:sz w:val="20"/>
          <w:szCs w:val="20"/>
        </w:rPr>
        <w:t>Естественно,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при увеличении числа кластеров или длин мостов намагниченность конформации становится ещё меньше.</w:t>
      </w:r>
    </w:p>
    <w:p w14:paraId="1EC1BCEF" w14:textId="77777777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Учитывая полученный пример, для более полного анализа конформаций на наличие кластеров была написана программа для определения кластеров и мостов.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65FC7DE6" wp14:editId="2276C14A">
            <wp:extent cx="2454275" cy="162748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162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79EC54" w14:textId="77777777" w:rsidR="00537532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z w:val="16"/>
          <w:szCs w:val="16"/>
        </w:rPr>
        <w:t>Рисунок 5. Пример выделения кластеров и мостов на конформации</w:t>
      </w:r>
    </w:p>
    <w:p w14:paraId="256BFB47" w14:textId="77777777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Данный алгоритм позволяет нам определить количество и размеры мостов и кластеров. Так же он не учитывает мосты, которые соединяют один и тот же кластер, так как они не имеют структурной значимости.</w:t>
      </w:r>
    </w:p>
    <w:p w14:paraId="3A93A571" w14:textId="0FF4CBBD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Анализ кластеров и мостов в конформациях происходит на 10000 конформациях длины 1000. Как и ожидалось, число кластеров, мостов и их размеры напрямую влияют на значение намагниченности. Особенно хорошо это видно при рассмотрении размера наибольшего кластера в конформации (рис. 6). На данный момент разделение конформаций, основанное на этом параметре</w:t>
      </w:r>
      <w:r w:rsidR="00404AC7">
        <w:rPr>
          <w:rFonts w:ascii="Times New Roman" w:eastAsia="Times New Roman" w:hAnsi="Times New Roman" w:cs="Times New Roman"/>
          <w:sz w:val="20"/>
          <w:szCs w:val="20"/>
          <w:lang w:val="ru-RU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выглядит наиболее перспективным, так как в данном способе не наблюдается большого разброса значений </w:t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намагниченности при равных размерах кластера, и намагниченность конформаций зависит от размера кластера почти линейно.</w:t>
      </w:r>
    </w:p>
    <w:p w14:paraId="4D3EA0F0" w14:textId="77777777" w:rsidR="00537532" w:rsidRDefault="00D220FA" w:rsidP="00A01B42">
      <w:pPr>
        <w:spacing w:before="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40E1FA77" wp14:editId="3852851E">
            <wp:extent cx="2686050" cy="18034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223E28" w14:textId="15B755E8" w:rsidR="00A24879" w:rsidRDefault="00D220FA" w:rsidP="00A24879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z w:val="16"/>
          <w:szCs w:val="16"/>
        </w:rPr>
        <w:t>Рисунок 6. график значений квадрата намагниченности и размера наибольшего кластера для конформаций длины 1000</w:t>
      </w:r>
    </w:p>
    <w:p w14:paraId="2D559DEE" w14:textId="6FDA8E86" w:rsidR="00A24879" w:rsidRDefault="00A24879" w:rsidP="00175587">
      <w:pPr>
        <w:spacing w:before="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5BBC5D7" w14:textId="77777777" w:rsidR="00537532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Список литературы</w:t>
      </w:r>
    </w:p>
    <w:p w14:paraId="4FA193CF" w14:textId="1618436E" w:rsidR="00537532" w:rsidRDefault="00D220FA" w:rsidP="00A01B42">
      <w:pPr>
        <w:numPr>
          <w:ilvl w:val="0"/>
          <w:numId w:val="1"/>
        </w:numPr>
        <w:spacing w:before="20" w:line="240" w:lineRule="auto"/>
        <w:ind w:left="0"/>
        <w:jc w:val="both"/>
        <w:rPr>
          <w:color w:val="202122"/>
          <w:sz w:val="19"/>
          <w:szCs w:val="19"/>
          <w:highlight w:val="white"/>
          <w:lang w:val="en-US"/>
        </w:rPr>
      </w:pPr>
      <w:r w:rsidRPr="008D3134">
        <w:rPr>
          <w:color w:val="202122"/>
          <w:sz w:val="19"/>
          <w:szCs w:val="19"/>
          <w:highlight w:val="white"/>
          <w:lang w:val="en-US"/>
        </w:rPr>
        <w:t>Ernst Ising, Contribution to the Theory of Ferromagnetism, 1925</w:t>
      </w:r>
    </w:p>
    <w:p w14:paraId="3BDF8FCE" w14:textId="6ADCF4D9" w:rsidR="00400E01" w:rsidRPr="00400E01" w:rsidRDefault="00400E01" w:rsidP="00A01B42">
      <w:pPr>
        <w:numPr>
          <w:ilvl w:val="0"/>
          <w:numId w:val="1"/>
        </w:numPr>
        <w:spacing w:before="20" w:line="240" w:lineRule="auto"/>
        <w:ind w:left="0"/>
        <w:jc w:val="both"/>
        <w:rPr>
          <w:color w:val="202122"/>
          <w:sz w:val="19"/>
          <w:szCs w:val="19"/>
          <w:highlight w:val="white"/>
          <w:lang w:val="ru-RU"/>
        </w:rPr>
      </w:pPr>
      <w:r>
        <w:rPr>
          <w:color w:val="202122"/>
          <w:sz w:val="19"/>
          <w:szCs w:val="19"/>
          <w:lang w:val="en-US"/>
        </w:rPr>
        <w:t>Git</w:t>
      </w:r>
      <w:r w:rsidR="007D168C">
        <w:rPr>
          <w:color w:val="202122"/>
          <w:sz w:val="19"/>
          <w:szCs w:val="19"/>
          <w:lang w:val="en-US"/>
        </w:rPr>
        <w:t>hub</w:t>
      </w:r>
      <w:r w:rsidRPr="00400E01">
        <w:rPr>
          <w:color w:val="202122"/>
          <w:sz w:val="19"/>
          <w:szCs w:val="19"/>
          <w:lang w:val="ru-RU"/>
        </w:rPr>
        <w:t xml:space="preserve"> </w:t>
      </w:r>
      <w:r>
        <w:rPr>
          <w:color w:val="202122"/>
          <w:sz w:val="19"/>
          <w:szCs w:val="19"/>
          <w:lang w:val="ru-RU"/>
        </w:rPr>
        <w:t xml:space="preserve">репозиторий проекта </w:t>
      </w:r>
      <w:r w:rsidRPr="00400E01">
        <w:rPr>
          <w:color w:val="202122"/>
          <w:sz w:val="19"/>
          <w:szCs w:val="19"/>
          <w:lang w:val="en-US"/>
        </w:rPr>
        <w:t>https</w:t>
      </w:r>
      <w:r w:rsidRPr="00400E01">
        <w:rPr>
          <w:color w:val="202122"/>
          <w:sz w:val="19"/>
          <w:szCs w:val="19"/>
          <w:lang w:val="ru-RU"/>
        </w:rPr>
        <w:t>://</w:t>
      </w:r>
      <w:r w:rsidRPr="00400E01">
        <w:rPr>
          <w:color w:val="202122"/>
          <w:sz w:val="19"/>
          <w:szCs w:val="19"/>
          <w:lang w:val="en-US"/>
        </w:rPr>
        <w:t>github</w:t>
      </w:r>
      <w:r w:rsidRPr="00400E01">
        <w:rPr>
          <w:color w:val="202122"/>
          <w:sz w:val="19"/>
          <w:szCs w:val="19"/>
          <w:lang w:val="ru-RU"/>
        </w:rPr>
        <w:t>.</w:t>
      </w:r>
      <w:r w:rsidRPr="00400E01">
        <w:rPr>
          <w:color w:val="202122"/>
          <w:sz w:val="19"/>
          <w:szCs w:val="19"/>
          <w:lang w:val="en-US"/>
        </w:rPr>
        <w:t>com</w:t>
      </w:r>
      <w:r w:rsidRPr="00400E01">
        <w:rPr>
          <w:color w:val="202122"/>
          <w:sz w:val="19"/>
          <w:szCs w:val="19"/>
          <w:lang w:val="ru-RU"/>
        </w:rPr>
        <w:t>/</w:t>
      </w:r>
      <w:r w:rsidRPr="00400E01">
        <w:rPr>
          <w:color w:val="202122"/>
          <w:sz w:val="19"/>
          <w:szCs w:val="19"/>
          <w:lang w:val="en-US"/>
        </w:rPr>
        <w:t>MoskalenkoRomanBorisovich</w:t>
      </w:r>
      <w:r w:rsidRPr="00400E01">
        <w:rPr>
          <w:color w:val="202122"/>
          <w:sz w:val="19"/>
          <w:szCs w:val="19"/>
          <w:lang w:val="ru-RU"/>
        </w:rPr>
        <w:t>/</w:t>
      </w:r>
      <w:r w:rsidRPr="00400E01">
        <w:rPr>
          <w:color w:val="202122"/>
          <w:sz w:val="19"/>
          <w:szCs w:val="19"/>
          <w:lang w:val="en-US"/>
        </w:rPr>
        <w:t>Ising</w:t>
      </w:r>
      <w:r w:rsidRPr="00400E01">
        <w:rPr>
          <w:color w:val="202122"/>
          <w:sz w:val="19"/>
          <w:szCs w:val="19"/>
          <w:lang w:val="ru-RU"/>
        </w:rPr>
        <w:t>-</w:t>
      </w:r>
      <w:r w:rsidRPr="00400E01">
        <w:rPr>
          <w:color w:val="202122"/>
          <w:sz w:val="19"/>
          <w:szCs w:val="19"/>
          <w:lang w:val="en-US"/>
        </w:rPr>
        <w:t>on</w:t>
      </w:r>
      <w:r w:rsidRPr="00400E01">
        <w:rPr>
          <w:color w:val="202122"/>
          <w:sz w:val="19"/>
          <w:szCs w:val="19"/>
          <w:lang w:val="ru-RU"/>
        </w:rPr>
        <w:t>-</w:t>
      </w:r>
      <w:r w:rsidRPr="00400E01">
        <w:rPr>
          <w:color w:val="202122"/>
          <w:sz w:val="19"/>
          <w:szCs w:val="19"/>
          <w:lang w:val="en-US"/>
        </w:rPr>
        <w:t>random</w:t>
      </w:r>
      <w:r w:rsidRPr="00400E01">
        <w:rPr>
          <w:color w:val="202122"/>
          <w:sz w:val="19"/>
          <w:szCs w:val="19"/>
          <w:lang w:val="ru-RU"/>
        </w:rPr>
        <w:t>-</w:t>
      </w:r>
      <w:r w:rsidRPr="00400E01">
        <w:rPr>
          <w:color w:val="202122"/>
          <w:sz w:val="19"/>
          <w:szCs w:val="19"/>
          <w:lang w:val="en-US"/>
        </w:rPr>
        <w:t>conformation</w:t>
      </w:r>
    </w:p>
    <w:p w14:paraId="04B0552D" w14:textId="77777777" w:rsidR="00537532" w:rsidRDefault="00D220FA" w:rsidP="00A01B42">
      <w:pPr>
        <w:numPr>
          <w:ilvl w:val="0"/>
          <w:numId w:val="1"/>
        </w:numPr>
        <w:spacing w:before="20" w:line="240" w:lineRule="auto"/>
        <w:ind w:left="0"/>
        <w:jc w:val="both"/>
        <w:rPr>
          <w:color w:val="202122"/>
          <w:sz w:val="19"/>
          <w:szCs w:val="19"/>
          <w:highlight w:val="white"/>
        </w:rPr>
      </w:pPr>
      <w:r w:rsidRPr="008D3134">
        <w:rPr>
          <w:color w:val="202122"/>
          <w:sz w:val="19"/>
          <w:szCs w:val="19"/>
          <w:highlight w:val="white"/>
          <w:lang w:val="en-US"/>
        </w:rPr>
        <w:t xml:space="preserve">U. Wolff, Collective Monte Carlo Updating for Spin Systems. </w:t>
      </w:r>
      <w:r>
        <w:rPr>
          <w:color w:val="202122"/>
          <w:sz w:val="19"/>
          <w:szCs w:val="19"/>
          <w:highlight w:val="white"/>
        </w:rPr>
        <w:t>Physical Review Letters. 62 (4): 361–364, 1989</w:t>
      </w:r>
    </w:p>
    <w:p w14:paraId="7BC0652D" w14:textId="77777777" w:rsidR="00537532" w:rsidRDefault="00D220FA" w:rsidP="00A01B42">
      <w:pPr>
        <w:numPr>
          <w:ilvl w:val="0"/>
          <w:numId w:val="1"/>
        </w:numPr>
        <w:spacing w:before="20" w:line="240" w:lineRule="auto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D313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K. Binder, Finite size scaling analysis of ising model block distribution functions.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Zeitschrift für Physik B: Condensed Matter. 43 (2): 119–140, </w:t>
      </w:r>
      <w:r>
        <w:rPr>
          <w:color w:val="202122"/>
          <w:sz w:val="19"/>
          <w:szCs w:val="19"/>
          <w:highlight w:val="white"/>
        </w:rPr>
        <w:t>1981</w:t>
      </w:r>
    </w:p>
    <w:sectPr w:rsidR="00537532" w:rsidSect="00A01B42">
      <w:pgSz w:w="11909" w:h="16834"/>
      <w:pgMar w:top="1440" w:right="1440" w:bottom="1440" w:left="1440" w:header="283" w:footer="1133" w:gutter="0"/>
      <w:pgNumType w:start="1"/>
      <w:cols w:num="2" w:space="56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C2658"/>
    <w:multiLevelType w:val="multilevel"/>
    <w:tmpl w:val="580092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7532"/>
    <w:rsid w:val="00175587"/>
    <w:rsid w:val="001A2241"/>
    <w:rsid w:val="001D3B66"/>
    <w:rsid w:val="002751B3"/>
    <w:rsid w:val="002773C2"/>
    <w:rsid w:val="002B45DE"/>
    <w:rsid w:val="00303D27"/>
    <w:rsid w:val="00327A11"/>
    <w:rsid w:val="00331B30"/>
    <w:rsid w:val="00400E01"/>
    <w:rsid w:val="00404AC7"/>
    <w:rsid w:val="004D63EB"/>
    <w:rsid w:val="004E2E9D"/>
    <w:rsid w:val="00537532"/>
    <w:rsid w:val="005564A1"/>
    <w:rsid w:val="005A0605"/>
    <w:rsid w:val="005B64EB"/>
    <w:rsid w:val="006041C3"/>
    <w:rsid w:val="006254C2"/>
    <w:rsid w:val="00656FD9"/>
    <w:rsid w:val="00766627"/>
    <w:rsid w:val="00777134"/>
    <w:rsid w:val="007969CF"/>
    <w:rsid w:val="007B0624"/>
    <w:rsid w:val="007D168C"/>
    <w:rsid w:val="008D3134"/>
    <w:rsid w:val="008D5B8E"/>
    <w:rsid w:val="00927B28"/>
    <w:rsid w:val="00981A01"/>
    <w:rsid w:val="009A16A0"/>
    <w:rsid w:val="009B1FF7"/>
    <w:rsid w:val="009E058B"/>
    <w:rsid w:val="00A01B42"/>
    <w:rsid w:val="00A24879"/>
    <w:rsid w:val="00AF1727"/>
    <w:rsid w:val="00B0148C"/>
    <w:rsid w:val="00B75311"/>
    <w:rsid w:val="00BE51C1"/>
    <w:rsid w:val="00C205DD"/>
    <w:rsid w:val="00D220FA"/>
    <w:rsid w:val="00D5292C"/>
    <w:rsid w:val="00D63516"/>
    <w:rsid w:val="00D727AF"/>
    <w:rsid w:val="00DB04EC"/>
    <w:rsid w:val="00DB1C2D"/>
    <w:rsid w:val="00DE1CF8"/>
    <w:rsid w:val="00E01F6B"/>
    <w:rsid w:val="00E714A3"/>
    <w:rsid w:val="00EF5A99"/>
    <w:rsid w:val="00F00455"/>
    <w:rsid w:val="00FB04C2"/>
    <w:rsid w:val="00F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E841A"/>
  <w15:docId w15:val="{1016C353-3892-448F-B634-8C7465D6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4D63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1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jLcDE7hOhiXr+HcX+Hh+vTvlMQ==">AMUW2mWTCoWTUSuW+t0SI+KP9yqaDwfttF4HTnNiGbwoTFH+74GsCOw/K2FiDmofbv0iy/Hjc0VaL6W1075OuSngR04z8Qgyrx/PfWnGH6HrJAw845ZiSTc=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Москаленко Роман Борисович</cp:lastModifiedBy>
  <cp:revision>33</cp:revision>
  <dcterms:created xsi:type="dcterms:W3CDTF">2022-03-01T16:14:00Z</dcterms:created>
  <dcterms:modified xsi:type="dcterms:W3CDTF">2022-03-06T14:07:00Z</dcterms:modified>
</cp:coreProperties>
</file>