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3C5F8" w14:textId="77777777" w:rsidR="00537532" w:rsidRDefault="00D220FA" w:rsidP="00A01B42">
      <w:pPr>
        <w:spacing w:before="2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СВОЙСТВА МАГНИТНЫХ МОДЕЛЕЙ НА АНСАМБЛЯХ КОНФОРМАЦИЙ</w:t>
      </w:r>
    </w:p>
    <w:p w14:paraId="631EB3BA" w14:textId="77777777" w:rsidR="00537532" w:rsidRDefault="00537532" w:rsidP="00A01B42">
      <w:pPr>
        <w:spacing w:before="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2BE1D17F" w14:textId="0E1440B5" w:rsidR="00537532" w:rsidRDefault="00D220FA" w:rsidP="00A01B42">
      <w:pPr>
        <w:spacing w:before="20" w:line="240" w:lineRule="auto"/>
        <w:jc w:val="center"/>
        <w:rPr>
          <w:rFonts w:ascii="Times New Roman" w:eastAsia="Times New Roman" w:hAnsi="Times New Roman" w:cs="Times New Roman"/>
          <w:b/>
          <w:i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Москаленко Р. Б.</w:t>
      </w:r>
    </w:p>
    <w:p w14:paraId="112EB055" w14:textId="77777777" w:rsidR="00537532" w:rsidRDefault="00D220FA" w:rsidP="00A01B42">
      <w:pPr>
        <w:spacing w:before="20" w:line="240" w:lineRule="auto"/>
        <w:jc w:val="center"/>
        <w:rPr>
          <w:rFonts w:ascii="Times New Roman" w:eastAsia="Times New Roman" w:hAnsi="Times New Roman" w:cs="Times New Roman"/>
          <w:b/>
          <w:i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Национальный исследовательский университет «Высшая школа экономики»</w:t>
      </w:r>
    </w:p>
    <w:p w14:paraId="472F7363" w14:textId="77777777" w:rsidR="00537532" w:rsidRDefault="00D220FA" w:rsidP="00A01B42">
      <w:pPr>
        <w:spacing w:before="20" w:line="240" w:lineRule="auto"/>
        <w:jc w:val="center"/>
        <w:rPr>
          <w:rFonts w:ascii="Times New Roman" w:eastAsia="Times New Roman" w:hAnsi="Times New Roman" w:cs="Times New Roman"/>
          <w:b/>
          <w:i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департамент прикладной математики</w:t>
      </w:r>
    </w:p>
    <w:p w14:paraId="026A73E3" w14:textId="77777777" w:rsidR="00537532" w:rsidRDefault="00D220FA" w:rsidP="00A01B42">
      <w:pPr>
        <w:spacing w:before="20" w:line="240" w:lineRule="auto"/>
        <w:jc w:val="center"/>
        <w:rPr>
          <w:rFonts w:ascii="Times New Roman" w:eastAsia="Times New Roman" w:hAnsi="Times New Roman" w:cs="Times New Roman"/>
          <w:b/>
          <w:i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МИЭМ НИУ ВШЭ</w:t>
      </w:r>
    </w:p>
    <w:p w14:paraId="48EC738D" w14:textId="77777777" w:rsidR="00537532" w:rsidRDefault="00537532" w:rsidP="00A01B42">
      <w:pPr>
        <w:spacing w:before="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3219C8E2" w14:textId="77777777" w:rsidR="00537532" w:rsidRDefault="00D220FA" w:rsidP="00A01B42">
      <w:pPr>
        <w:spacing w:before="20" w:line="240" w:lineRule="auto"/>
        <w:ind w:firstLine="425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Аннотация</w:t>
      </w:r>
    </w:p>
    <w:p w14:paraId="223C5CB9" w14:textId="2AEFABB5" w:rsidR="00537532" w:rsidRPr="00A24879" w:rsidRDefault="00D220FA" w:rsidP="00A01B42">
      <w:pPr>
        <w:spacing w:before="2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В данной работе рассматривается модель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Изинга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на решёточных моделях макромолекул на квадратной двумерной решётке</w:t>
      </w:r>
      <w:r w:rsidR="00331B30">
        <w:rPr>
          <w:rFonts w:ascii="Times New Roman" w:eastAsia="Times New Roman" w:hAnsi="Times New Roman" w:cs="Times New Roman"/>
          <w:sz w:val="20"/>
          <w:szCs w:val="20"/>
          <w:lang w:val="ru-RU"/>
        </w:rPr>
        <w:t>, представленных в виде случайных блужданий без самопересечений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 w:rsidR="00A24879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Цель исследования – определить точку магнитного перехода в глобулярных конформациях и сравнить её с точкой геометрического перехода клубок – глобула. В статье </w:t>
      </w:r>
      <w:r w:rsidR="00331B30">
        <w:rPr>
          <w:rFonts w:ascii="Times New Roman" w:eastAsia="Times New Roman" w:hAnsi="Times New Roman" w:cs="Times New Roman"/>
          <w:sz w:val="20"/>
          <w:szCs w:val="20"/>
          <w:lang w:val="ru-RU"/>
        </w:rPr>
        <w:t>представлены</w:t>
      </w:r>
      <w:r w:rsidR="00A24879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текущие результаты и будущие планы развития проекта.</w:t>
      </w:r>
    </w:p>
    <w:p w14:paraId="00BDD7CA" w14:textId="77777777" w:rsidR="00537532" w:rsidRDefault="00537532" w:rsidP="00A01B42">
      <w:pPr>
        <w:spacing w:before="2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0E0C04CD" w14:textId="77777777" w:rsidR="00537532" w:rsidRDefault="00D220FA" w:rsidP="00A01B42">
      <w:pPr>
        <w:spacing w:before="20" w:line="240" w:lineRule="auto"/>
        <w:ind w:firstLine="425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Введение</w:t>
      </w:r>
    </w:p>
    <w:p w14:paraId="37816674" w14:textId="42B0DB35" w:rsidR="007E2E11" w:rsidRPr="007E2E11" w:rsidRDefault="00E90D81" w:rsidP="00A01B42">
      <w:pPr>
        <w:spacing w:before="2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54283E">
        <w:rPr>
          <w:rFonts w:ascii="Times New Roman" w:eastAsia="Times New Roman" w:hAnsi="Times New Roman" w:cs="Times New Roman"/>
          <w:sz w:val="20"/>
          <w:szCs w:val="20"/>
          <w:highlight w:val="green"/>
          <w:lang w:val="ru-RU"/>
        </w:rPr>
        <w:t xml:space="preserve">Модель </w:t>
      </w:r>
      <w:proofErr w:type="spellStart"/>
      <w:r w:rsidRPr="0054283E">
        <w:rPr>
          <w:rFonts w:ascii="Times New Roman" w:eastAsia="Times New Roman" w:hAnsi="Times New Roman" w:cs="Times New Roman"/>
          <w:sz w:val="20"/>
          <w:szCs w:val="20"/>
          <w:highlight w:val="green"/>
          <w:lang w:val="ru-RU"/>
        </w:rPr>
        <w:t>Изинга</w:t>
      </w:r>
      <w:proofErr w:type="spellEnd"/>
      <w:r w:rsidR="000A221A" w:rsidRPr="0054283E">
        <w:rPr>
          <w:rFonts w:ascii="Times New Roman" w:eastAsia="Times New Roman" w:hAnsi="Times New Roman" w:cs="Times New Roman"/>
          <w:sz w:val="20"/>
          <w:szCs w:val="20"/>
          <w:highlight w:val="green"/>
          <w:lang w:val="ru-RU"/>
        </w:rPr>
        <w:t xml:space="preserve"> [1]</w:t>
      </w:r>
      <w:r w:rsidRPr="0054283E">
        <w:rPr>
          <w:rFonts w:ascii="Times New Roman" w:eastAsia="Times New Roman" w:hAnsi="Times New Roman" w:cs="Times New Roman"/>
          <w:sz w:val="20"/>
          <w:szCs w:val="20"/>
          <w:highlight w:val="green"/>
          <w:lang w:val="ru-RU"/>
        </w:rPr>
        <w:t xml:space="preserve"> на случайных блужданиях без самопересечений – новая и активно изучаемая модель макромолекул.</w:t>
      </w:r>
      <w:r w:rsidR="00331A4C" w:rsidRPr="0054283E">
        <w:rPr>
          <w:rFonts w:ascii="Times New Roman" w:eastAsia="Times New Roman" w:hAnsi="Times New Roman" w:cs="Times New Roman"/>
          <w:sz w:val="20"/>
          <w:szCs w:val="20"/>
          <w:highlight w:val="green"/>
          <w:lang w:val="ru-RU"/>
        </w:rPr>
        <w:t xml:space="preserve"> </w:t>
      </w:r>
      <w:r w:rsidR="009A3A6E" w:rsidRPr="0054283E">
        <w:rPr>
          <w:rFonts w:ascii="Times New Roman" w:eastAsia="Times New Roman" w:hAnsi="Times New Roman" w:cs="Times New Roman"/>
          <w:sz w:val="20"/>
          <w:szCs w:val="20"/>
          <w:highlight w:val="green"/>
          <w:lang w:val="ru-RU"/>
        </w:rPr>
        <w:t xml:space="preserve">Данные модели применимы к различным видам магнитных полимеров </w:t>
      </w:r>
      <w:r w:rsidR="0054283E" w:rsidRPr="0054283E">
        <w:rPr>
          <w:rFonts w:ascii="Times New Roman" w:eastAsia="Times New Roman" w:hAnsi="Times New Roman" w:cs="Times New Roman"/>
          <w:sz w:val="20"/>
          <w:szCs w:val="20"/>
          <w:highlight w:val="green"/>
          <w:lang w:val="ru-RU"/>
        </w:rPr>
        <w:t>[2],[3].</w:t>
      </w:r>
      <w:r w:rsidRPr="0054283E">
        <w:rPr>
          <w:rFonts w:ascii="Times New Roman" w:eastAsia="Times New Roman" w:hAnsi="Times New Roman" w:cs="Times New Roman"/>
          <w:sz w:val="20"/>
          <w:szCs w:val="20"/>
          <w:highlight w:val="green"/>
          <w:lang w:val="ru-RU"/>
        </w:rPr>
        <w:t xml:space="preserve"> </w:t>
      </w:r>
      <w:r w:rsidR="00933E0C" w:rsidRPr="0054283E">
        <w:rPr>
          <w:rFonts w:ascii="Times New Roman" w:eastAsia="Times New Roman" w:hAnsi="Times New Roman" w:cs="Times New Roman"/>
          <w:sz w:val="20"/>
          <w:szCs w:val="20"/>
          <w:highlight w:val="green"/>
          <w:lang w:val="ru-RU"/>
        </w:rPr>
        <w:t xml:space="preserve">Обычно в таких моделях </w:t>
      </w:r>
      <w:r w:rsidR="00F92A06" w:rsidRPr="0054283E">
        <w:rPr>
          <w:rFonts w:ascii="Times New Roman" w:eastAsia="Times New Roman" w:hAnsi="Times New Roman" w:cs="Times New Roman"/>
          <w:sz w:val="20"/>
          <w:szCs w:val="20"/>
          <w:highlight w:val="green"/>
          <w:lang w:val="ru-RU"/>
        </w:rPr>
        <w:t xml:space="preserve">одновременно </w:t>
      </w:r>
      <w:r w:rsidR="00736504">
        <w:rPr>
          <w:rFonts w:ascii="Times New Roman" w:eastAsia="Times New Roman" w:hAnsi="Times New Roman" w:cs="Times New Roman"/>
          <w:sz w:val="20"/>
          <w:szCs w:val="20"/>
          <w:highlight w:val="green"/>
          <w:lang w:val="ru-RU"/>
        </w:rPr>
        <w:t xml:space="preserve">может </w:t>
      </w:r>
      <w:r w:rsidR="00F92A06" w:rsidRPr="0054283E">
        <w:rPr>
          <w:rFonts w:ascii="Times New Roman" w:eastAsia="Times New Roman" w:hAnsi="Times New Roman" w:cs="Times New Roman"/>
          <w:sz w:val="20"/>
          <w:szCs w:val="20"/>
          <w:highlight w:val="green"/>
          <w:lang w:val="ru-RU"/>
        </w:rPr>
        <w:t>менят</w:t>
      </w:r>
      <w:r w:rsidR="00736504">
        <w:rPr>
          <w:rFonts w:ascii="Times New Roman" w:eastAsia="Times New Roman" w:hAnsi="Times New Roman" w:cs="Times New Roman"/>
          <w:sz w:val="20"/>
          <w:szCs w:val="20"/>
          <w:highlight w:val="green"/>
          <w:lang w:val="ru-RU"/>
        </w:rPr>
        <w:t>ь</w:t>
      </w:r>
      <w:r w:rsidR="00F92A06" w:rsidRPr="0054283E">
        <w:rPr>
          <w:rFonts w:ascii="Times New Roman" w:eastAsia="Times New Roman" w:hAnsi="Times New Roman" w:cs="Times New Roman"/>
          <w:sz w:val="20"/>
          <w:szCs w:val="20"/>
          <w:highlight w:val="green"/>
          <w:lang w:val="ru-RU"/>
        </w:rPr>
        <w:t>ся и геометрическая структура, и спиновая система молекулы</w:t>
      </w:r>
      <w:r w:rsidR="0054283E" w:rsidRPr="0054283E">
        <w:rPr>
          <w:rFonts w:ascii="Times New Roman" w:eastAsia="Times New Roman" w:hAnsi="Times New Roman" w:cs="Times New Roman"/>
          <w:sz w:val="20"/>
          <w:szCs w:val="20"/>
          <w:highlight w:val="green"/>
          <w:lang w:val="ru-RU"/>
        </w:rPr>
        <w:t>, как например в работе</w:t>
      </w:r>
      <w:r w:rsidR="00331A4C" w:rsidRPr="0054283E">
        <w:rPr>
          <w:rFonts w:ascii="Times New Roman" w:eastAsia="Times New Roman" w:hAnsi="Times New Roman" w:cs="Times New Roman"/>
          <w:sz w:val="20"/>
          <w:szCs w:val="20"/>
          <w:highlight w:val="green"/>
          <w:lang w:val="ru-RU"/>
        </w:rPr>
        <w:t xml:space="preserve"> [</w:t>
      </w:r>
      <w:r w:rsidR="0054283E" w:rsidRPr="0054283E">
        <w:rPr>
          <w:rFonts w:ascii="Times New Roman" w:eastAsia="Times New Roman" w:hAnsi="Times New Roman" w:cs="Times New Roman"/>
          <w:sz w:val="20"/>
          <w:szCs w:val="20"/>
          <w:highlight w:val="green"/>
          <w:lang w:val="ru-RU"/>
        </w:rPr>
        <w:t>4</w:t>
      </w:r>
      <w:r w:rsidR="00331A4C" w:rsidRPr="0054283E">
        <w:rPr>
          <w:rFonts w:ascii="Times New Roman" w:eastAsia="Times New Roman" w:hAnsi="Times New Roman" w:cs="Times New Roman"/>
          <w:sz w:val="20"/>
          <w:szCs w:val="20"/>
          <w:highlight w:val="green"/>
          <w:lang w:val="ru-RU"/>
        </w:rPr>
        <w:t>]</w:t>
      </w:r>
      <w:r w:rsidR="00F92A06" w:rsidRPr="0054283E">
        <w:rPr>
          <w:rFonts w:ascii="Times New Roman" w:eastAsia="Times New Roman" w:hAnsi="Times New Roman" w:cs="Times New Roman"/>
          <w:sz w:val="20"/>
          <w:szCs w:val="20"/>
          <w:highlight w:val="green"/>
          <w:lang w:val="ru-RU"/>
        </w:rPr>
        <w:t>. Однако времена релаксации структурных степеней свободы обычно значительно больше времен релаксации магнитных переменных.</w:t>
      </w:r>
      <w:r w:rsidR="000A221A" w:rsidRPr="0054283E">
        <w:rPr>
          <w:rFonts w:ascii="Times New Roman" w:eastAsia="Times New Roman" w:hAnsi="Times New Roman" w:cs="Times New Roman"/>
          <w:sz w:val="20"/>
          <w:szCs w:val="20"/>
          <w:highlight w:val="green"/>
          <w:lang w:val="ru-RU"/>
        </w:rPr>
        <w:t xml:space="preserve"> </w:t>
      </w:r>
      <w:r w:rsidR="0054283E" w:rsidRPr="0054283E">
        <w:rPr>
          <w:rFonts w:ascii="Times New Roman" w:eastAsia="Times New Roman" w:hAnsi="Times New Roman" w:cs="Times New Roman"/>
          <w:sz w:val="20"/>
          <w:szCs w:val="20"/>
          <w:highlight w:val="green"/>
          <w:lang w:val="ru-RU"/>
        </w:rPr>
        <w:t xml:space="preserve">Поэтому в этой работе мы рассматриваем модель с замороженным беспорядком, где модель </w:t>
      </w:r>
      <w:proofErr w:type="spellStart"/>
      <w:r w:rsidR="0054283E" w:rsidRPr="0054283E">
        <w:rPr>
          <w:rFonts w:ascii="Times New Roman" w:eastAsia="Times New Roman" w:hAnsi="Times New Roman" w:cs="Times New Roman"/>
          <w:sz w:val="20"/>
          <w:szCs w:val="20"/>
          <w:highlight w:val="green"/>
          <w:lang w:val="ru-RU"/>
        </w:rPr>
        <w:t>Изинга</w:t>
      </w:r>
      <w:proofErr w:type="spellEnd"/>
      <w:r w:rsidR="0054283E" w:rsidRPr="0054283E">
        <w:rPr>
          <w:rFonts w:ascii="Times New Roman" w:eastAsia="Times New Roman" w:hAnsi="Times New Roman" w:cs="Times New Roman"/>
          <w:sz w:val="20"/>
          <w:szCs w:val="20"/>
          <w:highlight w:val="green"/>
          <w:lang w:val="ru-RU"/>
        </w:rPr>
        <w:t xml:space="preserve"> рассматривается на фиксированных конформациях.</w:t>
      </w:r>
    </w:p>
    <w:p w14:paraId="4AA7CECA" w14:textId="3B5CB431" w:rsidR="002B45DE" w:rsidRDefault="00D220FA" w:rsidP="00A01B42">
      <w:pPr>
        <w:spacing w:before="2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Решёточная модель макромолекулы представляет собой случайное блуждание </w:t>
      </w:r>
      <w:r w:rsidR="002B45DE">
        <w:rPr>
          <w:rFonts w:ascii="Times New Roman" w:eastAsia="Times New Roman" w:hAnsi="Times New Roman" w:cs="Times New Roman"/>
          <w:sz w:val="20"/>
          <w:szCs w:val="20"/>
        </w:rPr>
        <w:t>без</w:t>
      </w:r>
      <w:r w:rsidR="002B45DE" w:rsidRPr="002B45DE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</w:t>
      </w:r>
      <w:r w:rsidR="002B45DE">
        <w:rPr>
          <w:rFonts w:ascii="Times New Roman" w:eastAsia="Times New Roman" w:hAnsi="Times New Roman" w:cs="Times New Roman"/>
          <w:sz w:val="20"/>
          <w:szCs w:val="20"/>
        </w:rPr>
        <w:t>самопересечений,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зависящее от температуры. У конформаций наблюдается геометрический фазовый переход между двумя состояниями: клубок (развёрнутое) и глобула (плотное). На данных конформациях рассматривается модель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Изинга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без внешнего поля, где в каждой вершине расположен магнитный момент, и каждая вершина имеет от 1 до 4 соседей.</w:t>
      </w:r>
      <w:r w:rsidR="002B45DE">
        <w:rPr>
          <w:noProof/>
        </w:rPr>
        <w:t xml:space="preserve"> </w:t>
      </w:r>
      <w:r>
        <w:rPr>
          <w:noProof/>
        </w:rPr>
        <w:drawing>
          <wp:inline distT="0" distB="0" distL="0" distR="0" wp14:anchorId="1EF67AA4" wp14:editId="39052A91">
            <wp:extent cx="1313993" cy="868756"/>
            <wp:effectExtent l="0" t="0" r="0" b="7620"/>
            <wp:docPr id="10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13993" cy="8687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985345" wp14:editId="137BB3FB">
            <wp:extent cx="1305261" cy="866775"/>
            <wp:effectExtent l="0" t="0" r="0" b="0"/>
            <wp:docPr id="1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05261" cy="866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D47816" w14:textId="22B4F526" w:rsidR="00537532" w:rsidRDefault="002B45DE" w:rsidP="00A01B42">
      <w:pPr>
        <w:spacing w:before="20" w:line="240" w:lineRule="auto"/>
        <w:ind w:firstLine="425"/>
        <w:jc w:val="both"/>
        <w:rPr>
          <w:rFonts w:ascii="Times New Roman" w:eastAsia="Times New Roman" w:hAnsi="Times New Roman" w:cs="Times New Roman"/>
          <w:i/>
          <w:sz w:val="16"/>
          <w:szCs w:val="16"/>
        </w:rPr>
      </w:pPr>
      <w:r>
        <w:rPr>
          <w:rFonts w:ascii="Times New Roman" w:eastAsia="Times New Roman" w:hAnsi="Times New Roman" w:cs="Times New Roman"/>
          <w:i/>
          <w:sz w:val="16"/>
          <w:szCs w:val="16"/>
        </w:rPr>
        <w:t>Рисунок 1. Пример конформаций вида клубок и глобула</w:t>
      </w:r>
    </w:p>
    <w:p w14:paraId="4CD35883" w14:textId="3B7FBB34" w:rsidR="00966929" w:rsidRDefault="00D220FA" w:rsidP="00966929">
      <w:pPr>
        <w:spacing w:before="2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Как можно увидеть на рис. 1 глобулярные конформации по структуре близки к обычной двумерной решётке (вершины расположены плотно, у большинства вершин 3 или 4 соседа), в то время как клубки ближе к одномерной </w:t>
      </w:r>
      <w:r>
        <w:rPr>
          <w:rFonts w:ascii="Times New Roman" w:eastAsia="Times New Roman" w:hAnsi="Times New Roman" w:cs="Times New Roman"/>
          <w:sz w:val="20"/>
          <w:szCs w:val="20"/>
        </w:rPr>
        <w:t>(большинство вершин имеет ровно 2 соседа). можно предположить, что клубки и глобулы будут иметь магнитные свойства, схожие с данными решётками</w:t>
      </w:r>
      <w:r w:rsidR="00736504" w:rsidRPr="00736504">
        <w:rPr>
          <w:rFonts w:ascii="Times New Roman" w:eastAsia="Times New Roman" w:hAnsi="Times New Roman" w:cs="Times New Roman"/>
          <w:sz w:val="20"/>
          <w:szCs w:val="20"/>
          <w:lang w:val="ru-RU"/>
        </w:rPr>
        <w:t>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736504">
        <w:rPr>
          <w:rFonts w:ascii="Times New Roman" w:eastAsia="Times New Roman" w:hAnsi="Times New Roman" w:cs="Times New Roman"/>
          <w:sz w:val="20"/>
          <w:szCs w:val="20"/>
          <w:highlight w:val="green"/>
          <w:lang w:val="ru-RU"/>
        </w:rPr>
        <w:t>г</w:t>
      </w:r>
      <w:r w:rsidR="000A687D" w:rsidRPr="0054283E">
        <w:rPr>
          <w:rFonts w:ascii="Times New Roman" w:eastAsia="Times New Roman" w:hAnsi="Times New Roman" w:cs="Times New Roman"/>
          <w:sz w:val="20"/>
          <w:szCs w:val="20"/>
          <w:highlight w:val="green"/>
          <w:lang w:val="ru-RU"/>
        </w:rPr>
        <w:t>лобулы</w:t>
      </w:r>
      <w:r w:rsidRPr="0054283E">
        <w:rPr>
          <w:rFonts w:ascii="Times New Roman" w:eastAsia="Times New Roman" w:hAnsi="Times New Roman" w:cs="Times New Roman"/>
          <w:sz w:val="20"/>
          <w:szCs w:val="20"/>
          <w:highlight w:val="green"/>
        </w:rPr>
        <w:t xml:space="preserve"> имеют магнитный фазовый переход</w:t>
      </w:r>
      <w:r w:rsidR="000A687D" w:rsidRPr="0054283E">
        <w:rPr>
          <w:rFonts w:ascii="Times New Roman" w:eastAsia="Times New Roman" w:hAnsi="Times New Roman" w:cs="Times New Roman"/>
          <w:sz w:val="20"/>
          <w:szCs w:val="20"/>
          <w:highlight w:val="green"/>
          <w:lang w:val="ru-RU"/>
        </w:rPr>
        <w:t>,</w:t>
      </w:r>
      <w:r w:rsidR="000A687D" w:rsidRPr="0054283E">
        <w:rPr>
          <w:highlight w:val="green"/>
        </w:rPr>
        <w:t xml:space="preserve"> </w:t>
      </w:r>
      <w:r w:rsidR="000A687D" w:rsidRPr="0054283E">
        <w:rPr>
          <w:rFonts w:ascii="Times New Roman" w:eastAsia="Times New Roman" w:hAnsi="Times New Roman" w:cs="Times New Roman"/>
          <w:sz w:val="20"/>
          <w:szCs w:val="20"/>
          <w:highlight w:val="green"/>
          <w:lang w:val="ru-RU"/>
        </w:rPr>
        <w:t xml:space="preserve">в отличии от </w:t>
      </w:r>
      <w:proofErr w:type="spellStart"/>
      <w:r w:rsidR="000A687D" w:rsidRPr="0054283E">
        <w:rPr>
          <w:rFonts w:ascii="Times New Roman" w:eastAsia="Times New Roman" w:hAnsi="Times New Roman" w:cs="Times New Roman"/>
          <w:sz w:val="20"/>
          <w:szCs w:val="20"/>
          <w:highlight w:val="green"/>
          <w:lang w:val="ru-RU"/>
        </w:rPr>
        <w:t>квазиодномерных</w:t>
      </w:r>
      <w:proofErr w:type="spellEnd"/>
      <w:r w:rsidR="000A687D" w:rsidRPr="0054283E">
        <w:rPr>
          <w:rFonts w:ascii="Times New Roman" w:eastAsia="Times New Roman" w:hAnsi="Times New Roman" w:cs="Times New Roman"/>
          <w:sz w:val="20"/>
          <w:szCs w:val="20"/>
          <w:highlight w:val="green"/>
          <w:lang w:val="ru-RU"/>
        </w:rPr>
        <w:t xml:space="preserve"> конформаций вида клубок</w:t>
      </w:r>
      <w:r w:rsidRPr="0054283E">
        <w:rPr>
          <w:rFonts w:ascii="Times New Roman" w:eastAsia="Times New Roman" w:hAnsi="Times New Roman" w:cs="Times New Roman"/>
          <w:sz w:val="20"/>
          <w:szCs w:val="20"/>
          <w:highlight w:val="green"/>
        </w:rPr>
        <w:t>.</w:t>
      </w:r>
    </w:p>
    <w:p w14:paraId="689EDE4A" w14:textId="4D640E7B" w:rsidR="00537532" w:rsidRDefault="00D220FA" w:rsidP="00A01B42">
      <w:pPr>
        <w:spacing w:before="2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Зная точку фазового перехода клубок </w:t>
      </w:r>
      <w:r w:rsidR="00A24879">
        <w:rPr>
          <w:rFonts w:ascii="Times New Roman" w:eastAsia="Times New Roman" w:hAnsi="Times New Roman" w:cs="Times New Roman"/>
          <w:sz w:val="20"/>
          <w:szCs w:val="20"/>
          <w:lang w:val="ru-RU"/>
        </w:rPr>
        <w:t>–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глобула, большой интерес представляет определение точки магнитного перехода</w:t>
      </w:r>
      <w:r w:rsidR="000A687D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в глобулах</w:t>
      </w:r>
      <w:r>
        <w:rPr>
          <w:rFonts w:ascii="Times New Roman" w:eastAsia="Times New Roman" w:hAnsi="Times New Roman" w:cs="Times New Roman"/>
          <w:sz w:val="20"/>
          <w:szCs w:val="20"/>
        </w:rPr>
        <w:t>, и их сравнение. Это и является целью данного исследования</w:t>
      </w:r>
    </w:p>
    <w:p w14:paraId="31C2AB8E" w14:textId="42368682" w:rsidR="00537532" w:rsidRDefault="00D220FA" w:rsidP="00A01B42">
      <w:pPr>
        <w:spacing w:before="2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На данный момент написан программный комплекс для генерации конформаций и расчета модели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Изинга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331B30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методами Монте-Карло </w:t>
      </w:r>
      <w:r>
        <w:rPr>
          <w:rFonts w:ascii="Times New Roman" w:eastAsia="Times New Roman" w:hAnsi="Times New Roman" w:cs="Times New Roman"/>
          <w:sz w:val="20"/>
          <w:szCs w:val="20"/>
        </w:rPr>
        <w:t>на суперкомпьютерном кластере ВШЭ</w:t>
      </w:r>
      <w:r w:rsidR="002773C2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, код доступен на </w:t>
      </w:r>
      <w:r w:rsidR="001D3B66">
        <w:rPr>
          <w:rFonts w:ascii="Times New Roman" w:eastAsia="Times New Roman" w:hAnsi="Times New Roman" w:cs="Times New Roman"/>
          <w:sz w:val="20"/>
          <w:szCs w:val="20"/>
          <w:lang w:val="en-US"/>
        </w:rPr>
        <w:t>GitHub</w:t>
      </w:r>
      <w:r w:rsidR="00400E01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</w:t>
      </w:r>
      <w:r w:rsidR="00400E01" w:rsidRPr="00400E01">
        <w:rPr>
          <w:rFonts w:ascii="Times New Roman" w:eastAsia="Times New Roman" w:hAnsi="Times New Roman" w:cs="Times New Roman"/>
          <w:sz w:val="20"/>
          <w:szCs w:val="20"/>
          <w:lang w:val="ru-RU"/>
        </w:rPr>
        <w:t>[</w:t>
      </w:r>
      <w:r w:rsidR="0054283E" w:rsidRPr="0054283E">
        <w:rPr>
          <w:rFonts w:ascii="Times New Roman" w:eastAsia="Times New Roman" w:hAnsi="Times New Roman" w:cs="Times New Roman"/>
          <w:sz w:val="20"/>
          <w:szCs w:val="20"/>
          <w:lang w:val="ru-RU"/>
        </w:rPr>
        <w:t>5</w:t>
      </w:r>
      <w:r w:rsidR="00400E01" w:rsidRPr="00400E01">
        <w:rPr>
          <w:rFonts w:ascii="Times New Roman" w:eastAsia="Times New Roman" w:hAnsi="Times New Roman" w:cs="Times New Roman"/>
          <w:sz w:val="20"/>
          <w:szCs w:val="20"/>
          <w:lang w:val="ru-RU"/>
        </w:rPr>
        <w:t>]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 w:rsidR="005564A1">
        <w:rPr>
          <w:rFonts w:ascii="Times New Roman" w:eastAsia="Times New Roman" w:hAnsi="Times New Roman" w:cs="Times New Roman"/>
          <w:sz w:val="20"/>
          <w:szCs w:val="20"/>
          <w:lang w:val="ru-RU"/>
        </w:rPr>
        <w:t>П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олучены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результаты для конформаций соответствующих низким температурам. Подробнее об этом в следующих разделах</w:t>
      </w:r>
    </w:p>
    <w:p w14:paraId="08AF9296" w14:textId="77777777" w:rsidR="00A24879" w:rsidRDefault="00A24879" w:rsidP="00A24879">
      <w:pPr>
        <w:spacing w:before="2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491FAB50" w14:textId="7B3A5A85" w:rsidR="00537532" w:rsidRDefault="00D220FA" w:rsidP="00A24879">
      <w:pPr>
        <w:spacing w:before="20" w:line="240" w:lineRule="auto"/>
        <w:ind w:firstLine="425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Реализация модели</w:t>
      </w:r>
    </w:p>
    <w:p w14:paraId="5EFC0243" w14:textId="0A16EF56" w:rsidR="00537532" w:rsidRPr="00A24879" w:rsidRDefault="00D220FA" w:rsidP="00A01B42">
      <w:pPr>
        <w:spacing w:before="2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В данной модели мы рассматриваем наборы конформаций равной длины при одинаковой температуре</w:t>
      </w:r>
      <w:r w:rsidR="009E2783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="009E2783" w:rsidRPr="009E2783">
        <w:rPr>
          <w:rFonts w:ascii="Times New Roman" w:eastAsia="Times New Roman" w:hAnsi="Times New Roman" w:cs="Times New Roman"/>
          <w:sz w:val="20"/>
          <w:szCs w:val="20"/>
          <w:highlight w:val="green"/>
        </w:rPr>
        <w:t>полученные</w:t>
      </w:r>
      <w:r w:rsidR="009E2783" w:rsidRPr="009E2783">
        <w:rPr>
          <w:rFonts w:ascii="Times New Roman" w:eastAsia="Times New Roman" w:hAnsi="Times New Roman" w:cs="Times New Roman"/>
          <w:sz w:val="20"/>
          <w:szCs w:val="20"/>
          <w:highlight w:val="green"/>
          <w:lang w:val="ru-RU"/>
        </w:rPr>
        <w:t xml:space="preserve"> как случайные блуждания без самопересечений</w:t>
      </w:r>
      <w:r w:rsidRPr="009E2783">
        <w:rPr>
          <w:rFonts w:ascii="Times New Roman" w:eastAsia="Times New Roman" w:hAnsi="Times New Roman" w:cs="Times New Roman"/>
          <w:sz w:val="20"/>
          <w:szCs w:val="20"/>
          <w:highlight w:val="green"/>
        </w:rPr>
        <w:t xml:space="preserve"> по алгоритму</w:t>
      </w:r>
      <w:r w:rsidR="00162D85" w:rsidRPr="009E2783">
        <w:rPr>
          <w:rFonts w:ascii="Times New Roman" w:eastAsia="Times New Roman" w:hAnsi="Times New Roman" w:cs="Times New Roman"/>
          <w:sz w:val="20"/>
          <w:szCs w:val="20"/>
          <w:highlight w:val="green"/>
          <w:lang w:val="ru-RU"/>
        </w:rPr>
        <w:t>,</w:t>
      </w:r>
      <w:r w:rsidR="00105A7A" w:rsidRPr="009E2783">
        <w:rPr>
          <w:rFonts w:ascii="Times New Roman" w:eastAsia="Times New Roman" w:hAnsi="Times New Roman" w:cs="Times New Roman"/>
          <w:sz w:val="20"/>
          <w:szCs w:val="20"/>
          <w:highlight w:val="green"/>
          <w:lang w:val="ru-RU"/>
        </w:rPr>
        <w:t xml:space="preserve"> представленному</w:t>
      </w:r>
      <w:r w:rsidR="00162D85" w:rsidRPr="009E2783">
        <w:rPr>
          <w:rFonts w:ascii="Times New Roman" w:eastAsia="Times New Roman" w:hAnsi="Times New Roman" w:cs="Times New Roman"/>
          <w:sz w:val="20"/>
          <w:szCs w:val="20"/>
          <w:highlight w:val="green"/>
          <w:lang w:val="ru-RU"/>
        </w:rPr>
        <w:t xml:space="preserve"> в статье </w:t>
      </w:r>
      <w:r w:rsidR="00105A7A" w:rsidRPr="009E2783">
        <w:rPr>
          <w:rFonts w:ascii="Times New Roman" w:eastAsia="Times New Roman" w:hAnsi="Times New Roman" w:cs="Times New Roman"/>
          <w:sz w:val="20"/>
          <w:szCs w:val="20"/>
          <w:highlight w:val="green"/>
          <w:lang w:val="ru-RU"/>
        </w:rPr>
        <w:t>[</w:t>
      </w:r>
      <w:r w:rsidR="0054283E" w:rsidRPr="009E2783">
        <w:rPr>
          <w:rFonts w:ascii="Times New Roman" w:eastAsia="Times New Roman" w:hAnsi="Times New Roman" w:cs="Times New Roman"/>
          <w:sz w:val="20"/>
          <w:szCs w:val="20"/>
          <w:highlight w:val="green"/>
          <w:lang w:val="ru-RU"/>
        </w:rPr>
        <w:t>4</w:t>
      </w:r>
      <w:r w:rsidR="00105A7A" w:rsidRPr="009E2783">
        <w:rPr>
          <w:rFonts w:ascii="Times New Roman" w:eastAsia="Times New Roman" w:hAnsi="Times New Roman" w:cs="Times New Roman"/>
          <w:sz w:val="20"/>
          <w:szCs w:val="20"/>
          <w:highlight w:val="green"/>
          <w:lang w:val="ru-RU"/>
        </w:rPr>
        <w:t>]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На каждой из конформаций вычисляется модель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Изинга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, полученные энергия и намагниченности затем усредняются по конформациям.</w:t>
      </w:r>
    </w:p>
    <w:p w14:paraId="04EFBB41" w14:textId="77777777" w:rsidR="00537532" w:rsidRDefault="00D220FA" w:rsidP="00A01B42">
      <w:pPr>
        <w:spacing w:before="2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Гамильтониан модели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Изинга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задаётся следующей формулой.</w:t>
      </w:r>
    </w:p>
    <w:p w14:paraId="7BEF6A33" w14:textId="5A20E87A" w:rsidR="00537532" w:rsidRDefault="00A01B42" w:rsidP="00A01B42">
      <w:pPr>
        <w:spacing w:before="2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20"/>
              <w:szCs w:val="20"/>
            </w:rPr>
            <m:t>H</m:t>
          </m:r>
          <m:r>
            <w:rPr>
              <w:rFonts w:ascii="Cambria Math" w:eastAsia="Times New Roman" w:hAnsi="Cambria Math" w:cs="Times New Roman"/>
              <w:sz w:val="20"/>
              <w:szCs w:val="20"/>
            </w:rPr>
            <m:t> = -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0"/>
              <w:szCs w:val="20"/>
            </w:rPr>
            <m:t>J</m:t>
          </m:r>
          <m:nary>
            <m:naryPr>
              <m:chr m:val="∑"/>
              <m:supHide m:val="1"/>
              <m:ctrlPr>
                <w:rPr>
                  <w:rFonts w:ascii="Cambria Math" w:eastAsia="Times New Roman" w:hAnsi="Cambria Math" w:cs="Times New Roman"/>
                  <w:sz w:val="20"/>
                  <w:szCs w:val="20"/>
                </w:rPr>
              </m:ctrlPr>
            </m:naryPr>
            <m:sub>
              <m:d>
                <m:dPr>
                  <m:ctrlP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i,j</m:t>
                  </m:r>
                  <m:ctrlPr>
                    <w:rPr>
                      <w:rFonts w:ascii="Cambria Math" w:eastAsia="Times New Roman" w:hAnsi="Cambria Math" w:cs="Times New Roman"/>
                      <w:i/>
                      <w:sz w:val="20"/>
                      <w:szCs w:val="20"/>
                    </w:rPr>
                  </m:ctrlPr>
                </m:e>
              </m:d>
            </m:sub>
            <m:sup/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σ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σ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j</m:t>
                  </m:r>
                </m:sub>
              </m:sSub>
            </m:e>
          </m:nary>
        </m:oMath>
      </m:oMathPara>
    </w:p>
    <w:p w14:paraId="2ACA3292" w14:textId="64E5B097" w:rsidR="00537532" w:rsidRDefault="00D220FA" w:rsidP="00A01B42">
      <w:pPr>
        <w:spacing w:before="20" w:line="240" w:lineRule="auto"/>
        <w:jc w:val="center"/>
        <w:rPr>
          <w:rFonts w:ascii="Times New Roman" w:eastAsia="Times New Roman" w:hAnsi="Times New Roman" w:cs="Times New Roman"/>
          <w:i/>
          <w:sz w:val="16"/>
          <w:szCs w:val="16"/>
        </w:rPr>
      </w:pPr>
      <w:r>
        <w:rPr>
          <w:rFonts w:ascii="Times New Roman" w:eastAsia="Times New Roman" w:hAnsi="Times New Roman" w:cs="Times New Roman"/>
          <w:i/>
          <w:sz w:val="16"/>
          <w:szCs w:val="16"/>
        </w:rPr>
        <w:t>где (i, j) - пары соседних</w:t>
      </w:r>
      <w:r w:rsidR="00331B30">
        <w:rPr>
          <w:rFonts w:ascii="Times New Roman" w:eastAsia="Times New Roman" w:hAnsi="Times New Roman" w:cs="Times New Roman"/>
          <w:i/>
          <w:sz w:val="16"/>
          <w:szCs w:val="16"/>
          <w:lang w:val="ru-RU"/>
        </w:rPr>
        <w:t xml:space="preserve"> узлов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, J - коэффициент взаимодействия</w:t>
      </w:r>
    </w:p>
    <w:p w14:paraId="2A02D140" w14:textId="77777777" w:rsidR="00537532" w:rsidRDefault="00537532" w:rsidP="00A01B42">
      <w:pPr>
        <w:spacing w:before="20" w:line="240" w:lineRule="auto"/>
        <w:jc w:val="center"/>
        <w:rPr>
          <w:rFonts w:ascii="Times New Roman" w:eastAsia="Times New Roman" w:hAnsi="Times New Roman" w:cs="Times New Roman"/>
          <w:i/>
          <w:sz w:val="16"/>
          <w:szCs w:val="16"/>
        </w:rPr>
      </w:pPr>
    </w:p>
    <w:p w14:paraId="49223F4B" w14:textId="203A8BA5" w:rsidR="00537532" w:rsidRDefault="00331B30" w:rsidP="00A01B42">
      <w:pPr>
        <w:spacing w:before="2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Статистическая сумма</w:t>
      </w:r>
      <w:r w:rsidR="00D220FA">
        <w:rPr>
          <w:rFonts w:ascii="Times New Roman" w:eastAsia="Times New Roman" w:hAnsi="Times New Roman" w:cs="Times New Roman"/>
          <w:sz w:val="20"/>
          <w:szCs w:val="20"/>
        </w:rPr>
        <w:t xml:space="preserve"> для каждой конформации вычисляется по всем возможным наборам значений спинов.</w:t>
      </w:r>
    </w:p>
    <w:p w14:paraId="41E2FF2E" w14:textId="39497663" w:rsidR="00537532" w:rsidRDefault="00AF1727" w:rsidP="00A01B42">
      <w:pPr>
        <w:spacing w:before="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m:oMathPara>
        <m:oMath>
          <m:r>
            <w:rPr>
              <w:rFonts w:ascii="Times New Roman" w:eastAsia="Times New Roman" w:hAnsi="Times New Roman" w:cs="Times New Roman"/>
              <w:sz w:val="20"/>
              <w:szCs w:val="20"/>
            </w:rPr>
            <m:t xml:space="preserve">Z = </m:t>
          </m:r>
          <m:nary>
            <m:naryPr>
              <m:chr m:val="∑"/>
              <m:supHide m:val="1"/>
              <m:ctrlPr>
                <w:rPr>
                  <w:rFonts w:ascii="Cambria Math" w:eastAsia="Times New Roman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{σ}</m:t>
              </m:r>
            </m:sub>
            <m:sup/>
            <m:e>
              <m:sSup>
                <m:sSupPr>
                  <m:ctrl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="Times New Roman" w:hAnsi="Times New Roman" w:cs="Times New Roman"/>
                      <w:sz w:val="20"/>
                      <w:szCs w:val="20"/>
                    </w:rPr>
                    <m:t>-</m:t>
                  </m:r>
                  <m:r>
                    <w:rPr>
                      <w:rFonts w:ascii="Cambria Math" w:eastAsia="Times New Roman" w:hAnsi="Times New Roman" w:cs="Times New Roman"/>
                      <w:sz w:val="20"/>
                      <w:szCs w:val="20"/>
                    </w:rPr>
                    <m:t>H(σ)</m:t>
                  </m:r>
                  <m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m:t>β</m:t>
                  </m:r>
                </m:sup>
              </m:sSup>
            </m:e>
          </m:nary>
          <m:r>
            <w:rPr>
              <w:rFonts w:ascii="Times New Roman" w:eastAsia="Times New Roman" w:hAnsi="Times New Roman" w:cs="Times New Roman"/>
              <w:sz w:val="20"/>
              <w:szCs w:val="20"/>
            </w:rPr>
            <m:t>, β</m:t>
          </m:r>
          <m:r>
            <m:rPr>
              <m:sty m:val="bi"/>
            </m:rPr>
            <w:rPr>
              <w:rFonts w:ascii="Times New Roman" w:eastAsia="Times New Roman" w:hAnsi="Times New Roman" w:cs="Times New Roman"/>
              <w:sz w:val="20"/>
              <w:szCs w:val="20"/>
            </w:rPr>
            <m:t xml:space="preserve"> = </m:t>
          </m:r>
          <m:f>
            <m:fPr>
              <m:ctrlPr>
                <w:rPr>
                  <w:rFonts w:ascii="Times New Roman" w:eastAsia="Times New Roman" w:hAnsi="Times New Roman" w:cs="Times New Roman"/>
                  <w:sz w:val="16"/>
                  <w:szCs w:val="16"/>
                </w:rPr>
              </m:ctrlPr>
            </m:fPr>
            <m:num>
              <m:r>
                <w:rPr>
                  <w:rFonts w:ascii="Times New Roman" w:eastAsia="Times New Roman" w:hAnsi="Times New Roman" w:cs="Times New Roman"/>
                  <w:sz w:val="16"/>
                  <w:szCs w:val="16"/>
                </w:rPr>
                <m:t>1</m:t>
              </m:r>
            </m:num>
            <m:den>
              <m:r>
                <w:rPr>
                  <w:rFonts w:ascii="Times New Roman" w:eastAsia="Times New Roman" w:hAnsi="Times New Roman" w:cs="Times New Roman"/>
                  <w:sz w:val="16"/>
                  <w:szCs w:val="16"/>
                </w:rPr>
                <m:t>kT</m:t>
              </m:r>
            </m:den>
          </m:f>
        </m:oMath>
      </m:oMathPara>
    </w:p>
    <w:p w14:paraId="3C6466DF" w14:textId="77777777" w:rsidR="00537532" w:rsidRDefault="00D220FA" w:rsidP="00A01B42">
      <w:pPr>
        <w:spacing w:before="20" w:line="240" w:lineRule="auto"/>
        <w:jc w:val="center"/>
        <w:rPr>
          <w:rFonts w:ascii="Times New Roman" w:eastAsia="Times New Roman" w:hAnsi="Times New Roman" w:cs="Times New Roman"/>
          <w:i/>
          <w:sz w:val="16"/>
          <w:szCs w:val="16"/>
        </w:rPr>
      </w:pPr>
      <w:r>
        <w:rPr>
          <w:rFonts w:ascii="Times New Roman" w:eastAsia="Times New Roman" w:hAnsi="Times New Roman" w:cs="Times New Roman"/>
          <w:i/>
          <w:sz w:val="16"/>
          <w:szCs w:val="16"/>
        </w:rPr>
        <w:t>T - температура, k - постоянная Больцмана</w:t>
      </w:r>
    </w:p>
    <w:p w14:paraId="72CB46B6" w14:textId="77777777" w:rsidR="00537532" w:rsidRDefault="00537532" w:rsidP="00A01B42">
      <w:pPr>
        <w:spacing w:before="20" w:line="240" w:lineRule="auto"/>
        <w:jc w:val="center"/>
        <w:rPr>
          <w:rFonts w:ascii="Times New Roman" w:eastAsia="Times New Roman" w:hAnsi="Times New Roman" w:cs="Times New Roman"/>
          <w:i/>
          <w:sz w:val="16"/>
          <w:szCs w:val="16"/>
        </w:rPr>
      </w:pPr>
    </w:p>
    <w:p w14:paraId="7B649BD1" w14:textId="768648D3" w:rsidR="00537532" w:rsidRDefault="00D220FA" w:rsidP="00A01B42">
      <w:pPr>
        <w:spacing w:before="2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Расчет модели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Изинга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происходит по алгоритму Вольфа [</w:t>
      </w:r>
      <w:r w:rsidR="0054283E">
        <w:rPr>
          <w:rFonts w:ascii="Times New Roman" w:eastAsia="Times New Roman" w:hAnsi="Times New Roman" w:cs="Times New Roman"/>
          <w:sz w:val="20"/>
          <w:szCs w:val="20"/>
          <w:lang w:val="ru-RU"/>
        </w:rPr>
        <w:t>6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] с кластерным апдейтом. Мы случайным образом инициализируем спины на конформации, делаем некоторое число шагов для отжига модели. После отжига на каждом шаге замеряем энергию и намагниченность. Усреднив полученные значения по шагам, получаем средние значения намагниченности </w:t>
      </w:r>
      <m:oMath>
        <m:r>
          <w:rPr>
            <w:rFonts w:ascii="Times New Roman" w:eastAsia="Times New Roman" w:hAnsi="Times New Roman" w:cs="Times New Roman"/>
            <w:sz w:val="20"/>
            <w:szCs w:val="20"/>
          </w:rPr>
          <m:t>⟨m⟩</m:t>
        </m:r>
      </m:oMath>
      <w:r>
        <w:rPr>
          <w:rFonts w:ascii="Times New Roman" w:eastAsia="Times New Roman" w:hAnsi="Times New Roman" w:cs="Times New Roman"/>
          <w:sz w:val="20"/>
          <w:szCs w:val="20"/>
        </w:rPr>
        <w:t xml:space="preserve"> и энергии </w:t>
      </w:r>
      <m:oMath>
        <m:r>
          <w:rPr>
            <w:rFonts w:ascii="Times New Roman" w:eastAsia="Times New Roman" w:hAnsi="Times New Roman" w:cs="Times New Roman"/>
            <w:sz w:val="20"/>
            <w:szCs w:val="20"/>
          </w:rPr>
          <m:t>⟨E⟩</m:t>
        </m:r>
      </m:oMath>
      <w:r>
        <w:rPr>
          <w:rFonts w:ascii="Times New Roman" w:eastAsia="Times New Roman" w:hAnsi="Times New Roman" w:cs="Times New Roman"/>
          <w:sz w:val="20"/>
          <w:szCs w:val="20"/>
        </w:rPr>
        <w:t xml:space="preserve"> для конформации.</w:t>
      </w:r>
    </w:p>
    <w:p w14:paraId="18A4B4F3" w14:textId="56E6D7EF" w:rsidR="00B34966" w:rsidRPr="009E2783" w:rsidRDefault="009E2783" w:rsidP="00A01B42">
      <w:pPr>
        <w:spacing w:before="2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9E2783">
        <w:rPr>
          <w:rFonts w:ascii="Times New Roman" w:eastAsia="Times New Roman" w:hAnsi="Times New Roman" w:cs="Times New Roman"/>
          <w:sz w:val="20"/>
          <w:szCs w:val="20"/>
          <w:highlight w:val="green"/>
          <w:lang w:val="ru-RU"/>
        </w:rPr>
        <w:t>Задача</w:t>
      </w:r>
      <w:r w:rsidR="00B34966" w:rsidRPr="009E2783">
        <w:rPr>
          <w:rFonts w:ascii="Times New Roman" w:eastAsia="Times New Roman" w:hAnsi="Times New Roman" w:cs="Times New Roman"/>
          <w:sz w:val="20"/>
          <w:szCs w:val="20"/>
          <w:highlight w:val="green"/>
        </w:rPr>
        <w:t xml:space="preserve"> с замороженным беспорядком, соответственно по замороженным переменным усредняются физические наблюдаемые</w:t>
      </w:r>
      <w:r w:rsidRPr="009E2783">
        <w:rPr>
          <w:rFonts w:ascii="Times New Roman" w:eastAsia="Times New Roman" w:hAnsi="Times New Roman" w:cs="Times New Roman"/>
          <w:sz w:val="20"/>
          <w:szCs w:val="20"/>
          <w:highlight w:val="green"/>
          <w:lang w:val="ru-RU"/>
        </w:rPr>
        <w:t>: средняя намагниченность и энергия для ансамбля вычисляется, как средняя энергия и намагниченность по конформациям.</w:t>
      </w:r>
    </w:p>
    <w:p w14:paraId="1A2693BB" w14:textId="70F6C5CF" w:rsidR="00D220FA" w:rsidRDefault="00D220FA" w:rsidP="00D220FA">
      <w:pPr>
        <w:spacing w:before="2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460F9C2C" w14:textId="77777777" w:rsidR="009E2783" w:rsidRDefault="009E2783" w:rsidP="00D220FA">
      <w:pPr>
        <w:spacing w:before="2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3C2BD3DF" w14:textId="77777777" w:rsidR="00537532" w:rsidRDefault="00D220FA" w:rsidP="00A01B42">
      <w:pPr>
        <w:spacing w:before="20" w:line="240" w:lineRule="auto"/>
        <w:ind w:firstLine="425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Поиск точки перехода</w:t>
      </w:r>
    </w:p>
    <w:p w14:paraId="786BF6B6" w14:textId="77777777" w:rsidR="00537532" w:rsidRDefault="00D220FA" w:rsidP="00A01B42">
      <w:pPr>
        <w:spacing w:before="2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Для исследования были сгенерированы по 1000 конформаций длины 250, 500, 1000, 2000.</w:t>
      </w:r>
    </w:p>
    <w:p w14:paraId="60E4A91D" w14:textId="4635DB69" w:rsidR="00537532" w:rsidRPr="004D63EB" w:rsidRDefault="00D220FA" w:rsidP="00927B28">
      <w:pPr>
        <w:spacing w:before="2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При рассмотрении конформаций полученных при генерации </w:t>
      </w:r>
      <w:r w:rsidR="002B45DE">
        <w:rPr>
          <w:rFonts w:ascii="Times New Roman" w:eastAsia="Times New Roman" w:hAnsi="Times New Roman" w:cs="Times New Roman"/>
          <w:sz w:val="20"/>
          <w:szCs w:val="20"/>
        </w:rPr>
        <w:t>оказалось,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что около 35% из них не намагничиваются при низких температурах. Из-за большой разницы в намагниченности от конформации к конформации при вычислении средней намагниченности и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кумулянта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Биндера [</w:t>
      </w:r>
      <w:r w:rsidR="0054283E">
        <w:rPr>
          <w:rFonts w:ascii="Times New Roman" w:eastAsia="Times New Roman" w:hAnsi="Times New Roman" w:cs="Times New Roman"/>
          <w:sz w:val="20"/>
          <w:szCs w:val="20"/>
          <w:lang w:val="ru-RU"/>
        </w:rPr>
        <w:t>7</w:t>
      </w:r>
      <w:r>
        <w:rPr>
          <w:rFonts w:ascii="Times New Roman" w:eastAsia="Times New Roman" w:hAnsi="Times New Roman" w:cs="Times New Roman"/>
          <w:sz w:val="20"/>
          <w:szCs w:val="20"/>
        </w:rPr>
        <w:t>]</w:t>
      </w:r>
      <w:r w:rsidR="008D5B8E">
        <w:rPr>
          <w:rFonts w:ascii="Times New Roman" w:eastAsia="Times New Roman" w:hAnsi="Times New Roman" w:cs="Times New Roman"/>
          <w:sz w:val="20"/>
          <w:szCs w:val="20"/>
        </w:rPr>
        <w:br/>
      </w:r>
      <m:oMathPara>
        <m:oMath>
          <m:r>
            <w:rPr>
              <w:rFonts w:ascii="Cambria Math" w:eastAsia="Times New Roman" w:hAnsi="Cambria Math" w:cs="Times New Roman"/>
              <w:sz w:val="20"/>
              <w:szCs w:val="20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U</m:t>
          </m:r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begChr m:val="⟨"/>
                  <m:endChr m:val="⟩"/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⟨"/>
                      <m:endChr m:val="⟩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Times New Roman" w:eastAsia="Times New Roman" w:hAnsi="Times New Roman" w:cs="Times New Roman"/>
              <w:sz w:val="20"/>
              <w:szCs w:val="20"/>
              <w:lang w:val="ru-RU"/>
            </w:rPr>
            <w:br/>
          </m:r>
        </m:oMath>
      </m:oMathPara>
      <w:r>
        <w:rPr>
          <w:rFonts w:ascii="Times New Roman" w:eastAsia="Times New Roman" w:hAnsi="Times New Roman" w:cs="Times New Roman"/>
          <w:sz w:val="20"/>
          <w:szCs w:val="20"/>
        </w:rPr>
        <w:t xml:space="preserve">мы получаем большие погрешности, что не позволяет определить точку перехода. Следующей задачей стало определить способ выделения намагничивающихся конформаций из сгенерированного набора. </w:t>
      </w:r>
    </w:p>
    <w:p w14:paraId="7B757420" w14:textId="0366AFA1" w:rsidR="00537532" w:rsidRDefault="00D220FA" w:rsidP="00C55F0E">
      <w:pPr>
        <w:spacing w:before="2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Первым рассмотренным способом разделения конформаций на магнитные и немагнитные стало вычисление их радиуса инерции. Из предположения что магнитные конформации более плотные и имеют меньший радиус инерции.</w:t>
      </w:r>
    </w:p>
    <w:p w14:paraId="63F4F811" w14:textId="1DEA789E" w:rsidR="00537532" w:rsidRDefault="00D220FA" w:rsidP="00A01B42">
      <w:pPr>
        <w:spacing w:before="20" w:line="240" w:lineRule="auto"/>
        <w:jc w:val="center"/>
        <w:rPr>
          <w:rFonts w:ascii="Times New Roman" w:eastAsia="Times New Roman" w:hAnsi="Times New Roman" w:cs="Times New Roman"/>
          <w:b/>
          <w:color w:val="202122"/>
          <w:sz w:val="20"/>
          <w:szCs w:val="20"/>
        </w:rPr>
      </w:pPr>
      <m:oMathPara>
        <m:oMath>
          <m:r>
            <m:rPr>
              <m:sty m:val="bi"/>
            </m:rPr>
            <w:rPr>
              <w:rFonts w:ascii="Times New Roman" w:eastAsia="Times New Roman" w:hAnsi="Times New Roman" w:cs="Times New Roman"/>
              <w:color w:val="202122"/>
              <w:sz w:val="20"/>
              <w:szCs w:val="20"/>
            </w:rPr>
            <m:t>R=</m:t>
          </m:r>
          <m:rad>
            <m:radPr>
              <m:degHide m:val="1"/>
              <m:ctrlPr>
                <w:rPr>
                  <w:rFonts w:ascii="Times New Roman" w:eastAsia="Times New Roman" w:hAnsi="Times New Roman" w:cs="Times New Roman"/>
                  <w:b/>
                  <w:color w:val="202122"/>
                  <w:sz w:val="20"/>
                  <w:szCs w:val="20"/>
                </w:rPr>
              </m:ctrlPr>
            </m:radPr>
            <m:deg/>
            <m:e>
              <m:f>
                <m:fPr>
                  <m:ctrlPr>
                    <w:rPr>
                      <w:rFonts w:ascii="Times New Roman" w:eastAsia="Times New Roman" w:hAnsi="Times New Roman" w:cs="Times New Roman"/>
                      <w:b/>
                      <w:color w:val="202122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Times New Roman" w:eastAsia="Times New Roman" w:hAnsi="Times New Roman" w:cs="Times New Roman"/>
                      <w:color w:val="202122"/>
                      <w:sz w:val="20"/>
                      <w:szCs w:val="20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Times New Roman" w:eastAsia="Times New Roman" w:hAnsi="Times New Roman" w:cs="Times New Roman"/>
                      <w:color w:val="202122"/>
                      <w:sz w:val="20"/>
                      <w:szCs w:val="20"/>
                    </w:rPr>
                    <m:t>n</m:t>
                  </m:r>
                </m:den>
              </m:f>
              <m:nary>
                <m:naryPr>
                  <m:chr m:val="∑"/>
                  <m:ctrlPr>
                    <w:rPr>
                      <w:rFonts w:ascii="Times New Roman" w:eastAsia="Times New Roman" w:hAnsi="Times New Roman" w:cs="Times New Roman"/>
                      <w:b/>
                      <w:color w:val="202122"/>
                      <w:sz w:val="20"/>
                      <w:szCs w:val="20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Times New Roman" w:eastAsia="Times New Roman" w:hAnsi="Times New Roman" w:cs="Times New Roman"/>
                      <w:color w:val="202122"/>
                      <w:sz w:val="20"/>
                      <w:szCs w:val="20"/>
                    </w:rPr>
                    <m:t>i=1</m:t>
                  </m:r>
                </m:sub>
                <m:sup>
                  <m:r>
                    <m:rPr>
                      <m:sty m:val="bi"/>
                    </m:rPr>
                    <w:rPr>
                      <w:rFonts w:ascii="Times New Roman" w:eastAsia="Times New Roman" w:hAnsi="Times New Roman" w:cs="Times New Roman"/>
                      <w:color w:val="202122"/>
                      <w:sz w:val="20"/>
                      <w:szCs w:val="20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b/>
                          <w:color w:val="202122"/>
                          <w:sz w:val="20"/>
                          <w:szCs w:val="20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b/>
                              <w:color w:val="202122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color w:val="202122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color w:val="202122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color w:val="202122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nary>
            </m:e>
          </m:rad>
        </m:oMath>
      </m:oMathPara>
    </w:p>
    <w:p w14:paraId="1BA4BE2C" w14:textId="72F33A9C" w:rsidR="00537532" w:rsidRDefault="00D220FA" w:rsidP="00C55F0E">
      <w:pPr>
        <w:spacing w:before="20" w:line="240" w:lineRule="auto"/>
        <w:jc w:val="center"/>
        <w:rPr>
          <w:rFonts w:ascii="Times New Roman" w:eastAsia="Times New Roman" w:hAnsi="Times New Roman" w:cs="Times New Roman"/>
          <w:i/>
          <w:color w:val="202122"/>
          <w:sz w:val="16"/>
          <w:szCs w:val="16"/>
        </w:rPr>
      </w:pPr>
      <w:r>
        <w:rPr>
          <w:rFonts w:ascii="Times New Roman" w:eastAsia="Times New Roman" w:hAnsi="Times New Roman" w:cs="Times New Roman"/>
          <w:i/>
          <w:color w:val="202122"/>
          <w:sz w:val="16"/>
          <w:szCs w:val="16"/>
        </w:rPr>
        <w:t xml:space="preserve">где </w:t>
      </w:r>
      <m:oMath>
        <m:sSub>
          <m:sSubPr>
            <m:ctrlPr>
              <w:rPr>
                <w:rFonts w:ascii="Times New Roman" w:eastAsia="Times New Roman" w:hAnsi="Times New Roman" w:cs="Times New Roman"/>
                <w:i/>
                <w:color w:val="202122"/>
                <w:sz w:val="16"/>
                <w:szCs w:val="16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color w:val="202122"/>
                <w:sz w:val="16"/>
                <w:szCs w:val="16"/>
              </w:rPr>
              <m:t>r</m:t>
            </m:r>
          </m:e>
          <m:sub>
            <m:r>
              <w:rPr>
                <w:rFonts w:ascii="Times New Roman" w:eastAsia="Times New Roman" w:hAnsi="Times New Roman" w:cs="Times New Roman"/>
                <w:color w:val="202122"/>
                <w:sz w:val="16"/>
                <w:szCs w:val="16"/>
              </w:rPr>
              <m:t>i</m:t>
            </m:r>
          </m:sub>
        </m:sSub>
      </m:oMath>
      <w:r>
        <w:rPr>
          <w:rFonts w:ascii="Times New Roman" w:eastAsia="Times New Roman" w:hAnsi="Times New Roman" w:cs="Times New Roman"/>
          <w:i/>
          <w:color w:val="202122"/>
          <w:sz w:val="16"/>
          <w:szCs w:val="16"/>
        </w:rPr>
        <w:t xml:space="preserve"> - расстояние от i-й вершины, до центра масс конформации</w:t>
      </w:r>
    </w:p>
    <w:p w14:paraId="1A206AF0" w14:textId="393253A8" w:rsidR="00537532" w:rsidRDefault="00D220FA" w:rsidP="00A01B42">
      <w:pPr>
        <w:spacing w:before="2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Эксперименты с этим способом показали, что таким образом можно выделить наборы конформаций разных длин</w:t>
      </w:r>
      <w:r w:rsidR="009A16A0" w:rsidRPr="009A16A0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так</w:t>
      </w:r>
      <w:r w:rsidR="009A16A0" w:rsidRPr="009A16A0">
        <w:rPr>
          <w:rFonts w:ascii="Times New Roman" w:eastAsia="Times New Roman" w:hAnsi="Times New Roman" w:cs="Times New Roman"/>
          <w:sz w:val="20"/>
          <w:szCs w:val="20"/>
          <w:lang w:val="ru-RU"/>
        </w:rPr>
        <w:t>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что для них будет возможно найти точку перехода. Несмотря на это данный вариант разделения оказался неподходящим по нескольким причинам: радиус инерции нелинейно зависит от длины конформаций, некоторым значениям радиуса инерции соответствуют конформации с совершенно разными значениями намагниченности. Последняя причина особенно важна, так как она означает, что при расчётах мы либо будем оставлять </w:t>
      </w:r>
      <w:r w:rsidR="00F00455">
        <w:rPr>
          <w:rFonts w:ascii="Times New Roman" w:eastAsia="Times New Roman" w:hAnsi="Times New Roman" w:cs="Times New Roman"/>
          <w:sz w:val="20"/>
          <w:szCs w:val="20"/>
        </w:rPr>
        <w:t>не намагничивающиеся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конформации либо отбрасывать намагничивающиеся.</w:t>
      </w: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114300" distB="114300" distL="114300" distR="114300" wp14:anchorId="56D5AE5E" wp14:editId="5E8F1FD8">
            <wp:extent cx="2686050" cy="1603583"/>
            <wp:effectExtent l="0" t="0" r="0" b="0"/>
            <wp:docPr id="1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t="10449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6035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E2F2BD" w14:textId="77777777" w:rsidR="00C55F0E" w:rsidRDefault="00D220FA" w:rsidP="00A01B42">
      <w:pPr>
        <w:spacing w:before="20" w:line="240" w:lineRule="auto"/>
        <w:ind w:firstLine="425"/>
        <w:jc w:val="center"/>
        <w:rPr>
          <w:rFonts w:ascii="Times New Roman" w:eastAsia="Times New Roman" w:hAnsi="Times New Roman" w:cs="Times New Roman"/>
          <w:i/>
          <w:sz w:val="16"/>
          <w:szCs w:val="16"/>
        </w:rPr>
      </w:pPr>
      <w:r>
        <w:rPr>
          <w:rFonts w:ascii="Times New Roman" w:eastAsia="Times New Roman" w:hAnsi="Times New Roman" w:cs="Times New Roman"/>
          <w:i/>
          <w:sz w:val="16"/>
          <w:szCs w:val="16"/>
        </w:rPr>
        <w:t xml:space="preserve">Рисунок 2. График </w:t>
      </w:r>
      <w:proofErr w:type="spellStart"/>
      <w:r>
        <w:rPr>
          <w:rFonts w:ascii="Times New Roman" w:eastAsia="Times New Roman" w:hAnsi="Times New Roman" w:cs="Times New Roman"/>
          <w:i/>
          <w:sz w:val="16"/>
          <w:szCs w:val="16"/>
        </w:rPr>
        <w:t>кумулянтов</w:t>
      </w:r>
      <w:proofErr w:type="spellEnd"/>
      <w:r>
        <w:rPr>
          <w:rFonts w:ascii="Times New Roman" w:eastAsia="Times New Roman" w:hAnsi="Times New Roman" w:cs="Times New Roman"/>
          <w:i/>
          <w:sz w:val="16"/>
          <w:szCs w:val="16"/>
        </w:rPr>
        <w:t xml:space="preserve"> полученный при приблизительном разделении конформаций по радиусу</w:t>
      </w:r>
      <w:r w:rsidR="00C55F0E">
        <w:rPr>
          <w:rFonts w:ascii="Times New Roman" w:eastAsia="Times New Roman" w:hAnsi="Times New Roman" w:cs="Times New Roman"/>
          <w:i/>
          <w:sz w:val="16"/>
          <w:szCs w:val="16"/>
          <w:lang w:val="ru-RU"/>
        </w:rPr>
        <w:t xml:space="preserve"> 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инерции</w:t>
      </w:r>
    </w:p>
    <w:p w14:paraId="68B34191" w14:textId="52D07345" w:rsidR="00537532" w:rsidRDefault="00D220FA" w:rsidP="00C55F0E">
      <w:pPr>
        <w:spacing w:before="2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114300" distB="114300" distL="114300" distR="114300" wp14:anchorId="33C57730" wp14:editId="397A3E7C">
            <wp:extent cx="2686050" cy="1803400"/>
            <wp:effectExtent l="0" t="0" r="0" b="0"/>
            <wp:docPr id="1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80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E74359" w14:textId="77777777" w:rsidR="00537532" w:rsidRDefault="00D220FA" w:rsidP="00A01B42">
      <w:pPr>
        <w:spacing w:before="20" w:line="240" w:lineRule="auto"/>
        <w:jc w:val="center"/>
        <w:rPr>
          <w:rFonts w:ascii="Times New Roman" w:eastAsia="Times New Roman" w:hAnsi="Times New Roman" w:cs="Times New Roman"/>
          <w:i/>
          <w:sz w:val="16"/>
          <w:szCs w:val="16"/>
        </w:rPr>
      </w:pPr>
      <w:r>
        <w:rPr>
          <w:rFonts w:ascii="Times New Roman" w:eastAsia="Times New Roman" w:hAnsi="Times New Roman" w:cs="Times New Roman"/>
          <w:i/>
          <w:sz w:val="16"/>
          <w:szCs w:val="16"/>
        </w:rPr>
        <w:t>Рисунок 3. график значений квадрата намагниченности и радиуса инерции для конформаций длины 1000</w:t>
      </w:r>
    </w:p>
    <w:p w14:paraId="260F87D9" w14:textId="77777777" w:rsidR="00537532" w:rsidRDefault="00537532" w:rsidP="00A01B42">
      <w:pPr>
        <w:spacing w:before="2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3CDB537E" w14:textId="77777777" w:rsidR="00537532" w:rsidRDefault="00D220FA" w:rsidP="00A01B42">
      <w:pPr>
        <w:spacing w:before="20" w:line="240" w:lineRule="auto"/>
        <w:ind w:firstLine="425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Кластеризованные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конформации</w:t>
      </w:r>
    </w:p>
    <w:p w14:paraId="451EE370" w14:textId="5AC026FA" w:rsidR="00537532" w:rsidRDefault="00D220FA" w:rsidP="00A01B42">
      <w:pPr>
        <w:spacing w:before="2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При анализе результатов разделения конформаций по радиусу инерции был построен искусственный пример немагнитной конформации с малым радиусом инерции (Рис.3</w:t>
      </w:r>
      <w:r w:rsidR="004E2E9D">
        <w:rPr>
          <w:rFonts w:ascii="Times New Roman" w:eastAsia="Times New Roman" w:hAnsi="Times New Roman" w:cs="Times New Roman"/>
          <w:sz w:val="20"/>
          <w:szCs w:val="20"/>
        </w:rPr>
        <w:t>).</w:t>
      </w:r>
    </w:p>
    <w:p w14:paraId="4D081149" w14:textId="77777777" w:rsidR="00537532" w:rsidRDefault="00D220FA" w:rsidP="00A01B42">
      <w:pPr>
        <w:spacing w:before="2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114300" distB="114300" distL="114300" distR="114300" wp14:anchorId="21BBF0EB" wp14:editId="421620FE">
            <wp:extent cx="2686050" cy="1778000"/>
            <wp:effectExtent l="0" t="0" r="0" b="0"/>
            <wp:docPr id="1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77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8BEFF1" w14:textId="77777777" w:rsidR="00537532" w:rsidRDefault="00D220FA" w:rsidP="00A01B42">
      <w:pPr>
        <w:spacing w:before="20" w:line="240" w:lineRule="auto"/>
        <w:jc w:val="center"/>
        <w:rPr>
          <w:rFonts w:ascii="Times New Roman" w:eastAsia="Times New Roman" w:hAnsi="Times New Roman" w:cs="Times New Roman"/>
          <w:i/>
          <w:sz w:val="16"/>
          <w:szCs w:val="16"/>
        </w:rPr>
      </w:pPr>
      <w:r>
        <w:rPr>
          <w:rFonts w:ascii="Times New Roman" w:eastAsia="Times New Roman" w:hAnsi="Times New Roman" w:cs="Times New Roman"/>
          <w:i/>
          <w:sz w:val="16"/>
          <w:szCs w:val="16"/>
        </w:rPr>
        <w:t>Рисунок 4. Пример конформации с двумя кластерами</w:t>
      </w:r>
    </w:p>
    <w:p w14:paraId="1880C2E6" w14:textId="3A93318F" w:rsidR="00537532" w:rsidRDefault="00D220FA" w:rsidP="00A01B42">
      <w:pPr>
        <w:spacing w:before="2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Она состоит из двух плотных двумерных магнитных доменов (далее кластеры), соединённых одномерной цепочкой (далее мост). Из-за разделяющей цепочки данные кластеры намагничиваются почти независимо друг от друга, из-за чего значения спинов в них </w:t>
      </w:r>
      <w:r w:rsidRPr="00A7401E">
        <w:rPr>
          <w:rFonts w:ascii="Times New Roman" w:eastAsia="Times New Roman" w:hAnsi="Times New Roman" w:cs="Times New Roman"/>
          <w:sz w:val="20"/>
          <w:szCs w:val="20"/>
          <w:highlight w:val="green"/>
        </w:rPr>
        <w:t>с вероятностью</w:t>
      </w:r>
      <w:r w:rsidR="000A687D" w:rsidRPr="00A7401E">
        <w:rPr>
          <w:rFonts w:ascii="Times New Roman" w:eastAsia="Times New Roman" w:hAnsi="Times New Roman" w:cs="Times New Roman"/>
          <w:sz w:val="20"/>
          <w:szCs w:val="20"/>
          <w:highlight w:val="green"/>
          <w:lang w:val="ru-RU"/>
        </w:rPr>
        <w:t xml:space="preserve"> </w:t>
      </w:r>
      <w:r w:rsidR="00162D85" w:rsidRPr="00A7401E">
        <w:rPr>
          <w:rFonts w:ascii="Times New Roman" w:eastAsia="Times New Roman" w:hAnsi="Times New Roman" w:cs="Times New Roman"/>
          <w:sz w:val="20"/>
          <w:szCs w:val="20"/>
          <w:highlight w:val="green"/>
          <w:lang w:val="ru-RU"/>
        </w:rPr>
        <w:t xml:space="preserve">близкой к </w:t>
      </w:r>
      <w:r w:rsidR="003A3878" w:rsidRPr="00A7401E">
        <w:rPr>
          <w:rFonts w:ascii="Times New Roman" w:eastAsia="Times New Roman" w:hAnsi="Times New Roman" w:cs="Times New Roman"/>
          <w:sz w:val="20"/>
          <w:szCs w:val="20"/>
          <w:highlight w:val="green"/>
          <w:lang w:val="ru-RU"/>
        </w:rPr>
        <w:t>1/2</w:t>
      </w:r>
      <w:r w:rsidR="000A687D" w:rsidRPr="00A7401E">
        <w:rPr>
          <w:rFonts w:ascii="Times New Roman" w:eastAsia="Times New Roman" w:hAnsi="Times New Roman" w:cs="Times New Roman"/>
          <w:sz w:val="20"/>
          <w:szCs w:val="20"/>
          <w:highlight w:val="green"/>
          <w:lang w:val="ru-RU"/>
        </w:rPr>
        <w:t xml:space="preserve"> </w:t>
      </w:r>
      <w:r w:rsidRPr="00A7401E">
        <w:rPr>
          <w:rFonts w:ascii="Times New Roman" w:eastAsia="Times New Roman" w:hAnsi="Times New Roman" w:cs="Times New Roman"/>
          <w:sz w:val="20"/>
          <w:szCs w:val="20"/>
          <w:highlight w:val="green"/>
        </w:rPr>
        <w:t>окажутся противоположными</w:t>
      </w:r>
      <w:r w:rsidR="006D0F35" w:rsidRPr="00A7401E">
        <w:rPr>
          <w:rFonts w:ascii="Times New Roman" w:eastAsia="Times New Roman" w:hAnsi="Times New Roman" w:cs="Times New Roman"/>
          <w:sz w:val="20"/>
          <w:szCs w:val="20"/>
          <w:highlight w:val="green"/>
          <w:lang w:val="ru-RU"/>
        </w:rPr>
        <w:t xml:space="preserve"> (если в каком-то состоянии изменить направление спинов в одном из кластеров на противоположные, гамильтониан изменится на ±</w:t>
      </w:r>
      <w:r w:rsidR="006D0F35" w:rsidRPr="00A7401E">
        <w:rPr>
          <w:rFonts w:ascii="Times New Roman" w:eastAsia="Times New Roman" w:hAnsi="Times New Roman" w:cs="Times New Roman"/>
          <w:sz w:val="20"/>
          <w:szCs w:val="20"/>
          <w:highlight w:val="green"/>
          <w:lang w:val="en-US"/>
        </w:rPr>
        <w:t>J</w:t>
      </w:r>
      <w:r w:rsidR="006D0F35" w:rsidRPr="00A7401E">
        <w:rPr>
          <w:rFonts w:ascii="Times New Roman" w:eastAsia="Times New Roman" w:hAnsi="Times New Roman" w:cs="Times New Roman"/>
          <w:sz w:val="20"/>
          <w:szCs w:val="20"/>
          <w:highlight w:val="green"/>
          <w:lang w:val="ru-RU"/>
        </w:rPr>
        <w:t xml:space="preserve">, </w:t>
      </w:r>
      <w:r w:rsidR="00A7401E" w:rsidRPr="00A7401E">
        <w:rPr>
          <w:rFonts w:ascii="Times New Roman" w:eastAsia="Times New Roman" w:hAnsi="Times New Roman" w:cs="Times New Roman"/>
          <w:sz w:val="20"/>
          <w:szCs w:val="20"/>
          <w:highlight w:val="green"/>
          <w:lang w:val="ru-RU"/>
        </w:rPr>
        <w:t>а</w:t>
      </w:r>
      <w:r w:rsidR="006D0F35" w:rsidRPr="00A7401E">
        <w:rPr>
          <w:rFonts w:ascii="Times New Roman" w:eastAsia="Times New Roman" w:hAnsi="Times New Roman" w:cs="Times New Roman"/>
          <w:sz w:val="20"/>
          <w:szCs w:val="20"/>
          <w:highlight w:val="green"/>
          <w:lang w:val="ru-RU"/>
        </w:rPr>
        <w:t xml:space="preserve"> вероятность данного состояния почти не изменится)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 w:rsidR="006254C2">
        <w:rPr>
          <w:rFonts w:ascii="Times New Roman" w:eastAsia="Times New Roman" w:hAnsi="Times New Roman" w:cs="Times New Roman"/>
          <w:sz w:val="20"/>
          <w:szCs w:val="20"/>
        </w:rPr>
        <w:t>Естественно,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при увеличении числа кластеров или длин мостов намагниченность конформации становится ещё меньше.</w:t>
      </w:r>
    </w:p>
    <w:p w14:paraId="1EC1BCEF" w14:textId="77777777" w:rsidR="00537532" w:rsidRDefault="00D220FA" w:rsidP="00A01B42">
      <w:pPr>
        <w:spacing w:before="2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Учитывая полученный пример, для более полного анализа конформаций на наличие кластеров была написана программа для </w:t>
      </w: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>определения кластеров и мостов.</w:t>
      </w: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114300" distB="114300" distL="114300" distR="114300" wp14:anchorId="65FC7DE6" wp14:editId="2276C14A">
            <wp:extent cx="2454275" cy="1627480"/>
            <wp:effectExtent l="0" t="0" r="0" b="0"/>
            <wp:docPr id="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54275" cy="16274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79EC54" w14:textId="77777777" w:rsidR="00537532" w:rsidRDefault="00D220FA" w:rsidP="00A01B42">
      <w:pPr>
        <w:spacing w:before="20" w:line="240" w:lineRule="auto"/>
        <w:jc w:val="center"/>
        <w:rPr>
          <w:rFonts w:ascii="Times New Roman" w:eastAsia="Times New Roman" w:hAnsi="Times New Roman" w:cs="Times New Roman"/>
          <w:i/>
          <w:sz w:val="16"/>
          <w:szCs w:val="16"/>
        </w:rPr>
      </w:pPr>
      <w:r>
        <w:rPr>
          <w:rFonts w:ascii="Times New Roman" w:eastAsia="Times New Roman" w:hAnsi="Times New Roman" w:cs="Times New Roman"/>
          <w:i/>
          <w:sz w:val="16"/>
          <w:szCs w:val="16"/>
        </w:rPr>
        <w:t>Рисунок 5. Пример выделения кластеров и мостов на конформации</w:t>
      </w:r>
    </w:p>
    <w:p w14:paraId="256BFB47" w14:textId="77777777" w:rsidR="00537532" w:rsidRDefault="00D220FA" w:rsidP="00A01B42">
      <w:pPr>
        <w:spacing w:before="2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Данный алгоритм позволяет нам определить количество и размеры мостов и кластеров. Так же он не учитывает мосты, которые соединяют один и тот же кластер, так как они не имеют структурной значимости.</w:t>
      </w:r>
    </w:p>
    <w:p w14:paraId="3A93A571" w14:textId="0FF4CBBD" w:rsidR="00537532" w:rsidRDefault="00D220FA" w:rsidP="00A01B42">
      <w:pPr>
        <w:spacing w:before="2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Анализ кластеров и мостов в конформациях происходит на 10000 конформациях длины 1000. Как и ожидалось, число кластеров, мостов и их размеры напрямую влияют на значение намагниченности. Особенно хорошо это видно при рассмотрении размера наибольшего кластера в конформации (рис. 6). На данный момент разделение конформаций, основанное на этом параметре</w:t>
      </w:r>
      <w:r w:rsidR="00404AC7">
        <w:rPr>
          <w:rFonts w:ascii="Times New Roman" w:eastAsia="Times New Roman" w:hAnsi="Times New Roman" w:cs="Times New Roman"/>
          <w:sz w:val="20"/>
          <w:szCs w:val="20"/>
          <w:lang w:val="ru-RU"/>
        </w:rPr>
        <w:t>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выглядит наиболее перспективным, так как в данном способе не наблюдается большого разброса значений намагниченности при равных размерах кластера, и намагниченность конформаций зависит от размера кластера почти линейно.</w:t>
      </w:r>
    </w:p>
    <w:p w14:paraId="4D3EA0F0" w14:textId="77777777" w:rsidR="00537532" w:rsidRDefault="00D220FA" w:rsidP="00A01B42">
      <w:pPr>
        <w:spacing w:before="2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114300" distB="114300" distL="114300" distR="114300" wp14:anchorId="40E1FA77" wp14:editId="3852851E">
            <wp:extent cx="2686050" cy="1803400"/>
            <wp:effectExtent l="0" t="0" r="0" b="0"/>
            <wp:docPr id="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80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223E28" w14:textId="15B755E8" w:rsidR="00A24879" w:rsidRDefault="00D220FA" w:rsidP="00A24879">
      <w:pPr>
        <w:spacing w:before="20" w:line="240" w:lineRule="auto"/>
        <w:jc w:val="center"/>
        <w:rPr>
          <w:rFonts w:ascii="Times New Roman" w:eastAsia="Times New Roman" w:hAnsi="Times New Roman" w:cs="Times New Roman"/>
          <w:i/>
          <w:sz w:val="16"/>
          <w:szCs w:val="16"/>
        </w:rPr>
      </w:pPr>
      <w:r>
        <w:rPr>
          <w:rFonts w:ascii="Times New Roman" w:eastAsia="Times New Roman" w:hAnsi="Times New Roman" w:cs="Times New Roman"/>
          <w:i/>
          <w:sz w:val="16"/>
          <w:szCs w:val="16"/>
        </w:rPr>
        <w:t>Рисунок 6. график значений квадрата намагниченности и размера наибольшего кластера для конформаций длины 1000</w:t>
      </w:r>
    </w:p>
    <w:p w14:paraId="2D559DEE" w14:textId="4447815B" w:rsidR="00A24879" w:rsidRDefault="00A24879" w:rsidP="00175587">
      <w:pPr>
        <w:spacing w:before="2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063A479E" w14:textId="6DFEAD35" w:rsidR="000768F4" w:rsidRDefault="000768F4" w:rsidP="000768F4">
      <w:pPr>
        <w:spacing w:before="20" w:line="240" w:lineRule="auto"/>
        <w:ind w:firstLine="425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</w:pPr>
      <w:r w:rsidRPr="000768F4"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  <w:t>Заключение</w:t>
      </w:r>
    </w:p>
    <w:p w14:paraId="5E47CEF3" w14:textId="44E80A2A" w:rsidR="000768F4" w:rsidRPr="000768F4" w:rsidRDefault="00C55F0E" w:rsidP="000768F4">
      <w:pPr>
        <w:spacing w:before="2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C76593">
        <w:rPr>
          <w:rFonts w:ascii="Times New Roman" w:eastAsia="Times New Roman" w:hAnsi="Times New Roman" w:cs="Times New Roman"/>
          <w:sz w:val="20"/>
          <w:szCs w:val="20"/>
          <w:highlight w:val="green"/>
          <w:lang w:val="ru-RU"/>
        </w:rPr>
        <w:t xml:space="preserve">В работе рассмотрена модель </w:t>
      </w:r>
      <w:proofErr w:type="spellStart"/>
      <w:r w:rsidRPr="00C76593">
        <w:rPr>
          <w:rFonts w:ascii="Times New Roman" w:eastAsia="Times New Roman" w:hAnsi="Times New Roman" w:cs="Times New Roman"/>
          <w:sz w:val="20"/>
          <w:szCs w:val="20"/>
          <w:highlight w:val="green"/>
          <w:lang w:val="ru-RU"/>
        </w:rPr>
        <w:t>Изинга</w:t>
      </w:r>
      <w:proofErr w:type="spellEnd"/>
      <w:r w:rsidRPr="00C76593">
        <w:rPr>
          <w:rFonts w:ascii="Times New Roman" w:eastAsia="Times New Roman" w:hAnsi="Times New Roman" w:cs="Times New Roman"/>
          <w:sz w:val="20"/>
          <w:szCs w:val="20"/>
          <w:highlight w:val="green"/>
          <w:lang w:val="ru-RU"/>
        </w:rPr>
        <w:t xml:space="preserve"> на ансамблях конф</w:t>
      </w:r>
      <w:r w:rsidR="00145C33">
        <w:rPr>
          <w:rFonts w:ascii="Times New Roman" w:eastAsia="Times New Roman" w:hAnsi="Times New Roman" w:cs="Times New Roman"/>
          <w:sz w:val="20"/>
          <w:szCs w:val="20"/>
          <w:highlight w:val="green"/>
          <w:lang w:val="ru-RU"/>
        </w:rPr>
        <w:t>о</w:t>
      </w:r>
      <w:r w:rsidRPr="00C76593">
        <w:rPr>
          <w:rFonts w:ascii="Times New Roman" w:eastAsia="Times New Roman" w:hAnsi="Times New Roman" w:cs="Times New Roman"/>
          <w:sz w:val="20"/>
          <w:szCs w:val="20"/>
          <w:highlight w:val="green"/>
          <w:lang w:val="ru-RU"/>
        </w:rPr>
        <w:t>рмаций. На данный момент реализован метод численного исследования свойств модели. М</w:t>
      </w:r>
      <w:r w:rsidR="002463EB" w:rsidRPr="00C76593">
        <w:rPr>
          <w:rFonts w:ascii="Times New Roman" w:eastAsia="Times New Roman" w:hAnsi="Times New Roman" w:cs="Times New Roman"/>
          <w:sz w:val="20"/>
          <w:szCs w:val="20"/>
          <w:highlight w:val="green"/>
          <w:lang w:val="ru-RU"/>
        </w:rPr>
        <w:t xml:space="preserve">ы рассмотрели модель </w:t>
      </w:r>
      <w:proofErr w:type="spellStart"/>
      <w:r w:rsidR="002463EB" w:rsidRPr="00C76593">
        <w:rPr>
          <w:rFonts w:ascii="Times New Roman" w:eastAsia="Times New Roman" w:hAnsi="Times New Roman" w:cs="Times New Roman"/>
          <w:sz w:val="20"/>
          <w:szCs w:val="20"/>
          <w:highlight w:val="green"/>
          <w:lang w:val="ru-RU"/>
        </w:rPr>
        <w:t>Изинга</w:t>
      </w:r>
      <w:proofErr w:type="spellEnd"/>
      <w:r w:rsidR="002463EB" w:rsidRPr="00C76593">
        <w:rPr>
          <w:rFonts w:ascii="Times New Roman" w:eastAsia="Times New Roman" w:hAnsi="Times New Roman" w:cs="Times New Roman"/>
          <w:sz w:val="20"/>
          <w:szCs w:val="20"/>
          <w:highlight w:val="green"/>
          <w:lang w:val="ru-RU"/>
        </w:rPr>
        <w:t xml:space="preserve"> на нескольких наборах конформаций, однако из-за разнообразия сгенерированных конформаций, мы не можем определить точку магнитного перехода. </w:t>
      </w:r>
      <w:r w:rsidRPr="00C76593">
        <w:rPr>
          <w:rFonts w:ascii="Times New Roman" w:eastAsia="Times New Roman" w:hAnsi="Times New Roman" w:cs="Times New Roman"/>
          <w:sz w:val="20"/>
          <w:szCs w:val="20"/>
          <w:highlight w:val="green"/>
          <w:lang w:val="ru-RU"/>
        </w:rPr>
        <w:t>Б</w:t>
      </w:r>
      <w:r w:rsidR="002463EB" w:rsidRPr="00C76593">
        <w:rPr>
          <w:rFonts w:ascii="Times New Roman" w:eastAsia="Times New Roman" w:hAnsi="Times New Roman" w:cs="Times New Roman"/>
          <w:sz w:val="20"/>
          <w:szCs w:val="20"/>
          <w:highlight w:val="green"/>
          <w:lang w:val="ru-RU"/>
        </w:rPr>
        <w:t xml:space="preserve">ыл предложен алгоритм, позволяющий определить глобулярные конформации среди множества сгенерированных. Используя этот алгоритм, мы </w:t>
      </w:r>
      <w:r w:rsidR="002463EB" w:rsidRPr="00C76593">
        <w:rPr>
          <w:rFonts w:ascii="Times New Roman" w:eastAsia="Times New Roman" w:hAnsi="Times New Roman" w:cs="Times New Roman"/>
          <w:sz w:val="20"/>
          <w:szCs w:val="20"/>
          <w:highlight w:val="green"/>
          <w:lang w:val="ru-RU"/>
        </w:rPr>
        <w:t>планируем выдел</w:t>
      </w:r>
      <w:r w:rsidR="00957051" w:rsidRPr="00C76593">
        <w:rPr>
          <w:rFonts w:ascii="Times New Roman" w:eastAsia="Times New Roman" w:hAnsi="Times New Roman" w:cs="Times New Roman"/>
          <w:sz w:val="20"/>
          <w:szCs w:val="20"/>
          <w:highlight w:val="green"/>
          <w:lang w:val="ru-RU"/>
        </w:rPr>
        <w:t>и</w:t>
      </w:r>
      <w:r w:rsidR="002463EB" w:rsidRPr="00C76593">
        <w:rPr>
          <w:rFonts w:ascii="Times New Roman" w:eastAsia="Times New Roman" w:hAnsi="Times New Roman" w:cs="Times New Roman"/>
          <w:sz w:val="20"/>
          <w:szCs w:val="20"/>
          <w:highlight w:val="green"/>
          <w:lang w:val="ru-RU"/>
        </w:rPr>
        <w:t>ть наборы глобулярных конформаций, и искать точку перехода для них</w:t>
      </w:r>
      <w:r w:rsidRPr="00C76593">
        <w:rPr>
          <w:rFonts w:ascii="Times New Roman" w:eastAsia="Times New Roman" w:hAnsi="Times New Roman" w:cs="Times New Roman"/>
          <w:sz w:val="20"/>
          <w:szCs w:val="20"/>
          <w:highlight w:val="green"/>
          <w:lang w:val="ru-RU"/>
        </w:rPr>
        <w:t>.</w:t>
      </w:r>
    </w:p>
    <w:p w14:paraId="43810323" w14:textId="77777777" w:rsidR="000768F4" w:rsidRDefault="000768F4" w:rsidP="00175587">
      <w:pPr>
        <w:spacing w:before="2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45BBC5D7" w14:textId="77752275" w:rsidR="00537532" w:rsidRDefault="00D220FA" w:rsidP="00A01B42">
      <w:pPr>
        <w:spacing w:before="20" w:line="240" w:lineRule="auto"/>
        <w:ind w:firstLine="425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Список литературы</w:t>
      </w:r>
    </w:p>
    <w:p w14:paraId="4FA193CF" w14:textId="347F1A82" w:rsidR="00537532" w:rsidRDefault="00D220FA" w:rsidP="000A221A">
      <w:pPr>
        <w:numPr>
          <w:ilvl w:val="0"/>
          <w:numId w:val="2"/>
        </w:numPr>
        <w:spacing w:before="20" w:line="240" w:lineRule="auto"/>
        <w:jc w:val="both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CF748C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Ernst </w:t>
      </w:r>
      <w:proofErr w:type="spellStart"/>
      <w:r w:rsidRPr="00CF748C">
        <w:rPr>
          <w:rFonts w:ascii="Times New Roman" w:hAnsi="Times New Roman" w:cs="Times New Roman"/>
          <w:sz w:val="20"/>
          <w:szCs w:val="20"/>
          <w:highlight w:val="white"/>
          <w:lang w:val="en-US"/>
        </w:rPr>
        <w:t>Ising</w:t>
      </w:r>
      <w:proofErr w:type="spellEnd"/>
      <w:r w:rsidRPr="00CF748C">
        <w:rPr>
          <w:rFonts w:ascii="Times New Roman" w:hAnsi="Times New Roman" w:cs="Times New Roman"/>
          <w:sz w:val="20"/>
          <w:szCs w:val="20"/>
          <w:highlight w:val="white"/>
          <w:lang w:val="en-US"/>
        </w:rPr>
        <w:t>, Contribution to the Theory of Ferromagnetism, 1925</w:t>
      </w:r>
      <w:r w:rsidR="00CF748C">
        <w:rPr>
          <w:rFonts w:ascii="Times New Roman" w:hAnsi="Times New Roman" w:cs="Times New Roman"/>
          <w:sz w:val="20"/>
          <w:szCs w:val="20"/>
          <w:highlight w:val="white"/>
          <w:lang w:val="en-US"/>
        </w:rPr>
        <w:t>.</w:t>
      </w:r>
    </w:p>
    <w:p w14:paraId="0B28AB1F" w14:textId="4D9FE56B" w:rsidR="009A3A6E" w:rsidRDefault="009A3A6E" w:rsidP="009A3A6E">
      <w:pPr>
        <w:numPr>
          <w:ilvl w:val="0"/>
          <w:numId w:val="2"/>
        </w:numPr>
        <w:spacing w:before="2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A3A6E">
        <w:rPr>
          <w:rFonts w:ascii="Times New Roman" w:hAnsi="Times New Roman" w:cs="Times New Roman"/>
          <w:sz w:val="20"/>
          <w:szCs w:val="20"/>
          <w:lang w:val="en-US"/>
        </w:rPr>
        <w:t xml:space="preserve">F. </w:t>
      </w:r>
      <w:proofErr w:type="spellStart"/>
      <w:r w:rsidRPr="009A3A6E">
        <w:rPr>
          <w:rFonts w:ascii="Times New Roman" w:hAnsi="Times New Roman" w:cs="Times New Roman"/>
          <w:sz w:val="20"/>
          <w:szCs w:val="20"/>
          <w:lang w:val="en-US"/>
        </w:rPr>
        <w:t>Vonderviszt</w:t>
      </w:r>
      <w:proofErr w:type="spellEnd"/>
      <w:r w:rsidRPr="009A3A6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9A3A6E">
        <w:rPr>
          <w:rFonts w:ascii="Times New Roman" w:hAnsi="Times New Roman" w:cs="Times New Roman"/>
          <w:sz w:val="20"/>
          <w:szCs w:val="20"/>
          <w:lang w:val="en-US"/>
        </w:rPr>
        <w:t>E.Bereczk</w:t>
      </w:r>
      <w:proofErr w:type="gramEnd"/>
      <w:r w:rsidRPr="009A3A6E">
        <w:rPr>
          <w:rFonts w:ascii="Times New Roman" w:hAnsi="Times New Roman" w:cs="Times New Roman"/>
          <w:sz w:val="20"/>
          <w:szCs w:val="20"/>
          <w:lang w:val="en-US"/>
        </w:rPr>
        <w:t>-Tompa</w:t>
      </w:r>
      <w:proofErr w:type="spellEnd"/>
      <w:r w:rsidRPr="009A3A6E">
        <w:rPr>
          <w:rFonts w:ascii="Times New Roman" w:hAnsi="Times New Roman" w:cs="Times New Roman"/>
          <w:sz w:val="20"/>
          <w:szCs w:val="20"/>
          <w:lang w:val="en-US"/>
        </w:rPr>
        <w:t xml:space="preserve">, B. Horvath, I. </w:t>
      </w:r>
      <w:proofErr w:type="spellStart"/>
      <w:r w:rsidRPr="009A3A6E">
        <w:rPr>
          <w:rFonts w:ascii="Times New Roman" w:hAnsi="Times New Roman" w:cs="Times New Roman"/>
          <w:sz w:val="20"/>
          <w:szCs w:val="20"/>
          <w:lang w:val="en-US"/>
        </w:rPr>
        <w:t>Szalaid</w:t>
      </w:r>
      <w:proofErr w:type="spellEnd"/>
      <w:r w:rsidRPr="009A3A6E">
        <w:rPr>
          <w:rFonts w:ascii="Times New Roman" w:hAnsi="Times New Roman" w:cs="Times New Roman"/>
          <w:sz w:val="20"/>
          <w:szCs w:val="20"/>
          <w:lang w:val="en-US"/>
        </w:rPr>
        <w:t xml:space="preserve">, and M. </w:t>
      </w:r>
      <w:proofErr w:type="spellStart"/>
      <w:r w:rsidRPr="009A3A6E">
        <w:rPr>
          <w:rFonts w:ascii="Times New Roman" w:hAnsi="Times New Roman" w:cs="Times New Roman"/>
          <w:sz w:val="20"/>
          <w:szCs w:val="20"/>
          <w:lang w:val="en-US"/>
        </w:rPr>
        <w:t>Posfai</w:t>
      </w:r>
      <w:proofErr w:type="spellEnd"/>
      <w:r w:rsidRPr="009A3A6E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proofErr w:type="spellStart"/>
      <w:r w:rsidRPr="009A3A6E">
        <w:rPr>
          <w:rFonts w:ascii="Times New Roman" w:hAnsi="Times New Roman" w:cs="Times New Roman"/>
          <w:sz w:val="20"/>
          <w:szCs w:val="20"/>
          <w:lang w:val="en-US"/>
        </w:rPr>
        <w:t>Biotemplated</w:t>
      </w:r>
      <w:proofErr w:type="spellEnd"/>
      <w:r w:rsidRPr="009A3A6E">
        <w:rPr>
          <w:rFonts w:ascii="Times New Roman" w:hAnsi="Times New Roman" w:cs="Times New Roman"/>
          <w:sz w:val="20"/>
          <w:szCs w:val="20"/>
          <w:lang w:val="en-US"/>
        </w:rPr>
        <w:t xml:space="preserve"> synthesis of magnetic filaments. Nanoscale, 9:15062, 2017.</w:t>
      </w:r>
    </w:p>
    <w:p w14:paraId="0A312AF1" w14:textId="2232BE2F" w:rsidR="009A3A6E" w:rsidRPr="0054283E" w:rsidRDefault="0054283E" w:rsidP="0054283E">
      <w:pPr>
        <w:numPr>
          <w:ilvl w:val="0"/>
          <w:numId w:val="2"/>
        </w:numPr>
        <w:spacing w:before="2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4283E">
        <w:rPr>
          <w:rFonts w:ascii="Times New Roman" w:hAnsi="Times New Roman" w:cs="Times New Roman"/>
          <w:sz w:val="20"/>
          <w:szCs w:val="20"/>
          <w:lang w:val="en-US"/>
        </w:rPr>
        <w:t xml:space="preserve">J.J. </w:t>
      </w:r>
      <w:proofErr w:type="spellStart"/>
      <w:r w:rsidRPr="0054283E">
        <w:rPr>
          <w:rFonts w:ascii="Times New Roman" w:hAnsi="Times New Roman" w:cs="Times New Roman"/>
          <w:sz w:val="20"/>
          <w:szCs w:val="20"/>
          <w:lang w:val="en-US"/>
        </w:rPr>
        <w:t>Benkoski</w:t>
      </w:r>
      <w:proofErr w:type="spellEnd"/>
      <w:r w:rsidRPr="0054283E">
        <w:rPr>
          <w:rFonts w:ascii="Times New Roman" w:hAnsi="Times New Roman" w:cs="Times New Roman"/>
          <w:sz w:val="20"/>
          <w:szCs w:val="20"/>
          <w:lang w:val="en-US"/>
        </w:rPr>
        <w:t xml:space="preserve">, S.E. Bowles, R.L. Jones, J.F. Douglas, J. </w:t>
      </w:r>
      <w:proofErr w:type="spellStart"/>
      <w:r w:rsidRPr="0054283E">
        <w:rPr>
          <w:rFonts w:ascii="Times New Roman" w:hAnsi="Times New Roman" w:cs="Times New Roman"/>
          <w:sz w:val="20"/>
          <w:szCs w:val="20"/>
          <w:lang w:val="en-US"/>
        </w:rPr>
        <w:t>Pyun</w:t>
      </w:r>
      <w:proofErr w:type="spellEnd"/>
      <w:r w:rsidRPr="0054283E">
        <w:rPr>
          <w:rFonts w:ascii="Times New Roman" w:hAnsi="Times New Roman" w:cs="Times New Roman"/>
          <w:sz w:val="20"/>
          <w:szCs w:val="20"/>
          <w:lang w:val="en-US"/>
        </w:rPr>
        <w:t xml:space="preserve">, and A. Karim. Self-assembly of </w:t>
      </w:r>
      <w:proofErr w:type="spellStart"/>
      <w:r w:rsidRPr="0054283E">
        <w:rPr>
          <w:rFonts w:ascii="Times New Roman" w:hAnsi="Times New Roman" w:cs="Times New Roman"/>
          <w:sz w:val="20"/>
          <w:szCs w:val="20"/>
          <w:lang w:val="en-US"/>
        </w:rPr>
        <w:t>polymercoated</w:t>
      </w:r>
      <w:proofErr w:type="spellEnd"/>
      <w:r w:rsidRPr="0054283E">
        <w:rPr>
          <w:rFonts w:ascii="Times New Roman" w:hAnsi="Times New Roman" w:cs="Times New Roman"/>
          <w:sz w:val="20"/>
          <w:szCs w:val="20"/>
          <w:lang w:val="en-US"/>
        </w:rPr>
        <w:t xml:space="preserve"> ferromagnetic nanoparticles into mesoscopic polymer chains. J. </w:t>
      </w:r>
      <w:proofErr w:type="spellStart"/>
      <w:r w:rsidRPr="0054283E">
        <w:rPr>
          <w:rFonts w:ascii="Times New Roman" w:hAnsi="Times New Roman" w:cs="Times New Roman"/>
          <w:sz w:val="20"/>
          <w:szCs w:val="20"/>
          <w:lang w:val="en-US"/>
        </w:rPr>
        <w:t>Polym</w:t>
      </w:r>
      <w:proofErr w:type="spellEnd"/>
      <w:r w:rsidRPr="0054283E">
        <w:rPr>
          <w:rFonts w:ascii="Times New Roman" w:hAnsi="Times New Roman" w:cs="Times New Roman"/>
          <w:sz w:val="20"/>
          <w:szCs w:val="20"/>
          <w:lang w:val="en-US"/>
        </w:rPr>
        <w:t xml:space="preserve">. Sci., Part B: </w:t>
      </w:r>
      <w:proofErr w:type="spellStart"/>
      <w:r w:rsidRPr="0054283E">
        <w:rPr>
          <w:rFonts w:ascii="Times New Roman" w:hAnsi="Times New Roman" w:cs="Times New Roman"/>
          <w:sz w:val="20"/>
          <w:szCs w:val="20"/>
          <w:lang w:val="en-US"/>
        </w:rPr>
        <w:t>Polym</w:t>
      </w:r>
      <w:proofErr w:type="spellEnd"/>
      <w:r w:rsidRPr="0054283E">
        <w:rPr>
          <w:rFonts w:ascii="Times New Roman" w:hAnsi="Times New Roman" w:cs="Times New Roman"/>
          <w:sz w:val="20"/>
          <w:szCs w:val="20"/>
          <w:lang w:val="en-US"/>
        </w:rPr>
        <w:t>. Phys.,</w:t>
      </w:r>
      <w:r w:rsidRPr="0054283E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Pr="0054283E">
        <w:rPr>
          <w:rFonts w:ascii="Times New Roman" w:hAnsi="Times New Roman" w:cs="Times New Roman"/>
          <w:sz w:val="20"/>
          <w:szCs w:val="20"/>
          <w:lang w:val="en-US"/>
        </w:rPr>
        <w:t>46:2267, 2008.</w:t>
      </w:r>
    </w:p>
    <w:p w14:paraId="72F5D143" w14:textId="210A0F9F" w:rsidR="000A221A" w:rsidRPr="000A221A" w:rsidRDefault="000A221A" w:rsidP="000A221A">
      <w:pPr>
        <w:numPr>
          <w:ilvl w:val="0"/>
          <w:numId w:val="2"/>
        </w:numPr>
        <w:spacing w:before="20" w:line="240" w:lineRule="auto"/>
        <w:jc w:val="both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CF748C">
        <w:rPr>
          <w:rFonts w:ascii="Times New Roman" w:hAnsi="Times New Roman" w:cs="Times New Roman"/>
          <w:sz w:val="20"/>
          <w:szCs w:val="20"/>
          <w:lang w:val="en-US"/>
        </w:rPr>
        <w:t xml:space="preserve">K. </w:t>
      </w:r>
      <w:proofErr w:type="spellStart"/>
      <w:r w:rsidRPr="00CF748C">
        <w:rPr>
          <w:rFonts w:ascii="Times New Roman" w:hAnsi="Times New Roman" w:cs="Times New Roman"/>
          <w:sz w:val="20"/>
          <w:szCs w:val="20"/>
          <w:lang w:val="en-US"/>
        </w:rPr>
        <w:t>Faizullina</w:t>
      </w:r>
      <w:proofErr w:type="spellEnd"/>
      <w:r w:rsidRPr="00CF748C">
        <w:rPr>
          <w:rFonts w:ascii="Times New Roman" w:hAnsi="Times New Roman" w:cs="Times New Roman"/>
          <w:sz w:val="20"/>
          <w:szCs w:val="20"/>
          <w:lang w:val="en-US"/>
        </w:rPr>
        <w:t xml:space="preserve">, I. </w:t>
      </w:r>
      <w:proofErr w:type="spellStart"/>
      <w:r w:rsidRPr="00CF748C">
        <w:rPr>
          <w:rFonts w:ascii="Times New Roman" w:hAnsi="Times New Roman" w:cs="Times New Roman"/>
          <w:sz w:val="20"/>
          <w:szCs w:val="20"/>
          <w:lang w:val="en-US"/>
        </w:rPr>
        <w:t>Pchelintsev</w:t>
      </w:r>
      <w:proofErr w:type="spellEnd"/>
      <w:r w:rsidRPr="00CF748C">
        <w:rPr>
          <w:rFonts w:ascii="Times New Roman" w:hAnsi="Times New Roman" w:cs="Times New Roman"/>
          <w:sz w:val="20"/>
          <w:szCs w:val="20"/>
          <w:lang w:val="en-US"/>
        </w:rPr>
        <w:t xml:space="preserve">, E. </w:t>
      </w:r>
      <w:proofErr w:type="spellStart"/>
      <w:r w:rsidRPr="00CF748C">
        <w:rPr>
          <w:rFonts w:ascii="Times New Roman" w:hAnsi="Times New Roman" w:cs="Times New Roman"/>
          <w:sz w:val="20"/>
          <w:szCs w:val="20"/>
          <w:lang w:val="en-US"/>
        </w:rPr>
        <w:t>Burovski</w:t>
      </w:r>
      <w:proofErr w:type="spellEnd"/>
      <w:r w:rsidRPr="00CF748C">
        <w:rPr>
          <w:rFonts w:ascii="Times New Roman" w:hAnsi="Times New Roman" w:cs="Times New Roman"/>
          <w:sz w:val="20"/>
          <w:szCs w:val="20"/>
          <w:lang w:val="en-US"/>
        </w:rPr>
        <w:t>, Critical and geometric properties of magnetic polymers across the globule-coil transition. Phys. Rev. E 104, 054501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r w:rsidRPr="00CF748C">
        <w:rPr>
          <w:rFonts w:ascii="Times New Roman" w:hAnsi="Times New Roman" w:cs="Times New Roman"/>
          <w:sz w:val="20"/>
          <w:szCs w:val="20"/>
          <w:lang w:val="en-US"/>
        </w:rPr>
        <w:t>2021</w:t>
      </w:r>
      <w:r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3BDF8FCE" w14:textId="0DF67896" w:rsidR="00400E01" w:rsidRPr="00CF748C" w:rsidRDefault="00400E01" w:rsidP="000A221A">
      <w:pPr>
        <w:numPr>
          <w:ilvl w:val="0"/>
          <w:numId w:val="2"/>
        </w:numPr>
        <w:spacing w:before="20" w:line="240" w:lineRule="auto"/>
        <w:jc w:val="both"/>
        <w:rPr>
          <w:rFonts w:ascii="Times New Roman" w:hAnsi="Times New Roman" w:cs="Times New Roman"/>
          <w:sz w:val="20"/>
          <w:szCs w:val="20"/>
          <w:highlight w:val="white"/>
          <w:lang w:val="ru-RU"/>
        </w:rPr>
      </w:pPr>
      <w:proofErr w:type="spellStart"/>
      <w:r w:rsidRPr="00CF748C">
        <w:rPr>
          <w:rFonts w:ascii="Times New Roman" w:hAnsi="Times New Roman" w:cs="Times New Roman"/>
          <w:sz w:val="20"/>
          <w:szCs w:val="20"/>
          <w:lang w:val="en-US"/>
        </w:rPr>
        <w:t>Git</w:t>
      </w:r>
      <w:r w:rsidR="007D168C" w:rsidRPr="00CF748C">
        <w:rPr>
          <w:rFonts w:ascii="Times New Roman" w:hAnsi="Times New Roman" w:cs="Times New Roman"/>
          <w:sz w:val="20"/>
          <w:szCs w:val="20"/>
          <w:lang w:val="en-US"/>
        </w:rPr>
        <w:t>hub</w:t>
      </w:r>
      <w:proofErr w:type="spellEnd"/>
      <w:r w:rsidRPr="00CF748C">
        <w:rPr>
          <w:rFonts w:ascii="Times New Roman" w:hAnsi="Times New Roman" w:cs="Times New Roman"/>
          <w:sz w:val="20"/>
          <w:szCs w:val="20"/>
          <w:lang w:val="ru-RU"/>
        </w:rPr>
        <w:t xml:space="preserve"> репозиторий проекта </w:t>
      </w:r>
      <w:r w:rsidRPr="00CF748C">
        <w:rPr>
          <w:rFonts w:ascii="Times New Roman" w:hAnsi="Times New Roman" w:cs="Times New Roman"/>
          <w:sz w:val="20"/>
          <w:szCs w:val="20"/>
          <w:lang w:val="en-US"/>
        </w:rPr>
        <w:t>https</w:t>
      </w:r>
      <w:r w:rsidRPr="00CF748C">
        <w:rPr>
          <w:rFonts w:ascii="Times New Roman" w:hAnsi="Times New Roman" w:cs="Times New Roman"/>
          <w:sz w:val="20"/>
          <w:szCs w:val="20"/>
          <w:lang w:val="ru-RU"/>
        </w:rPr>
        <w:t>://</w:t>
      </w:r>
      <w:proofErr w:type="spellStart"/>
      <w:r w:rsidRPr="00CF748C">
        <w:rPr>
          <w:rFonts w:ascii="Times New Roman" w:hAnsi="Times New Roman" w:cs="Times New Roman"/>
          <w:sz w:val="20"/>
          <w:szCs w:val="20"/>
          <w:lang w:val="en-US"/>
        </w:rPr>
        <w:t>github</w:t>
      </w:r>
      <w:proofErr w:type="spellEnd"/>
      <w:r w:rsidRPr="00CF748C">
        <w:rPr>
          <w:rFonts w:ascii="Times New Roman" w:hAnsi="Times New Roman" w:cs="Times New Roman"/>
          <w:sz w:val="20"/>
          <w:szCs w:val="20"/>
          <w:lang w:val="ru-RU"/>
        </w:rPr>
        <w:t>.</w:t>
      </w:r>
      <w:r w:rsidRPr="00CF748C">
        <w:rPr>
          <w:rFonts w:ascii="Times New Roman" w:hAnsi="Times New Roman" w:cs="Times New Roman"/>
          <w:sz w:val="20"/>
          <w:szCs w:val="20"/>
          <w:lang w:val="en-US"/>
        </w:rPr>
        <w:t>com</w:t>
      </w:r>
      <w:r w:rsidRPr="00CF748C">
        <w:rPr>
          <w:rFonts w:ascii="Times New Roman" w:hAnsi="Times New Roman" w:cs="Times New Roman"/>
          <w:sz w:val="20"/>
          <w:szCs w:val="20"/>
          <w:lang w:val="ru-RU"/>
        </w:rPr>
        <w:t>/</w:t>
      </w:r>
      <w:proofErr w:type="spellStart"/>
      <w:r w:rsidRPr="00CF748C">
        <w:rPr>
          <w:rFonts w:ascii="Times New Roman" w:hAnsi="Times New Roman" w:cs="Times New Roman"/>
          <w:sz w:val="20"/>
          <w:szCs w:val="20"/>
          <w:lang w:val="en-US"/>
        </w:rPr>
        <w:t>MoskalenkoRomanBorisovich</w:t>
      </w:r>
      <w:proofErr w:type="spellEnd"/>
      <w:r w:rsidRPr="00CF748C">
        <w:rPr>
          <w:rFonts w:ascii="Times New Roman" w:hAnsi="Times New Roman" w:cs="Times New Roman"/>
          <w:sz w:val="20"/>
          <w:szCs w:val="20"/>
          <w:lang w:val="ru-RU"/>
        </w:rPr>
        <w:t>/</w:t>
      </w:r>
      <w:proofErr w:type="spellStart"/>
      <w:r w:rsidRPr="00CF748C">
        <w:rPr>
          <w:rFonts w:ascii="Times New Roman" w:hAnsi="Times New Roman" w:cs="Times New Roman"/>
          <w:sz w:val="20"/>
          <w:szCs w:val="20"/>
          <w:lang w:val="en-US"/>
        </w:rPr>
        <w:t>Ising</w:t>
      </w:r>
      <w:proofErr w:type="spellEnd"/>
      <w:r w:rsidRPr="00CF748C">
        <w:rPr>
          <w:rFonts w:ascii="Times New Roman" w:hAnsi="Times New Roman" w:cs="Times New Roman"/>
          <w:sz w:val="20"/>
          <w:szCs w:val="20"/>
          <w:lang w:val="ru-RU"/>
        </w:rPr>
        <w:t>-</w:t>
      </w:r>
      <w:r w:rsidRPr="00CF748C">
        <w:rPr>
          <w:rFonts w:ascii="Times New Roman" w:hAnsi="Times New Roman" w:cs="Times New Roman"/>
          <w:sz w:val="20"/>
          <w:szCs w:val="20"/>
          <w:lang w:val="en-US"/>
        </w:rPr>
        <w:t>on</w:t>
      </w:r>
      <w:r w:rsidRPr="00CF748C">
        <w:rPr>
          <w:rFonts w:ascii="Times New Roman" w:hAnsi="Times New Roman" w:cs="Times New Roman"/>
          <w:sz w:val="20"/>
          <w:szCs w:val="20"/>
          <w:lang w:val="ru-RU"/>
        </w:rPr>
        <w:t>-</w:t>
      </w:r>
      <w:r w:rsidRPr="00CF748C">
        <w:rPr>
          <w:rFonts w:ascii="Times New Roman" w:hAnsi="Times New Roman" w:cs="Times New Roman"/>
          <w:sz w:val="20"/>
          <w:szCs w:val="20"/>
          <w:lang w:val="en-US"/>
        </w:rPr>
        <w:t>random</w:t>
      </w:r>
      <w:r w:rsidRPr="00CF748C">
        <w:rPr>
          <w:rFonts w:ascii="Times New Roman" w:hAnsi="Times New Roman" w:cs="Times New Roman"/>
          <w:sz w:val="20"/>
          <w:szCs w:val="20"/>
          <w:lang w:val="ru-RU"/>
        </w:rPr>
        <w:t>-</w:t>
      </w:r>
      <w:r w:rsidRPr="00CF748C">
        <w:rPr>
          <w:rFonts w:ascii="Times New Roman" w:hAnsi="Times New Roman" w:cs="Times New Roman"/>
          <w:sz w:val="20"/>
          <w:szCs w:val="20"/>
          <w:lang w:val="en-US"/>
        </w:rPr>
        <w:t>conformation</w:t>
      </w:r>
      <w:r w:rsidR="00CF748C" w:rsidRPr="00CF748C">
        <w:rPr>
          <w:rFonts w:ascii="Times New Roman" w:hAnsi="Times New Roman" w:cs="Times New Roman"/>
          <w:sz w:val="20"/>
          <w:szCs w:val="20"/>
          <w:lang w:val="ru-RU"/>
        </w:rPr>
        <w:t>.</w:t>
      </w:r>
    </w:p>
    <w:p w14:paraId="04B0552D" w14:textId="25AF592A" w:rsidR="00537532" w:rsidRPr="00CF748C" w:rsidRDefault="00D220FA" w:rsidP="000A221A">
      <w:pPr>
        <w:numPr>
          <w:ilvl w:val="0"/>
          <w:numId w:val="2"/>
        </w:numPr>
        <w:spacing w:before="20" w:line="240" w:lineRule="auto"/>
        <w:jc w:val="both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CF748C">
        <w:rPr>
          <w:rFonts w:ascii="Times New Roman" w:hAnsi="Times New Roman" w:cs="Times New Roman"/>
          <w:sz w:val="20"/>
          <w:szCs w:val="20"/>
          <w:highlight w:val="white"/>
          <w:lang w:val="en-US"/>
        </w:rPr>
        <w:t>U. Wolff, Collective Monte Carlo Updating for Spin Systems. Physical Review Letters. 62 (4): 361–364, 1989</w:t>
      </w:r>
      <w:r w:rsidR="00CF748C">
        <w:rPr>
          <w:rFonts w:ascii="Times New Roman" w:hAnsi="Times New Roman" w:cs="Times New Roman"/>
          <w:sz w:val="20"/>
          <w:szCs w:val="20"/>
          <w:highlight w:val="white"/>
          <w:lang w:val="en-US"/>
        </w:rPr>
        <w:t>.</w:t>
      </w:r>
    </w:p>
    <w:p w14:paraId="7BC0652D" w14:textId="7EDA0D25" w:rsidR="00537532" w:rsidRPr="000A221A" w:rsidRDefault="00D220FA" w:rsidP="000A221A">
      <w:pPr>
        <w:numPr>
          <w:ilvl w:val="0"/>
          <w:numId w:val="2"/>
        </w:numPr>
        <w:spacing w:before="2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D313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K. Binder, Finite size scaling analysis of </w:t>
      </w:r>
      <w:proofErr w:type="spellStart"/>
      <w:r w:rsidRPr="008D3134">
        <w:rPr>
          <w:rFonts w:ascii="Times New Roman" w:eastAsia="Times New Roman" w:hAnsi="Times New Roman" w:cs="Times New Roman"/>
          <w:sz w:val="20"/>
          <w:szCs w:val="20"/>
          <w:lang w:val="en-US"/>
        </w:rPr>
        <w:t>ising</w:t>
      </w:r>
      <w:proofErr w:type="spellEnd"/>
      <w:r w:rsidRPr="008D313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model block distribution functions. </w:t>
      </w:r>
      <w:proofErr w:type="spellStart"/>
      <w:r w:rsidRPr="000A221A">
        <w:rPr>
          <w:rFonts w:ascii="Times New Roman" w:eastAsia="Times New Roman" w:hAnsi="Times New Roman" w:cs="Times New Roman"/>
          <w:sz w:val="20"/>
          <w:szCs w:val="20"/>
          <w:lang w:val="en-US"/>
        </w:rPr>
        <w:t>Zeitschrift</w:t>
      </w:r>
      <w:proofErr w:type="spellEnd"/>
      <w:r w:rsidRPr="000A221A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für </w:t>
      </w:r>
      <w:proofErr w:type="spellStart"/>
      <w:r w:rsidRPr="000A221A">
        <w:rPr>
          <w:rFonts w:ascii="Times New Roman" w:eastAsia="Times New Roman" w:hAnsi="Times New Roman" w:cs="Times New Roman"/>
          <w:sz w:val="20"/>
          <w:szCs w:val="20"/>
          <w:lang w:val="en-US"/>
        </w:rPr>
        <w:t>Physik</w:t>
      </w:r>
      <w:proofErr w:type="spellEnd"/>
      <w:r w:rsidRPr="000A221A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B: Condensed Matter. 43 (2): 119–140, </w:t>
      </w:r>
      <w:r w:rsidRPr="000A221A">
        <w:rPr>
          <w:color w:val="202122"/>
          <w:sz w:val="19"/>
          <w:szCs w:val="19"/>
          <w:highlight w:val="white"/>
          <w:lang w:val="en-US"/>
        </w:rPr>
        <w:t>1981</w:t>
      </w:r>
      <w:r w:rsidR="00CF748C">
        <w:rPr>
          <w:color w:val="202122"/>
          <w:sz w:val="19"/>
          <w:szCs w:val="19"/>
          <w:lang w:val="en-US"/>
        </w:rPr>
        <w:t>.</w:t>
      </w:r>
    </w:p>
    <w:sectPr w:rsidR="00537532" w:rsidRPr="000A221A" w:rsidSect="00A01B42">
      <w:pgSz w:w="11909" w:h="16834"/>
      <w:pgMar w:top="1440" w:right="1440" w:bottom="1440" w:left="1440" w:header="283" w:footer="1133" w:gutter="0"/>
      <w:pgNumType w:start="1"/>
      <w:cols w:num="2" w:space="56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A50EEC"/>
    <w:multiLevelType w:val="multilevel"/>
    <w:tmpl w:val="975C0C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93C2658"/>
    <w:multiLevelType w:val="multilevel"/>
    <w:tmpl w:val="961AC8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101639576">
    <w:abstractNumId w:val="1"/>
  </w:num>
  <w:num w:numId="2" w16cid:durableId="7941793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37532"/>
    <w:rsid w:val="000768F4"/>
    <w:rsid w:val="000A221A"/>
    <w:rsid w:val="000A687D"/>
    <w:rsid w:val="00105A7A"/>
    <w:rsid w:val="00145C33"/>
    <w:rsid w:val="00153AF1"/>
    <w:rsid w:val="00162D85"/>
    <w:rsid w:val="00175587"/>
    <w:rsid w:val="001A2241"/>
    <w:rsid w:val="001D3B66"/>
    <w:rsid w:val="002463EB"/>
    <w:rsid w:val="002751B3"/>
    <w:rsid w:val="002773C2"/>
    <w:rsid w:val="002B45DE"/>
    <w:rsid w:val="00303D27"/>
    <w:rsid w:val="00327A11"/>
    <w:rsid w:val="00331A4C"/>
    <w:rsid w:val="00331B30"/>
    <w:rsid w:val="003A3878"/>
    <w:rsid w:val="00400E01"/>
    <w:rsid w:val="00404AC7"/>
    <w:rsid w:val="004D63EB"/>
    <w:rsid w:val="004E2E9D"/>
    <w:rsid w:val="00537532"/>
    <w:rsid w:val="0054283E"/>
    <w:rsid w:val="005564A1"/>
    <w:rsid w:val="005945FD"/>
    <w:rsid w:val="005963A3"/>
    <w:rsid w:val="005A0605"/>
    <w:rsid w:val="005B64EB"/>
    <w:rsid w:val="006041C3"/>
    <w:rsid w:val="006254C2"/>
    <w:rsid w:val="00656FD9"/>
    <w:rsid w:val="006D0F35"/>
    <w:rsid w:val="00736504"/>
    <w:rsid w:val="00766627"/>
    <w:rsid w:val="00777134"/>
    <w:rsid w:val="007969CF"/>
    <w:rsid w:val="007B0624"/>
    <w:rsid w:val="007D168C"/>
    <w:rsid w:val="007E2E11"/>
    <w:rsid w:val="008D3134"/>
    <w:rsid w:val="008D5B8E"/>
    <w:rsid w:val="00927B28"/>
    <w:rsid w:val="00933E0C"/>
    <w:rsid w:val="00943234"/>
    <w:rsid w:val="00957051"/>
    <w:rsid w:val="00966929"/>
    <w:rsid w:val="00981A01"/>
    <w:rsid w:val="009A16A0"/>
    <w:rsid w:val="009A3A6E"/>
    <w:rsid w:val="009B1FF7"/>
    <w:rsid w:val="009E058B"/>
    <w:rsid w:val="009E2783"/>
    <w:rsid w:val="00A01B42"/>
    <w:rsid w:val="00A24879"/>
    <w:rsid w:val="00A7401E"/>
    <w:rsid w:val="00AF1727"/>
    <w:rsid w:val="00B0148C"/>
    <w:rsid w:val="00B34966"/>
    <w:rsid w:val="00B75311"/>
    <w:rsid w:val="00BE51C1"/>
    <w:rsid w:val="00C205DD"/>
    <w:rsid w:val="00C55F0E"/>
    <w:rsid w:val="00C76593"/>
    <w:rsid w:val="00CF748C"/>
    <w:rsid w:val="00D220FA"/>
    <w:rsid w:val="00D5292C"/>
    <w:rsid w:val="00D63516"/>
    <w:rsid w:val="00D6682B"/>
    <w:rsid w:val="00D727AF"/>
    <w:rsid w:val="00DB04EC"/>
    <w:rsid w:val="00DB1C2D"/>
    <w:rsid w:val="00DC2CF4"/>
    <w:rsid w:val="00DE1CF8"/>
    <w:rsid w:val="00E01F6B"/>
    <w:rsid w:val="00E714A3"/>
    <w:rsid w:val="00E90D81"/>
    <w:rsid w:val="00EF5A99"/>
    <w:rsid w:val="00F00455"/>
    <w:rsid w:val="00F92A06"/>
    <w:rsid w:val="00FB04C2"/>
    <w:rsid w:val="00FF5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E841A"/>
  <w15:docId w15:val="{1016C353-3892-448F-B634-8C7465D64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Placeholder Text"/>
    <w:basedOn w:val="a0"/>
    <w:uiPriority w:val="99"/>
    <w:semiHidden/>
    <w:rsid w:val="004D63EB"/>
    <w:rPr>
      <w:color w:val="808080"/>
    </w:rPr>
  </w:style>
  <w:style w:type="character" w:styleId="a6">
    <w:name w:val="Hyperlink"/>
    <w:basedOn w:val="a0"/>
    <w:uiPriority w:val="99"/>
    <w:unhideWhenUsed/>
    <w:rsid w:val="00105A7A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105A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6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jLcDE7hOhiXr+HcX+Hh+vTvlMQ==">AMUW2mWTCoWTUSuW+t0SI+KP9yqaDwfttF4HTnNiGbwoTFH+74GsCOw/K2FiDmofbv0iy/Hjc0VaL6W1075OuSngR04z8Qgyrx/PfWnGH6HrJAw845ZiSTc=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C3EEB2A1-207F-4DEC-88AB-F01BDD7162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3</Pages>
  <Words>1334</Words>
  <Characters>7607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</dc:creator>
  <cp:keywords/>
  <dc:description/>
  <cp:lastModifiedBy>Москаленко Роман Борисович</cp:lastModifiedBy>
  <cp:revision>38</cp:revision>
  <cp:lastPrinted>2022-05-24T15:31:00Z</cp:lastPrinted>
  <dcterms:created xsi:type="dcterms:W3CDTF">2022-03-01T16:14:00Z</dcterms:created>
  <dcterms:modified xsi:type="dcterms:W3CDTF">2022-05-25T20:23:00Z</dcterms:modified>
</cp:coreProperties>
</file>