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3C5F8" w14:textId="77777777" w:rsidR="00537532" w:rsidRPr="0063154A" w:rsidRDefault="00D220FA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3154A">
        <w:rPr>
          <w:rFonts w:ascii="Times New Roman" w:eastAsia="Times New Roman" w:hAnsi="Times New Roman" w:cs="Times New Roman"/>
          <w:b/>
          <w:sz w:val="20"/>
          <w:szCs w:val="20"/>
        </w:rPr>
        <w:t>СВОЙСТВА МАГНИТНЫХ МОДЕЛЕЙ НА АНСАМБЛЯХ КОНФОРМАЦИЙ</w:t>
      </w:r>
    </w:p>
    <w:p w14:paraId="631EB3BA" w14:textId="77777777" w:rsidR="00537532" w:rsidRPr="0063154A" w:rsidRDefault="00537532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BE1D17F" w14:textId="0E1440B5" w:rsidR="00537532" w:rsidRPr="0063154A" w:rsidRDefault="00D220FA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63154A">
        <w:rPr>
          <w:rFonts w:ascii="Times New Roman" w:eastAsia="Times New Roman" w:hAnsi="Times New Roman" w:cs="Times New Roman"/>
          <w:b/>
          <w:i/>
          <w:sz w:val="20"/>
          <w:szCs w:val="20"/>
        </w:rPr>
        <w:t>Москаленко Р. Б.</w:t>
      </w:r>
    </w:p>
    <w:p w14:paraId="112EB055" w14:textId="77777777" w:rsidR="00537532" w:rsidRPr="0063154A" w:rsidRDefault="00D220FA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63154A">
        <w:rPr>
          <w:rFonts w:ascii="Times New Roman" w:eastAsia="Times New Roman" w:hAnsi="Times New Roman" w:cs="Times New Roman"/>
          <w:b/>
          <w:i/>
          <w:sz w:val="20"/>
          <w:szCs w:val="20"/>
        </w:rPr>
        <w:t>Национальный исследовательский университет «Высшая школа экономики»</w:t>
      </w:r>
    </w:p>
    <w:p w14:paraId="472F7363" w14:textId="77777777" w:rsidR="00537532" w:rsidRPr="0063154A" w:rsidRDefault="00D220FA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63154A">
        <w:rPr>
          <w:rFonts w:ascii="Times New Roman" w:eastAsia="Times New Roman" w:hAnsi="Times New Roman" w:cs="Times New Roman"/>
          <w:b/>
          <w:i/>
          <w:sz w:val="20"/>
          <w:szCs w:val="20"/>
        </w:rPr>
        <w:t>департамент прикладной математики</w:t>
      </w:r>
    </w:p>
    <w:p w14:paraId="026A73E3" w14:textId="77777777" w:rsidR="00537532" w:rsidRPr="0063154A" w:rsidRDefault="00D220FA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63154A">
        <w:rPr>
          <w:rFonts w:ascii="Times New Roman" w:eastAsia="Times New Roman" w:hAnsi="Times New Roman" w:cs="Times New Roman"/>
          <w:b/>
          <w:i/>
          <w:sz w:val="20"/>
          <w:szCs w:val="20"/>
        </w:rPr>
        <w:t>МИЭМ НИУ ВШЭ</w:t>
      </w:r>
    </w:p>
    <w:p w14:paraId="48EC738D" w14:textId="77777777" w:rsidR="00537532" w:rsidRPr="0063154A" w:rsidRDefault="00537532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219C8E2" w14:textId="77777777" w:rsidR="00537532" w:rsidRPr="0063154A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3154A">
        <w:rPr>
          <w:rFonts w:ascii="Times New Roman" w:eastAsia="Times New Roman" w:hAnsi="Times New Roman" w:cs="Times New Roman"/>
          <w:b/>
          <w:sz w:val="20"/>
          <w:szCs w:val="20"/>
        </w:rPr>
        <w:t>Аннотация</w:t>
      </w:r>
    </w:p>
    <w:p w14:paraId="223C5CB9" w14:textId="2AEFABB5" w:rsidR="00537532" w:rsidRPr="0063154A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В данной работе рассматривается модель </w:t>
      </w:r>
      <w:proofErr w:type="spellStart"/>
      <w:r w:rsidRPr="0063154A">
        <w:rPr>
          <w:rFonts w:ascii="Times New Roman" w:eastAsia="Times New Roman" w:hAnsi="Times New Roman" w:cs="Times New Roman"/>
          <w:sz w:val="20"/>
          <w:szCs w:val="20"/>
        </w:rPr>
        <w:t>Изинга</w:t>
      </w:r>
      <w:proofErr w:type="spellEnd"/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 на решёточных моделях макромолекул на квадратной двумерной решётке</w:t>
      </w:r>
      <w:r w:rsidR="00331B30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, представленных в виде случайных блужданий без самопересечений</w:t>
      </w:r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A24879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Цель исследования – определить точку магнитного перехода в глобулярных конформациях и сравнить её с точкой геометрического перехода клубок – глобула. В статье </w:t>
      </w:r>
      <w:r w:rsidR="00331B30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представлены</w:t>
      </w:r>
      <w:r w:rsidR="00A24879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текущие результаты и будущие планы развития проекта.</w:t>
      </w:r>
    </w:p>
    <w:p w14:paraId="00BDD7CA" w14:textId="77777777" w:rsidR="00537532" w:rsidRPr="0063154A" w:rsidRDefault="00537532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E0C04CD" w14:textId="77777777" w:rsidR="00537532" w:rsidRPr="0063154A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3154A">
        <w:rPr>
          <w:rFonts w:ascii="Times New Roman" w:eastAsia="Times New Roman" w:hAnsi="Times New Roman" w:cs="Times New Roman"/>
          <w:b/>
          <w:sz w:val="20"/>
          <w:szCs w:val="20"/>
        </w:rPr>
        <w:t>Введение</w:t>
      </w:r>
    </w:p>
    <w:p w14:paraId="37816674" w14:textId="42B0DB35" w:rsidR="007E2E11" w:rsidRPr="0063154A" w:rsidRDefault="00E90D81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Модель </w:t>
      </w:r>
      <w:proofErr w:type="spellStart"/>
      <w:r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Изинга</w:t>
      </w:r>
      <w:proofErr w:type="spellEnd"/>
      <w:r w:rsidR="000A221A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[1]</w:t>
      </w:r>
      <w:r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на случайных блужданиях без самопересечений – новая и активно изучаемая модель макромолекул.</w:t>
      </w:r>
      <w:r w:rsidR="00331A4C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="009A3A6E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Данные модели применимы к различным видам магнитных полимеров </w:t>
      </w:r>
      <w:r w:rsidR="0054283E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[2],[3].</w:t>
      </w:r>
      <w:r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="00933E0C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Обычно в таких моделях </w:t>
      </w:r>
      <w:r w:rsidR="00F92A06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одновременно </w:t>
      </w:r>
      <w:r w:rsidR="00736504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может </w:t>
      </w:r>
      <w:r w:rsidR="00F92A06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менят</w:t>
      </w:r>
      <w:r w:rsidR="00736504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ь</w:t>
      </w:r>
      <w:r w:rsidR="00F92A06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ся и геометрическая структура, и спиновая система молекулы</w:t>
      </w:r>
      <w:r w:rsidR="0054283E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, как например в работе</w:t>
      </w:r>
      <w:r w:rsidR="00331A4C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[</w:t>
      </w:r>
      <w:r w:rsidR="0054283E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4</w:t>
      </w:r>
      <w:r w:rsidR="00331A4C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]</w:t>
      </w:r>
      <w:r w:rsidR="00F92A06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. Однако времена релаксации структурных степеней свободы обычно значительно больше времен релаксации магнитных переменных.</w:t>
      </w:r>
      <w:r w:rsidR="000A221A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="0054283E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Поэтому в этой работе мы рассматриваем модель с замороженным беспорядком, где модель </w:t>
      </w:r>
      <w:proofErr w:type="spellStart"/>
      <w:r w:rsidR="0054283E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Изинга</w:t>
      </w:r>
      <w:proofErr w:type="spellEnd"/>
      <w:r w:rsidR="0054283E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рассматривается на фиксированных конформациях.</w:t>
      </w:r>
    </w:p>
    <w:p w14:paraId="514C9B3E" w14:textId="77777777" w:rsidR="00A96437" w:rsidRDefault="00D220FA" w:rsidP="00A01B42">
      <w:pPr>
        <w:spacing w:before="20" w:line="240" w:lineRule="auto"/>
        <w:ind w:firstLine="425"/>
        <w:jc w:val="both"/>
        <w:rPr>
          <w:noProof/>
        </w:rPr>
      </w:pPr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Решёточная модель макромолекулы представляет собой случайное блуждание </w:t>
      </w:r>
      <w:r w:rsidR="002B45DE" w:rsidRPr="0063154A">
        <w:rPr>
          <w:rFonts w:ascii="Times New Roman" w:eastAsia="Times New Roman" w:hAnsi="Times New Roman" w:cs="Times New Roman"/>
          <w:sz w:val="20"/>
          <w:szCs w:val="20"/>
        </w:rPr>
        <w:t>без</w:t>
      </w:r>
      <w:r w:rsidR="002B45DE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="002B45DE" w:rsidRPr="0063154A">
        <w:rPr>
          <w:rFonts w:ascii="Times New Roman" w:eastAsia="Times New Roman" w:hAnsi="Times New Roman" w:cs="Times New Roman"/>
          <w:sz w:val="20"/>
          <w:szCs w:val="20"/>
        </w:rPr>
        <w:t>самопересечений,</w:t>
      </w:r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 зависящее от температуры. У конформаций наблюдается геометрический фазовый переход между двумя состояниями: клубок (развёрнутое) и глобула (плотное). На данных конформациях рассматривается модель </w:t>
      </w:r>
      <w:proofErr w:type="spellStart"/>
      <w:r w:rsidRPr="0063154A">
        <w:rPr>
          <w:rFonts w:ascii="Times New Roman" w:eastAsia="Times New Roman" w:hAnsi="Times New Roman" w:cs="Times New Roman"/>
          <w:sz w:val="20"/>
          <w:szCs w:val="20"/>
        </w:rPr>
        <w:t>Изинга</w:t>
      </w:r>
      <w:proofErr w:type="spellEnd"/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 без внешнего поля, где в каждой вершине расположен магнитный момент, и каждая вершина имеет от 1 до 4 соседей.</w:t>
      </w:r>
    </w:p>
    <w:p w14:paraId="4AA7CECA" w14:textId="50FB3C7E" w:rsidR="002B45DE" w:rsidRPr="0063154A" w:rsidRDefault="00D220FA" w:rsidP="00A96437">
      <w:pPr>
        <w:spacing w:before="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3154A">
        <w:rPr>
          <w:noProof/>
        </w:rPr>
        <w:drawing>
          <wp:inline distT="0" distB="0" distL="0" distR="0" wp14:anchorId="1EF67AA4" wp14:editId="39052A91">
            <wp:extent cx="1313993" cy="868756"/>
            <wp:effectExtent l="0" t="0" r="0" b="762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3993" cy="8687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3154A">
        <w:rPr>
          <w:noProof/>
        </w:rPr>
        <w:drawing>
          <wp:inline distT="0" distB="0" distL="0" distR="0" wp14:anchorId="51985345" wp14:editId="137BB3FB">
            <wp:extent cx="1305261" cy="866775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5261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3D4F7F" w14:textId="391F9ECB" w:rsidR="00A96437" w:rsidRPr="0063154A" w:rsidRDefault="002B45DE" w:rsidP="00A96437">
      <w:pPr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</w:rPr>
      </w:pPr>
      <w:r w:rsidRPr="0063154A">
        <w:rPr>
          <w:rFonts w:ascii="Times New Roman" w:eastAsia="Times New Roman" w:hAnsi="Times New Roman" w:cs="Times New Roman"/>
          <w:i/>
          <w:sz w:val="16"/>
          <w:szCs w:val="16"/>
        </w:rPr>
        <w:t>Рисунок 1. Пример конформаций вида клубок и глобула</w:t>
      </w:r>
    </w:p>
    <w:p w14:paraId="4CD35883" w14:textId="3D0AE8B2" w:rsidR="00966929" w:rsidRPr="0063154A" w:rsidRDefault="00D220FA" w:rsidP="00966929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 Как можно увидеть на рис. 1 глобулярные конформации по структуре близки к обычной двумерной решётке (вершины расположены плотно, у большинства вершин 3 или 4 соседа), в то время как клубки ближе к одномерной (большинство вершин имеет ровно 2 соседа). можно предположить, что клубки и глобулы будут иметь магнитные свойства, схожие с данными решётками</w:t>
      </w:r>
      <w:r w:rsidR="00736504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:</w:t>
      </w:r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36504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г</w:t>
      </w:r>
      <w:r w:rsidR="000A687D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лобулы</w:t>
      </w:r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 имеют магнитный фазовый переход</w:t>
      </w:r>
      <w:r w:rsidR="000A687D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,</w:t>
      </w:r>
      <w:r w:rsidR="000A687D" w:rsidRPr="0063154A">
        <w:t xml:space="preserve"> </w:t>
      </w:r>
      <w:r w:rsidR="000A687D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в отличии от </w:t>
      </w:r>
      <w:proofErr w:type="spellStart"/>
      <w:r w:rsidR="000A687D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квазиодномерных</w:t>
      </w:r>
      <w:proofErr w:type="spellEnd"/>
      <w:r w:rsidR="000A687D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="000A687D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конфо</w:t>
      </w:r>
      <w:proofErr w:type="spellEnd"/>
      <w:r w:rsidR="00BF6738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proofErr w:type="spellStart"/>
      <w:r w:rsidR="000A687D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рмаций</w:t>
      </w:r>
      <w:proofErr w:type="spellEnd"/>
      <w:r w:rsidR="000A687D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вида клубок</w:t>
      </w:r>
      <w:r w:rsidRPr="0063154A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89EDE4A" w14:textId="4D640E7B" w:rsidR="00537532" w:rsidRPr="0063154A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Зная точку фазового перехода клубок </w:t>
      </w:r>
      <w:r w:rsidR="00A24879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–</w:t>
      </w:r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 глобула, большой интерес представляет определение точки магнитного перехода</w:t>
      </w:r>
      <w:r w:rsidR="000A687D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в глобулах</w:t>
      </w:r>
      <w:r w:rsidRPr="0063154A">
        <w:rPr>
          <w:rFonts w:ascii="Times New Roman" w:eastAsia="Times New Roman" w:hAnsi="Times New Roman" w:cs="Times New Roman"/>
          <w:sz w:val="20"/>
          <w:szCs w:val="20"/>
        </w:rPr>
        <w:t>, и их сравнение. Это и является целью данного исследования</w:t>
      </w:r>
    </w:p>
    <w:p w14:paraId="31C2AB8E" w14:textId="42368682" w:rsidR="00537532" w:rsidRPr="0063154A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На данный момент написан программный комплекс для генерации конформаций и расчета модели </w:t>
      </w:r>
      <w:proofErr w:type="spellStart"/>
      <w:r w:rsidRPr="0063154A">
        <w:rPr>
          <w:rFonts w:ascii="Times New Roman" w:eastAsia="Times New Roman" w:hAnsi="Times New Roman" w:cs="Times New Roman"/>
          <w:sz w:val="20"/>
          <w:szCs w:val="20"/>
        </w:rPr>
        <w:t>Изинга</w:t>
      </w:r>
      <w:proofErr w:type="spellEnd"/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31B30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методами Монте-Карло </w:t>
      </w:r>
      <w:r w:rsidRPr="0063154A">
        <w:rPr>
          <w:rFonts w:ascii="Times New Roman" w:eastAsia="Times New Roman" w:hAnsi="Times New Roman" w:cs="Times New Roman"/>
          <w:sz w:val="20"/>
          <w:szCs w:val="20"/>
        </w:rPr>
        <w:t>на суперкомпьютерном кластере ВШЭ</w:t>
      </w:r>
      <w:r w:rsidR="002773C2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, код доступен на </w:t>
      </w:r>
      <w:r w:rsidR="001D3B66" w:rsidRPr="0063154A">
        <w:rPr>
          <w:rFonts w:ascii="Times New Roman" w:eastAsia="Times New Roman" w:hAnsi="Times New Roman" w:cs="Times New Roman"/>
          <w:sz w:val="20"/>
          <w:szCs w:val="20"/>
          <w:lang w:val="en-US"/>
        </w:rPr>
        <w:t>GitHub</w:t>
      </w:r>
      <w:r w:rsidR="00400E01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[</w:t>
      </w:r>
      <w:r w:rsidR="0054283E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5</w:t>
      </w:r>
      <w:r w:rsidR="00400E01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]</w:t>
      </w:r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5564A1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П</w:t>
      </w:r>
      <w:proofErr w:type="spellStart"/>
      <w:r w:rsidRPr="0063154A">
        <w:rPr>
          <w:rFonts w:ascii="Times New Roman" w:eastAsia="Times New Roman" w:hAnsi="Times New Roman" w:cs="Times New Roman"/>
          <w:sz w:val="20"/>
          <w:szCs w:val="20"/>
        </w:rPr>
        <w:t>олучены</w:t>
      </w:r>
      <w:proofErr w:type="spellEnd"/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 результаты для конформаций соответствующих низким температурам. Подробнее об этом в следующих разделах</w:t>
      </w:r>
    </w:p>
    <w:p w14:paraId="08AF9296" w14:textId="77777777" w:rsidR="00A24879" w:rsidRPr="0063154A" w:rsidRDefault="00A24879" w:rsidP="00A24879">
      <w:pPr>
        <w:spacing w:before="2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1FAB50" w14:textId="7B3A5A85" w:rsidR="00537532" w:rsidRPr="0063154A" w:rsidRDefault="00D220FA" w:rsidP="00A24879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3154A">
        <w:rPr>
          <w:rFonts w:ascii="Times New Roman" w:eastAsia="Times New Roman" w:hAnsi="Times New Roman" w:cs="Times New Roman"/>
          <w:b/>
          <w:sz w:val="20"/>
          <w:szCs w:val="20"/>
        </w:rPr>
        <w:t>Реализация модели</w:t>
      </w:r>
    </w:p>
    <w:p w14:paraId="5EFC0243" w14:textId="0A16EF56" w:rsidR="00537532" w:rsidRPr="0063154A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3154A">
        <w:rPr>
          <w:rFonts w:ascii="Times New Roman" w:eastAsia="Times New Roman" w:hAnsi="Times New Roman" w:cs="Times New Roman"/>
          <w:sz w:val="20"/>
          <w:szCs w:val="20"/>
        </w:rPr>
        <w:t>В данной модели мы рассматриваем наборы конформаций равной длины при одинаковой температуре</w:t>
      </w:r>
      <w:r w:rsidR="009E2783" w:rsidRPr="0063154A">
        <w:rPr>
          <w:rFonts w:ascii="Times New Roman" w:eastAsia="Times New Roman" w:hAnsi="Times New Roman" w:cs="Times New Roman"/>
          <w:sz w:val="20"/>
          <w:szCs w:val="20"/>
        </w:rPr>
        <w:t>, полученные</w:t>
      </w:r>
      <w:r w:rsidR="009E2783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как случайные блуждания без самопересечений</w:t>
      </w:r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 по алгоритму</w:t>
      </w:r>
      <w:r w:rsidR="00162D85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,</w:t>
      </w:r>
      <w:r w:rsidR="00105A7A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представленному</w:t>
      </w:r>
      <w:r w:rsidR="00162D85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в статье </w:t>
      </w:r>
      <w:r w:rsidR="00105A7A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[</w:t>
      </w:r>
      <w:r w:rsidR="0054283E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4</w:t>
      </w:r>
      <w:r w:rsidR="00105A7A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]</w:t>
      </w:r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. На каждой из конформаций вычисляется модель </w:t>
      </w:r>
      <w:proofErr w:type="spellStart"/>
      <w:r w:rsidRPr="0063154A">
        <w:rPr>
          <w:rFonts w:ascii="Times New Roman" w:eastAsia="Times New Roman" w:hAnsi="Times New Roman" w:cs="Times New Roman"/>
          <w:sz w:val="20"/>
          <w:szCs w:val="20"/>
        </w:rPr>
        <w:t>Изинга</w:t>
      </w:r>
      <w:proofErr w:type="spellEnd"/>
      <w:r w:rsidRPr="0063154A">
        <w:rPr>
          <w:rFonts w:ascii="Times New Roman" w:eastAsia="Times New Roman" w:hAnsi="Times New Roman" w:cs="Times New Roman"/>
          <w:sz w:val="20"/>
          <w:szCs w:val="20"/>
        </w:rPr>
        <w:t>, полученные энергия и намагниченности затем усредняются по конформациям.</w:t>
      </w:r>
    </w:p>
    <w:p w14:paraId="04EFBB41" w14:textId="77777777" w:rsidR="00537532" w:rsidRPr="0063154A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Гамильтониан модели </w:t>
      </w:r>
      <w:proofErr w:type="spellStart"/>
      <w:r w:rsidRPr="0063154A">
        <w:rPr>
          <w:rFonts w:ascii="Times New Roman" w:eastAsia="Times New Roman" w:hAnsi="Times New Roman" w:cs="Times New Roman"/>
          <w:sz w:val="20"/>
          <w:szCs w:val="20"/>
        </w:rPr>
        <w:t>Изинга</w:t>
      </w:r>
      <w:proofErr w:type="spellEnd"/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 задаётся следующей формулой.</w:t>
      </w:r>
    </w:p>
    <w:p w14:paraId="7BEF6A33" w14:textId="5A20E87A" w:rsidR="00537532" w:rsidRPr="0063154A" w:rsidRDefault="00A01B42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H</m:t>
          </m:r>
          <m:r>
            <w:rPr>
              <w:rFonts w:ascii="Cambria Math" w:eastAsia="Times New Roman" w:hAnsi="Cambria Math" w:cs="Times New Roman"/>
              <w:sz w:val="20"/>
              <w:szCs w:val="20"/>
            </w:rPr>
            <m:t> = -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J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 w:cs="Times New Roman"/>
                  <w:sz w:val="20"/>
                  <w:szCs w:val="20"/>
                </w:rPr>
              </m:ctrlPr>
            </m:naryPr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i,j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e>
              </m:d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j</m:t>
                  </m:r>
                </m:sub>
              </m:sSub>
            </m:e>
          </m:nary>
        </m:oMath>
      </m:oMathPara>
    </w:p>
    <w:p w14:paraId="2ACA3292" w14:textId="64E5B097" w:rsidR="00537532" w:rsidRPr="0063154A" w:rsidRDefault="00D220FA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</w:rPr>
      </w:pPr>
      <w:r w:rsidRPr="0063154A">
        <w:rPr>
          <w:rFonts w:ascii="Times New Roman" w:eastAsia="Times New Roman" w:hAnsi="Times New Roman" w:cs="Times New Roman"/>
          <w:i/>
          <w:sz w:val="16"/>
          <w:szCs w:val="16"/>
        </w:rPr>
        <w:t>где (i, j) - пары соседних</w:t>
      </w:r>
      <w:r w:rsidR="00331B30" w:rsidRPr="0063154A">
        <w:rPr>
          <w:rFonts w:ascii="Times New Roman" w:eastAsia="Times New Roman" w:hAnsi="Times New Roman" w:cs="Times New Roman"/>
          <w:i/>
          <w:sz w:val="16"/>
          <w:szCs w:val="16"/>
          <w:lang w:val="ru-RU"/>
        </w:rPr>
        <w:t xml:space="preserve"> узлов</w:t>
      </w:r>
      <w:r w:rsidRPr="0063154A">
        <w:rPr>
          <w:rFonts w:ascii="Times New Roman" w:eastAsia="Times New Roman" w:hAnsi="Times New Roman" w:cs="Times New Roman"/>
          <w:i/>
          <w:sz w:val="16"/>
          <w:szCs w:val="16"/>
        </w:rPr>
        <w:t>, J - коэффициент взаимодействия</w:t>
      </w:r>
    </w:p>
    <w:p w14:paraId="2A02D140" w14:textId="77777777" w:rsidR="00537532" w:rsidRPr="0063154A" w:rsidRDefault="00537532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49223F4B" w14:textId="203A8BA5" w:rsidR="00537532" w:rsidRPr="0063154A" w:rsidRDefault="00331B30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Статистическая сумма</w:t>
      </w:r>
      <w:r w:rsidR="00D220FA" w:rsidRPr="0063154A">
        <w:rPr>
          <w:rFonts w:ascii="Times New Roman" w:eastAsia="Times New Roman" w:hAnsi="Times New Roman" w:cs="Times New Roman"/>
          <w:sz w:val="20"/>
          <w:szCs w:val="20"/>
        </w:rPr>
        <w:t xml:space="preserve"> для каждой конформации вычисляется по всем возможным наборам значений спинов.</w:t>
      </w:r>
    </w:p>
    <w:p w14:paraId="41E2FF2E" w14:textId="39497663" w:rsidR="00537532" w:rsidRPr="0063154A" w:rsidRDefault="00AF1727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m:oMathPara>
        <m:oMath>
          <m:r>
            <w:rPr>
              <w:rFonts w:ascii="Times New Roman" w:eastAsia="Times New Roman" w:hAnsi="Times New Roman" w:cs="Times New Roman"/>
              <w:sz w:val="20"/>
              <w:szCs w:val="20"/>
            </w:rPr>
            <m:t xml:space="preserve">Z = 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{σ}</m:t>
              </m:r>
            </m:sub>
            <m:sup/>
            <m:e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0"/>
                      <w:szCs w:val="20"/>
                    </w:rPr>
                    <m:t>H(σ)</m:t>
                  </m:r>
                  <m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m:t>β</m:t>
                  </m:r>
                </m:sup>
              </m:sSup>
            </m:e>
          </m:nary>
          <m:r>
            <w:rPr>
              <w:rFonts w:ascii="Times New Roman" w:eastAsia="Times New Roman" w:hAnsi="Times New Roman" w:cs="Times New Roman"/>
              <w:sz w:val="20"/>
              <w:szCs w:val="20"/>
            </w:rPr>
            <m:t>, β</m:t>
          </m:r>
          <m:r>
            <m:rPr>
              <m:sty m:val="bi"/>
            </m:rPr>
            <w:rPr>
              <w:rFonts w:ascii="Times New Roman" w:eastAsia="Times New Roman" w:hAnsi="Times New Roman" w:cs="Times New Roman"/>
              <w:sz w:val="20"/>
              <w:szCs w:val="20"/>
            </w:rPr>
            <m:t xml:space="preserve"> = </m:t>
          </m:r>
          <m:f>
            <m:fPr>
              <m:ctrlPr>
                <w:rPr>
                  <w:rFonts w:ascii="Times New Roman" w:eastAsia="Times New Roman" w:hAnsi="Times New Roman" w:cs="Times New Roman"/>
                  <w:sz w:val="16"/>
                  <w:szCs w:val="16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16"/>
                  <w:szCs w:val="16"/>
                </w:rPr>
                <m:t>1</m:t>
              </m:r>
            </m:num>
            <m:den>
              <m:r>
                <w:rPr>
                  <w:rFonts w:ascii="Times New Roman" w:eastAsia="Times New Roman" w:hAnsi="Times New Roman" w:cs="Times New Roman"/>
                  <w:sz w:val="16"/>
                  <w:szCs w:val="16"/>
                </w:rPr>
                <m:t>kT</m:t>
              </m:r>
            </m:den>
          </m:f>
        </m:oMath>
      </m:oMathPara>
    </w:p>
    <w:p w14:paraId="3C6466DF" w14:textId="77777777" w:rsidR="00537532" w:rsidRPr="0063154A" w:rsidRDefault="00D220FA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</w:rPr>
      </w:pPr>
      <w:r w:rsidRPr="0063154A">
        <w:rPr>
          <w:rFonts w:ascii="Times New Roman" w:eastAsia="Times New Roman" w:hAnsi="Times New Roman" w:cs="Times New Roman"/>
          <w:i/>
          <w:sz w:val="16"/>
          <w:szCs w:val="16"/>
        </w:rPr>
        <w:t>T - температура, k - постоянная Больцмана</w:t>
      </w:r>
    </w:p>
    <w:p w14:paraId="72CB46B6" w14:textId="77777777" w:rsidR="00537532" w:rsidRPr="0063154A" w:rsidRDefault="00537532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7B649BD1" w14:textId="768648D3" w:rsidR="00537532" w:rsidRPr="0063154A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Расчет модели </w:t>
      </w:r>
      <w:proofErr w:type="spellStart"/>
      <w:r w:rsidRPr="0063154A">
        <w:rPr>
          <w:rFonts w:ascii="Times New Roman" w:eastAsia="Times New Roman" w:hAnsi="Times New Roman" w:cs="Times New Roman"/>
          <w:sz w:val="20"/>
          <w:szCs w:val="20"/>
        </w:rPr>
        <w:t>Изинга</w:t>
      </w:r>
      <w:proofErr w:type="spellEnd"/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 происходит по алгоритму Вольфа [</w:t>
      </w:r>
      <w:r w:rsidR="0054283E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6</w:t>
      </w:r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] с кластерным апдейтом. Мы случайным образом инициализируем спины на конформации, делаем некоторое число шагов для отжига модели. После отжига на каждом шаге замеряем энергию и намагниченность. Усреднив полученные значения по шагам, получаем средние значения намагниченности </w:t>
      </w:r>
      <m:oMath>
        <m:r>
          <w:rPr>
            <w:rFonts w:ascii="Times New Roman" w:eastAsia="Times New Roman" w:hAnsi="Times New Roman" w:cs="Times New Roman"/>
            <w:sz w:val="20"/>
            <w:szCs w:val="20"/>
          </w:rPr>
          <m:t>⟨m⟩</m:t>
        </m:r>
      </m:oMath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 и энергии </w:t>
      </w:r>
      <m:oMath>
        <m:r>
          <w:rPr>
            <w:rFonts w:ascii="Times New Roman" w:eastAsia="Times New Roman" w:hAnsi="Times New Roman" w:cs="Times New Roman"/>
            <w:sz w:val="20"/>
            <w:szCs w:val="20"/>
          </w:rPr>
          <m:t>⟨E⟩</m:t>
        </m:r>
      </m:oMath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 для конформации.</w:t>
      </w:r>
    </w:p>
    <w:p w14:paraId="18A4B4F3" w14:textId="56E6D7EF" w:rsidR="00B34966" w:rsidRPr="0063154A" w:rsidRDefault="009E2783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Задача</w:t>
      </w:r>
      <w:r w:rsidR="00B34966" w:rsidRPr="0063154A">
        <w:rPr>
          <w:rFonts w:ascii="Times New Roman" w:eastAsia="Times New Roman" w:hAnsi="Times New Roman" w:cs="Times New Roman"/>
          <w:sz w:val="20"/>
          <w:szCs w:val="20"/>
        </w:rPr>
        <w:t xml:space="preserve"> с замороженным беспорядком, соответственно по замороженным переменным усредняются физические наблюдаемые</w:t>
      </w:r>
      <w:r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: средняя намагниченность и энергия для ансамбля вычисляется, как средняя энергия и намагниченность по конформациям.</w:t>
      </w:r>
    </w:p>
    <w:p w14:paraId="1A2693BB" w14:textId="70F6C5CF" w:rsidR="00D220FA" w:rsidRPr="0063154A" w:rsidRDefault="00D220FA" w:rsidP="00D220FA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60F9C2C" w14:textId="77777777" w:rsidR="009E2783" w:rsidRPr="0063154A" w:rsidRDefault="009E2783" w:rsidP="00D220FA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C2BD3DF" w14:textId="77777777" w:rsidR="00537532" w:rsidRPr="0063154A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3154A">
        <w:rPr>
          <w:rFonts w:ascii="Times New Roman" w:eastAsia="Times New Roman" w:hAnsi="Times New Roman" w:cs="Times New Roman"/>
          <w:b/>
          <w:sz w:val="20"/>
          <w:szCs w:val="20"/>
        </w:rPr>
        <w:t>Поиск точки перехода</w:t>
      </w:r>
    </w:p>
    <w:p w14:paraId="786BF6B6" w14:textId="77777777" w:rsidR="00537532" w:rsidRPr="0063154A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3154A">
        <w:rPr>
          <w:rFonts w:ascii="Times New Roman" w:eastAsia="Times New Roman" w:hAnsi="Times New Roman" w:cs="Times New Roman"/>
          <w:sz w:val="20"/>
          <w:szCs w:val="20"/>
        </w:rPr>
        <w:t>Для исследования были сгенерированы по 1000 конформаций длины 250, 500, 1000, 2000.</w:t>
      </w:r>
    </w:p>
    <w:p w14:paraId="60E4A91D" w14:textId="4635DB69" w:rsidR="00537532" w:rsidRPr="0063154A" w:rsidRDefault="00D220FA" w:rsidP="00927B28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При рассмотрении конформаций полученных при генерации </w:t>
      </w:r>
      <w:r w:rsidR="002B45DE" w:rsidRPr="0063154A">
        <w:rPr>
          <w:rFonts w:ascii="Times New Roman" w:eastAsia="Times New Roman" w:hAnsi="Times New Roman" w:cs="Times New Roman"/>
          <w:sz w:val="20"/>
          <w:szCs w:val="20"/>
        </w:rPr>
        <w:t>оказалось,</w:t>
      </w:r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 что около 35% из них не намагничиваются при низких температурах. Из-за большой разницы в намагниченности от конформации к конформации при вычислении средней намагниченности и </w:t>
      </w:r>
      <w:proofErr w:type="spellStart"/>
      <w:r w:rsidRPr="0063154A">
        <w:rPr>
          <w:rFonts w:ascii="Times New Roman" w:eastAsia="Times New Roman" w:hAnsi="Times New Roman" w:cs="Times New Roman"/>
          <w:sz w:val="20"/>
          <w:szCs w:val="20"/>
        </w:rPr>
        <w:t>кумулянта</w:t>
      </w:r>
      <w:proofErr w:type="spellEnd"/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 Биндера [</w:t>
      </w:r>
      <w:r w:rsidR="0054283E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7</w:t>
      </w:r>
      <w:r w:rsidRPr="0063154A">
        <w:rPr>
          <w:rFonts w:ascii="Times New Roman" w:eastAsia="Times New Roman" w:hAnsi="Times New Roman" w:cs="Times New Roman"/>
          <w:sz w:val="20"/>
          <w:szCs w:val="20"/>
        </w:rPr>
        <w:t>]</w:t>
      </w:r>
      <w:r w:rsidR="008D5B8E" w:rsidRPr="0063154A">
        <w:rPr>
          <w:rFonts w:ascii="Times New Roman" w:eastAsia="Times New Roman" w:hAnsi="Times New Roman" w:cs="Times New Roman"/>
          <w:sz w:val="20"/>
          <w:szCs w:val="20"/>
        </w:rPr>
        <w:br/>
      </w:r>
      <m:oMathPara>
        <m:oMath>
          <m:r>
            <w:rPr>
              <w:rFonts w:ascii="Cambria Math" w:eastAsia="Times New Roman" w:hAnsi="Cambria Math" w:cs="Times New Roman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Times New Roman" w:eastAsia="Times New Roman" w:hAnsi="Times New Roman" w:cs="Times New Roman"/>
              <w:sz w:val="20"/>
              <w:szCs w:val="20"/>
              <w:lang w:val="ru-RU"/>
            </w:rPr>
            <w:br/>
          </m:r>
        </m:oMath>
      </m:oMathPara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мы получаем большие погрешности, что не позволяет определить точку перехода. Следующей задачей стало определить способ выделения намагничивающихся конформаций из сгенерированного набора. </w:t>
      </w:r>
    </w:p>
    <w:p w14:paraId="7B757420" w14:textId="0366AFA1" w:rsidR="00537532" w:rsidRPr="0063154A" w:rsidRDefault="00D220FA" w:rsidP="00C55F0E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3154A">
        <w:rPr>
          <w:rFonts w:ascii="Times New Roman" w:eastAsia="Times New Roman" w:hAnsi="Times New Roman" w:cs="Times New Roman"/>
          <w:sz w:val="20"/>
          <w:szCs w:val="20"/>
        </w:rPr>
        <w:t>Первым рассмотренным способом разделения конформаций на магнитные и немагнитные стало вычисление их радиуса инерции. Из предположения что магнитные конформации более плотные и имеют меньший радиус инерции.</w:t>
      </w:r>
    </w:p>
    <w:p w14:paraId="63F4F811" w14:textId="1DEA789E" w:rsidR="00537532" w:rsidRPr="0063154A" w:rsidRDefault="00D220FA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b/>
          <w:color w:val="202122"/>
          <w:sz w:val="20"/>
          <w:szCs w:val="20"/>
        </w:rPr>
      </w:pPr>
      <m:oMathPara>
        <m:oMath>
          <m:r>
            <m:rPr>
              <m:sty m:val="bi"/>
            </m:rPr>
            <w:rPr>
              <w:rFonts w:ascii="Times New Roman" w:eastAsia="Times New Roman" w:hAnsi="Times New Roman" w:cs="Times New Roman"/>
              <w:color w:val="202122"/>
              <w:sz w:val="20"/>
              <w:szCs w:val="20"/>
            </w:rPr>
            <m:t>R=</m:t>
          </m:r>
          <m:rad>
            <m:radPr>
              <m:degHide m:val="1"/>
              <m:ctrlPr>
                <w:rPr>
                  <w:rFonts w:ascii="Times New Roman" w:eastAsia="Times New Roman" w:hAnsi="Times New Roman" w:cs="Times New Roman"/>
                  <w:b/>
                  <w:color w:val="202122"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Times New Roman" w:eastAsia="Times New Roman" w:hAnsi="Times New Roman" w:cs="Times New Roman"/>
                      <w:b/>
                      <w:color w:val="202122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Times New Roman" w:eastAsia="Times New Roman" w:hAnsi="Times New Roman" w:cs="Times New Roman"/>
                      <w:color w:val="202122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Times New Roman" w:eastAsia="Times New Roman" w:hAnsi="Times New Roman" w:cs="Times New Roman"/>
                      <w:color w:val="202122"/>
                      <w:sz w:val="20"/>
                      <w:szCs w:val="20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Times New Roman" w:eastAsia="Times New Roman" w:hAnsi="Times New Roman" w:cs="Times New Roman"/>
                      <w:b/>
                      <w:color w:val="202122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Times New Roman" w:eastAsia="Times New Roman" w:hAnsi="Times New Roman" w:cs="Times New Roman"/>
                      <w:color w:val="202122"/>
                      <w:sz w:val="20"/>
                      <w:szCs w:val="20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Times New Roman" w:eastAsia="Times New Roman" w:hAnsi="Times New Roman" w:cs="Times New Roman"/>
                      <w:color w:val="202122"/>
                      <w:sz w:val="20"/>
                      <w:szCs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color w:val="202122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color w:val="202122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202122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202122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202122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1BA4BE2C" w14:textId="72F33A9C" w:rsidR="00537532" w:rsidRPr="0063154A" w:rsidRDefault="00D220FA" w:rsidP="00C55F0E">
      <w:pPr>
        <w:spacing w:before="20" w:line="240" w:lineRule="auto"/>
        <w:jc w:val="center"/>
        <w:rPr>
          <w:rFonts w:ascii="Times New Roman" w:eastAsia="Times New Roman" w:hAnsi="Times New Roman" w:cs="Times New Roman"/>
          <w:i/>
          <w:color w:val="202122"/>
          <w:sz w:val="16"/>
          <w:szCs w:val="16"/>
        </w:rPr>
      </w:pPr>
      <w:r w:rsidRPr="0063154A">
        <w:rPr>
          <w:rFonts w:ascii="Times New Roman" w:eastAsia="Times New Roman" w:hAnsi="Times New Roman" w:cs="Times New Roman"/>
          <w:i/>
          <w:color w:val="202122"/>
          <w:sz w:val="16"/>
          <w:szCs w:val="16"/>
        </w:rPr>
        <w:t xml:space="preserve">где </w:t>
      </w:r>
      <m:oMath>
        <m:sSub>
          <m:sSubPr>
            <m:ctrlPr>
              <w:rPr>
                <w:rFonts w:ascii="Times New Roman" w:eastAsia="Times New Roman" w:hAnsi="Times New Roman" w:cs="Times New Roman"/>
                <w:i/>
                <w:color w:val="202122"/>
                <w:sz w:val="16"/>
                <w:szCs w:val="16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color w:val="202122"/>
                <w:sz w:val="16"/>
                <w:szCs w:val="16"/>
              </w:rPr>
              <m:t>r</m:t>
            </m:r>
          </m:e>
          <m:sub>
            <m:r>
              <w:rPr>
                <w:rFonts w:ascii="Times New Roman" w:eastAsia="Times New Roman" w:hAnsi="Times New Roman" w:cs="Times New Roman"/>
                <w:color w:val="202122"/>
                <w:sz w:val="16"/>
                <w:szCs w:val="16"/>
              </w:rPr>
              <m:t>i</m:t>
            </m:r>
          </m:sub>
        </m:sSub>
      </m:oMath>
      <w:r w:rsidRPr="0063154A">
        <w:rPr>
          <w:rFonts w:ascii="Times New Roman" w:eastAsia="Times New Roman" w:hAnsi="Times New Roman" w:cs="Times New Roman"/>
          <w:i/>
          <w:color w:val="202122"/>
          <w:sz w:val="16"/>
          <w:szCs w:val="16"/>
        </w:rPr>
        <w:t xml:space="preserve"> - расстояние от i-й вершины, до центра масс конформации</w:t>
      </w:r>
    </w:p>
    <w:p w14:paraId="1A206AF0" w14:textId="6122A6DB" w:rsidR="00537532" w:rsidRPr="0063154A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3154A">
        <w:rPr>
          <w:rFonts w:ascii="Times New Roman" w:eastAsia="Times New Roman" w:hAnsi="Times New Roman" w:cs="Times New Roman"/>
          <w:sz w:val="20"/>
          <w:szCs w:val="20"/>
        </w:rPr>
        <w:t>Эксперименты с этим способом показали, что таким образом можно выделить наборы конформаций разных длин</w:t>
      </w:r>
      <w:r w:rsidR="009A16A0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Pr="0063154A">
        <w:rPr>
          <w:rFonts w:ascii="Times New Roman" w:eastAsia="Times New Roman" w:hAnsi="Times New Roman" w:cs="Times New Roman"/>
          <w:sz w:val="20"/>
          <w:szCs w:val="20"/>
        </w:rPr>
        <w:t>так</w:t>
      </w:r>
      <w:r w:rsidR="009A16A0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,</w:t>
      </w:r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 что для них </w:t>
      </w:r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будет возможно найти точку перехода. Несмотря на это данный вариант разделения оказался неподходящим по нескольким причинам: радиус инерции нелинейно зависит от длины конформаций, некоторым значениям радиуса инерции соответствуют конформации с совершенно разными значениями намагниченности. Последняя причина особенно важна, так как она означает, что при расчётах мы либо будем оставлять </w:t>
      </w:r>
      <w:r w:rsidR="00F00455" w:rsidRPr="0063154A">
        <w:rPr>
          <w:rFonts w:ascii="Times New Roman" w:eastAsia="Times New Roman" w:hAnsi="Times New Roman" w:cs="Times New Roman"/>
          <w:sz w:val="20"/>
          <w:szCs w:val="20"/>
        </w:rPr>
        <w:t>не намагничивающиеся</w:t>
      </w:r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 конформации либо отбрасывать намагничивающиеся.</w:t>
      </w:r>
      <w:r w:rsidRPr="0063154A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56D5AE5E" wp14:editId="5E8F1FD8">
            <wp:extent cx="2686050" cy="1603583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t="1044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603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E2F2BD" w14:textId="77777777" w:rsidR="00C55F0E" w:rsidRPr="0063154A" w:rsidRDefault="00D220FA" w:rsidP="00A01B42">
      <w:pPr>
        <w:spacing w:before="20" w:line="240" w:lineRule="auto"/>
        <w:ind w:firstLine="425"/>
        <w:jc w:val="center"/>
        <w:rPr>
          <w:rFonts w:ascii="Times New Roman" w:eastAsia="Times New Roman" w:hAnsi="Times New Roman" w:cs="Times New Roman"/>
          <w:i/>
          <w:sz w:val="16"/>
          <w:szCs w:val="16"/>
        </w:rPr>
      </w:pPr>
      <w:r w:rsidRPr="0063154A">
        <w:rPr>
          <w:rFonts w:ascii="Times New Roman" w:eastAsia="Times New Roman" w:hAnsi="Times New Roman" w:cs="Times New Roman"/>
          <w:i/>
          <w:sz w:val="16"/>
          <w:szCs w:val="16"/>
        </w:rPr>
        <w:t xml:space="preserve">Рисунок 2. График </w:t>
      </w:r>
      <w:proofErr w:type="spellStart"/>
      <w:r w:rsidRPr="0063154A">
        <w:rPr>
          <w:rFonts w:ascii="Times New Roman" w:eastAsia="Times New Roman" w:hAnsi="Times New Roman" w:cs="Times New Roman"/>
          <w:i/>
          <w:sz w:val="16"/>
          <w:szCs w:val="16"/>
        </w:rPr>
        <w:t>кумулянтов</w:t>
      </w:r>
      <w:proofErr w:type="spellEnd"/>
      <w:r w:rsidRPr="0063154A">
        <w:rPr>
          <w:rFonts w:ascii="Times New Roman" w:eastAsia="Times New Roman" w:hAnsi="Times New Roman" w:cs="Times New Roman"/>
          <w:i/>
          <w:sz w:val="16"/>
          <w:szCs w:val="16"/>
        </w:rPr>
        <w:t xml:space="preserve"> полученный при приблизительном разделении конформаций по радиусу</w:t>
      </w:r>
      <w:r w:rsidR="00C55F0E" w:rsidRPr="0063154A">
        <w:rPr>
          <w:rFonts w:ascii="Times New Roman" w:eastAsia="Times New Roman" w:hAnsi="Times New Roman" w:cs="Times New Roman"/>
          <w:i/>
          <w:sz w:val="16"/>
          <w:szCs w:val="16"/>
          <w:lang w:val="ru-RU"/>
        </w:rPr>
        <w:t xml:space="preserve"> </w:t>
      </w:r>
      <w:r w:rsidRPr="0063154A">
        <w:rPr>
          <w:rFonts w:ascii="Times New Roman" w:eastAsia="Times New Roman" w:hAnsi="Times New Roman" w:cs="Times New Roman"/>
          <w:i/>
          <w:sz w:val="16"/>
          <w:szCs w:val="16"/>
        </w:rPr>
        <w:t>инерции</w:t>
      </w:r>
    </w:p>
    <w:p w14:paraId="68B34191" w14:textId="52D07345" w:rsidR="00537532" w:rsidRPr="0063154A" w:rsidRDefault="00D220FA" w:rsidP="00C55F0E">
      <w:pPr>
        <w:spacing w:before="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3154A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33C57730" wp14:editId="397A3E7C">
            <wp:extent cx="2686050" cy="1803400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E74359" w14:textId="77777777" w:rsidR="00537532" w:rsidRPr="0063154A" w:rsidRDefault="00D220FA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</w:rPr>
      </w:pPr>
      <w:r w:rsidRPr="0063154A">
        <w:rPr>
          <w:rFonts w:ascii="Times New Roman" w:eastAsia="Times New Roman" w:hAnsi="Times New Roman" w:cs="Times New Roman"/>
          <w:i/>
          <w:sz w:val="16"/>
          <w:szCs w:val="16"/>
        </w:rPr>
        <w:t>Рисунок 3. график значений квадрата намагниченности и радиуса инерции для конформаций длины 1000</w:t>
      </w:r>
    </w:p>
    <w:p w14:paraId="260F87D9" w14:textId="77777777" w:rsidR="00537532" w:rsidRPr="0063154A" w:rsidRDefault="00537532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CDB537E" w14:textId="77777777" w:rsidR="00537532" w:rsidRPr="0063154A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 w:rsidRPr="0063154A">
        <w:rPr>
          <w:rFonts w:ascii="Times New Roman" w:eastAsia="Times New Roman" w:hAnsi="Times New Roman" w:cs="Times New Roman"/>
          <w:b/>
          <w:sz w:val="20"/>
          <w:szCs w:val="20"/>
        </w:rPr>
        <w:t>Кластеризованные</w:t>
      </w:r>
      <w:proofErr w:type="spellEnd"/>
      <w:r w:rsidRPr="0063154A">
        <w:rPr>
          <w:rFonts w:ascii="Times New Roman" w:eastAsia="Times New Roman" w:hAnsi="Times New Roman" w:cs="Times New Roman"/>
          <w:b/>
          <w:sz w:val="20"/>
          <w:szCs w:val="20"/>
        </w:rPr>
        <w:t xml:space="preserve"> конформации</w:t>
      </w:r>
    </w:p>
    <w:p w14:paraId="451EE370" w14:textId="5AC026FA" w:rsidR="00537532" w:rsidRPr="0063154A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3154A">
        <w:rPr>
          <w:rFonts w:ascii="Times New Roman" w:eastAsia="Times New Roman" w:hAnsi="Times New Roman" w:cs="Times New Roman"/>
          <w:sz w:val="20"/>
          <w:szCs w:val="20"/>
        </w:rPr>
        <w:t>При анализе результатов разделения конформаций по радиусу инерции был построен искусственный пример немагнитной конформации с малым радиусом инерции (Рис.3</w:t>
      </w:r>
      <w:r w:rsidR="004E2E9D" w:rsidRPr="0063154A">
        <w:rPr>
          <w:rFonts w:ascii="Times New Roman" w:eastAsia="Times New Roman" w:hAnsi="Times New Roman" w:cs="Times New Roman"/>
          <w:sz w:val="20"/>
          <w:szCs w:val="20"/>
        </w:rPr>
        <w:t>).</w:t>
      </w:r>
    </w:p>
    <w:p w14:paraId="4D081149" w14:textId="77777777" w:rsidR="00537532" w:rsidRPr="0063154A" w:rsidRDefault="00D220FA" w:rsidP="00A01B42">
      <w:pPr>
        <w:spacing w:before="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3154A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21BBF0EB" wp14:editId="421620FE">
            <wp:extent cx="2686050" cy="1778000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8BEFF1" w14:textId="77777777" w:rsidR="00537532" w:rsidRPr="0063154A" w:rsidRDefault="00D220FA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</w:rPr>
      </w:pPr>
      <w:r w:rsidRPr="0063154A">
        <w:rPr>
          <w:rFonts w:ascii="Times New Roman" w:eastAsia="Times New Roman" w:hAnsi="Times New Roman" w:cs="Times New Roman"/>
          <w:i/>
          <w:sz w:val="16"/>
          <w:szCs w:val="16"/>
        </w:rPr>
        <w:t>Рисунок 4. Пример конформации с двумя кластерами</w:t>
      </w:r>
    </w:p>
    <w:p w14:paraId="1880C2E6" w14:textId="3A93318F" w:rsidR="00537532" w:rsidRPr="0063154A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3154A">
        <w:rPr>
          <w:rFonts w:ascii="Times New Roman" w:eastAsia="Times New Roman" w:hAnsi="Times New Roman" w:cs="Times New Roman"/>
          <w:sz w:val="20"/>
          <w:szCs w:val="20"/>
        </w:rPr>
        <w:t>Она состоит из двух плотных двумерных магнитных доменов (далее кластеры), соединённых одномерной цепочкой (далее мост). Из-за разделяющей цепочки данные кластеры намагничиваются почти независимо друг от друга, из-за чего значения спинов в них с вероятностью</w:t>
      </w:r>
      <w:r w:rsidR="000A687D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="00162D85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близкой к </w:t>
      </w:r>
      <w:r w:rsidR="003A3878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1/2</w:t>
      </w:r>
      <w:r w:rsidR="000A687D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Pr="0063154A">
        <w:rPr>
          <w:rFonts w:ascii="Times New Roman" w:eastAsia="Times New Roman" w:hAnsi="Times New Roman" w:cs="Times New Roman"/>
          <w:sz w:val="20"/>
          <w:szCs w:val="20"/>
        </w:rPr>
        <w:t>окажутся противоположными</w:t>
      </w:r>
      <w:r w:rsidR="006D0F35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(если в каком-то состоянии изменить направление спинов в одном из кластеров на противоположные, гамильтониан изменится на ±</w:t>
      </w:r>
      <w:r w:rsidR="006D0F35" w:rsidRPr="0063154A">
        <w:rPr>
          <w:rFonts w:ascii="Times New Roman" w:eastAsia="Times New Roman" w:hAnsi="Times New Roman" w:cs="Times New Roman"/>
          <w:sz w:val="20"/>
          <w:szCs w:val="20"/>
          <w:lang w:val="en-US"/>
        </w:rPr>
        <w:t>J</w:t>
      </w:r>
      <w:r w:rsidR="006D0F35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, </w:t>
      </w:r>
      <w:r w:rsidR="00A7401E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а</w:t>
      </w:r>
      <w:r w:rsidR="006D0F35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вероятность данного состояния почти не изменится)</w:t>
      </w:r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6254C2" w:rsidRPr="0063154A">
        <w:rPr>
          <w:rFonts w:ascii="Times New Roman" w:eastAsia="Times New Roman" w:hAnsi="Times New Roman" w:cs="Times New Roman"/>
          <w:sz w:val="20"/>
          <w:szCs w:val="20"/>
        </w:rPr>
        <w:t>Естественно,</w:t>
      </w:r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 при увеличении числа кластеров или длин мостов намагниченность конформации становится ещё меньше.</w:t>
      </w:r>
    </w:p>
    <w:p w14:paraId="16C91DD4" w14:textId="77777777" w:rsidR="00503850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3154A">
        <w:rPr>
          <w:rFonts w:ascii="Times New Roman" w:eastAsia="Times New Roman" w:hAnsi="Times New Roman" w:cs="Times New Roman"/>
          <w:sz w:val="20"/>
          <w:szCs w:val="20"/>
        </w:rPr>
        <w:t>Учитывая полученный пример, для более полного анализа конформаций на наличие кластеров была написана программа для определения кластеров и мостов.</w:t>
      </w:r>
    </w:p>
    <w:p w14:paraId="1EC1BCEF" w14:textId="286DC91D" w:rsidR="00537532" w:rsidRPr="0063154A" w:rsidRDefault="00D220FA" w:rsidP="00503850">
      <w:pPr>
        <w:spacing w:before="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3154A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65FC7DE6" wp14:editId="2276C14A">
            <wp:extent cx="2454275" cy="162748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1627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79EC54" w14:textId="77777777" w:rsidR="00537532" w:rsidRPr="0063154A" w:rsidRDefault="00D220FA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</w:rPr>
      </w:pPr>
      <w:r w:rsidRPr="0063154A">
        <w:rPr>
          <w:rFonts w:ascii="Times New Roman" w:eastAsia="Times New Roman" w:hAnsi="Times New Roman" w:cs="Times New Roman"/>
          <w:i/>
          <w:sz w:val="16"/>
          <w:szCs w:val="16"/>
        </w:rPr>
        <w:t>Рисунок 5. Пример выделения кластеров и мостов на конформации</w:t>
      </w:r>
    </w:p>
    <w:p w14:paraId="256BFB47" w14:textId="77777777" w:rsidR="00537532" w:rsidRPr="0063154A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3154A">
        <w:rPr>
          <w:rFonts w:ascii="Times New Roman" w:eastAsia="Times New Roman" w:hAnsi="Times New Roman" w:cs="Times New Roman"/>
          <w:sz w:val="20"/>
          <w:szCs w:val="20"/>
        </w:rPr>
        <w:t>Данный алгоритм позволяет нам определить количество и размеры мостов и кластеров. Так же он не учитывает мосты, которые соединяют один и тот же кластер, так как они не имеют структурной значимости.</w:t>
      </w:r>
    </w:p>
    <w:p w14:paraId="41641746" w14:textId="77777777" w:rsidR="00A96437" w:rsidRDefault="00D220FA" w:rsidP="00A96437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3154A">
        <w:rPr>
          <w:rFonts w:ascii="Times New Roman" w:eastAsia="Times New Roman" w:hAnsi="Times New Roman" w:cs="Times New Roman"/>
          <w:sz w:val="20"/>
          <w:szCs w:val="20"/>
        </w:rPr>
        <w:t>Анализ кластеров и мостов в конформациях происходит на 10000 конформациях длины 1000. Как и ожидалось, число кластеров, мостов и их размеры напрямую влияют на значение намагниченности. Особенно хорошо это видно при рассмотрении размера наибольшего кластера в конформации (рис. 6). На данный момент разделение конформаций, основанное на этом параметре</w:t>
      </w:r>
      <w:r w:rsidR="00404AC7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,</w:t>
      </w:r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 выглядит наиболее перспективным, так как в данном способе не наблюдается большого разброса значений намагниченности при равных размерах кластера, и намагниченность конформаций зависит от размера кластера почти линейно.</w:t>
      </w:r>
    </w:p>
    <w:p w14:paraId="4D3EA0F0" w14:textId="72F5239C" w:rsidR="00537532" w:rsidRPr="0063154A" w:rsidRDefault="00D220FA" w:rsidP="00A96437">
      <w:pPr>
        <w:spacing w:before="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3154A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40E1FA77" wp14:editId="3852851E">
            <wp:extent cx="2686050" cy="18034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223E28" w14:textId="15B755E8" w:rsidR="00A24879" w:rsidRPr="0063154A" w:rsidRDefault="00D220FA" w:rsidP="00A24879">
      <w:pPr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</w:rPr>
      </w:pPr>
      <w:r w:rsidRPr="0063154A">
        <w:rPr>
          <w:rFonts w:ascii="Times New Roman" w:eastAsia="Times New Roman" w:hAnsi="Times New Roman" w:cs="Times New Roman"/>
          <w:i/>
          <w:sz w:val="16"/>
          <w:szCs w:val="16"/>
        </w:rPr>
        <w:t>Рисунок 6. график значений квадрата намагниченности и размера наибольшего кластера для конформаций длины 1000</w:t>
      </w:r>
    </w:p>
    <w:p w14:paraId="2D559DEE" w14:textId="4447815B" w:rsidR="00A24879" w:rsidRPr="0063154A" w:rsidRDefault="00A24879" w:rsidP="00175587">
      <w:pPr>
        <w:spacing w:before="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63A479E" w14:textId="6DFEAD35" w:rsidR="000768F4" w:rsidRPr="0063154A" w:rsidRDefault="000768F4" w:rsidP="000768F4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  <w:r w:rsidRPr="0063154A"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t>Заключение</w:t>
      </w:r>
    </w:p>
    <w:p w14:paraId="5E47CEF3" w14:textId="2937F587" w:rsidR="000768F4" w:rsidRPr="0063154A" w:rsidRDefault="00C55F0E" w:rsidP="000768F4">
      <w:pPr>
        <w:spacing w:before="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В работе рассмотрена модель </w:t>
      </w:r>
      <w:proofErr w:type="spellStart"/>
      <w:r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Изинга</w:t>
      </w:r>
      <w:proofErr w:type="spellEnd"/>
      <w:r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на ансамблях конф</w:t>
      </w:r>
      <w:r w:rsidR="00346510">
        <w:rPr>
          <w:rFonts w:ascii="Times New Roman" w:eastAsia="Times New Roman" w:hAnsi="Times New Roman" w:cs="Times New Roman"/>
          <w:sz w:val="20"/>
          <w:szCs w:val="20"/>
          <w:lang w:val="ru-RU"/>
        </w:rPr>
        <w:t>о</w:t>
      </w:r>
      <w:r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рмаций. На данный момент реализован метод численного исследования свойств модели. М</w:t>
      </w:r>
      <w:r w:rsidR="002463EB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ы рассмотрели модель </w:t>
      </w:r>
      <w:proofErr w:type="spellStart"/>
      <w:r w:rsidR="002463EB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Изинга</w:t>
      </w:r>
      <w:proofErr w:type="spellEnd"/>
      <w:r w:rsidR="002463EB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на нескольких наборах конформаций, однако из-за разнообразия сгенерированных конформаций, мы не можем определить точку магнитного перехода. </w:t>
      </w:r>
      <w:r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Б</w:t>
      </w:r>
      <w:r w:rsidR="002463EB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ыл предложен алгоритм, позволяющий определить глобулярные конформации среди множества сгенерированных. Используя этот алгоритм, мы планируем выдел</w:t>
      </w:r>
      <w:r w:rsidR="00957051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и</w:t>
      </w:r>
      <w:r w:rsidR="002463EB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ть наборы глобулярных конформаций, и искать точку перехода для них</w:t>
      </w:r>
      <w:r w:rsidR="00BF6738">
        <w:rPr>
          <w:rFonts w:ascii="Times New Roman" w:eastAsia="Times New Roman" w:hAnsi="Times New Roman" w:cs="Times New Roman"/>
          <w:sz w:val="20"/>
          <w:szCs w:val="20"/>
          <w:lang w:val="ru-RU"/>
        </w:rPr>
        <w:t>.</w:t>
      </w:r>
    </w:p>
    <w:p w14:paraId="43810323" w14:textId="77777777" w:rsidR="000768F4" w:rsidRPr="0063154A" w:rsidRDefault="000768F4" w:rsidP="00175587">
      <w:pPr>
        <w:spacing w:before="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5BBC5D7" w14:textId="77752275" w:rsidR="00537532" w:rsidRPr="0063154A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3154A">
        <w:rPr>
          <w:rFonts w:ascii="Times New Roman" w:eastAsia="Times New Roman" w:hAnsi="Times New Roman" w:cs="Times New Roman"/>
          <w:b/>
          <w:sz w:val="20"/>
          <w:szCs w:val="20"/>
        </w:rPr>
        <w:t>Список литературы</w:t>
      </w:r>
    </w:p>
    <w:p w14:paraId="4FA193CF" w14:textId="347F1A82" w:rsidR="00537532" w:rsidRPr="0063154A" w:rsidRDefault="00D220FA" w:rsidP="000A221A">
      <w:pPr>
        <w:numPr>
          <w:ilvl w:val="0"/>
          <w:numId w:val="2"/>
        </w:numPr>
        <w:spacing w:before="2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154A">
        <w:rPr>
          <w:rFonts w:ascii="Times New Roman" w:hAnsi="Times New Roman" w:cs="Times New Roman"/>
          <w:sz w:val="20"/>
          <w:szCs w:val="20"/>
          <w:lang w:val="en-US"/>
        </w:rPr>
        <w:t>Ernst Ising, Contribution to the Theory of Ferromagnetism, 1925</w:t>
      </w:r>
      <w:r w:rsidR="00CF748C" w:rsidRPr="0063154A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B28AB1F" w14:textId="4D9FE56B" w:rsidR="009A3A6E" w:rsidRPr="0063154A" w:rsidRDefault="009A3A6E" w:rsidP="009A3A6E">
      <w:pPr>
        <w:numPr>
          <w:ilvl w:val="0"/>
          <w:numId w:val="2"/>
        </w:numPr>
        <w:spacing w:before="2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154A">
        <w:rPr>
          <w:rFonts w:ascii="Times New Roman" w:hAnsi="Times New Roman" w:cs="Times New Roman"/>
          <w:sz w:val="20"/>
          <w:szCs w:val="20"/>
          <w:lang w:val="en-US"/>
        </w:rPr>
        <w:t xml:space="preserve">F. </w:t>
      </w:r>
      <w:proofErr w:type="spellStart"/>
      <w:r w:rsidRPr="0063154A">
        <w:rPr>
          <w:rFonts w:ascii="Times New Roman" w:hAnsi="Times New Roman" w:cs="Times New Roman"/>
          <w:sz w:val="20"/>
          <w:szCs w:val="20"/>
          <w:lang w:val="en-US"/>
        </w:rPr>
        <w:t>Vonderviszt</w:t>
      </w:r>
      <w:proofErr w:type="spellEnd"/>
      <w:r w:rsidRPr="0063154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63154A">
        <w:rPr>
          <w:rFonts w:ascii="Times New Roman" w:hAnsi="Times New Roman" w:cs="Times New Roman"/>
          <w:sz w:val="20"/>
          <w:szCs w:val="20"/>
          <w:lang w:val="en-US"/>
        </w:rPr>
        <w:t>E.Bereczk</w:t>
      </w:r>
      <w:proofErr w:type="gramEnd"/>
      <w:r w:rsidRPr="0063154A">
        <w:rPr>
          <w:rFonts w:ascii="Times New Roman" w:hAnsi="Times New Roman" w:cs="Times New Roman"/>
          <w:sz w:val="20"/>
          <w:szCs w:val="20"/>
          <w:lang w:val="en-US"/>
        </w:rPr>
        <w:t>-Tompa</w:t>
      </w:r>
      <w:proofErr w:type="spellEnd"/>
      <w:r w:rsidRPr="0063154A">
        <w:rPr>
          <w:rFonts w:ascii="Times New Roman" w:hAnsi="Times New Roman" w:cs="Times New Roman"/>
          <w:sz w:val="20"/>
          <w:szCs w:val="20"/>
          <w:lang w:val="en-US"/>
        </w:rPr>
        <w:t xml:space="preserve">, B. Horvath, I. </w:t>
      </w:r>
      <w:proofErr w:type="spellStart"/>
      <w:r w:rsidRPr="0063154A">
        <w:rPr>
          <w:rFonts w:ascii="Times New Roman" w:hAnsi="Times New Roman" w:cs="Times New Roman"/>
          <w:sz w:val="20"/>
          <w:szCs w:val="20"/>
          <w:lang w:val="en-US"/>
        </w:rPr>
        <w:t>Szalaid</w:t>
      </w:r>
      <w:proofErr w:type="spellEnd"/>
      <w:r w:rsidRPr="0063154A">
        <w:rPr>
          <w:rFonts w:ascii="Times New Roman" w:hAnsi="Times New Roman" w:cs="Times New Roman"/>
          <w:sz w:val="20"/>
          <w:szCs w:val="20"/>
          <w:lang w:val="en-US"/>
        </w:rPr>
        <w:t xml:space="preserve">, and M. </w:t>
      </w:r>
      <w:proofErr w:type="spellStart"/>
      <w:r w:rsidRPr="0063154A">
        <w:rPr>
          <w:rFonts w:ascii="Times New Roman" w:hAnsi="Times New Roman" w:cs="Times New Roman"/>
          <w:sz w:val="20"/>
          <w:szCs w:val="20"/>
          <w:lang w:val="en-US"/>
        </w:rPr>
        <w:t>Posfai</w:t>
      </w:r>
      <w:proofErr w:type="spellEnd"/>
      <w:r w:rsidRPr="0063154A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63154A">
        <w:rPr>
          <w:rFonts w:ascii="Times New Roman" w:hAnsi="Times New Roman" w:cs="Times New Roman"/>
          <w:sz w:val="20"/>
          <w:szCs w:val="20"/>
          <w:lang w:val="en-US"/>
        </w:rPr>
        <w:t>Biotemplated</w:t>
      </w:r>
      <w:proofErr w:type="spellEnd"/>
      <w:r w:rsidRPr="0063154A">
        <w:rPr>
          <w:rFonts w:ascii="Times New Roman" w:hAnsi="Times New Roman" w:cs="Times New Roman"/>
          <w:sz w:val="20"/>
          <w:szCs w:val="20"/>
          <w:lang w:val="en-US"/>
        </w:rPr>
        <w:t xml:space="preserve"> synthesis of magnetic filaments. Nanoscale, 9:15062, 2017.</w:t>
      </w:r>
    </w:p>
    <w:p w14:paraId="0A312AF1" w14:textId="2232BE2F" w:rsidR="009A3A6E" w:rsidRPr="0063154A" w:rsidRDefault="0054283E" w:rsidP="0054283E">
      <w:pPr>
        <w:numPr>
          <w:ilvl w:val="0"/>
          <w:numId w:val="2"/>
        </w:numPr>
        <w:spacing w:before="2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154A">
        <w:rPr>
          <w:rFonts w:ascii="Times New Roman" w:hAnsi="Times New Roman" w:cs="Times New Roman"/>
          <w:sz w:val="20"/>
          <w:szCs w:val="20"/>
          <w:lang w:val="en-US"/>
        </w:rPr>
        <w:t xml:space="preserve">J.J. </w:t>
      </w:r>
      <w:proofErr w:type="spellStart"/>
      <w:r w:rsidRPr="0063154A">
        <w:rPr>
          <w:rFonts w:ascii="Times New Roman" w:hAnsi="Times New Roman" w:cs="Times New Roman"/>
          <w:sz w:val="20"/>
          <w:szCs w:val="20"/>
          <w:lang w:val="en-US"/>
        </w:rPr>
        <w:t>Benkoski</w:t>
      </w:r>
      <w:proofErr w:type="spellEnd"/>
      <w:r w:rsidRPr="0063154A">
        <w:rPr>
          <w:rFonts w:ascii="Times New Roman" w:hAnsi="Times New Roman" w:cs="Times New Roman"/>
          <w:sz w:val="20"/>
          <w:szCs w:val="20"/>
          <w:lang w:val="en-US"/>
        </w:rPr>
        <w:t xml:space="preserve">, S.E. Bowles, R.L. Jones, J.F. Douglas, J. </w:t>
      </w:r>
      <w:proofErr w:type="spellStart"/>
      <w:r w:rsidRPr="0063154A">
        <w:rPr>
          <w:rFonts w:ascii="Times New Roman" w:hAnsi="Times New Roman" w:cs="Times New Roman"/>
          <w:sz w:val="20"/>
          <w:szCs w:val="20"/>
          <w:lang w:val="en-US"/>
        </w:rPr>
        <w:t>Pyun</w:t>
      </w:r>
      <w:proofErr w:type="spellEnd"/>
      <w:r w:rsidRPr="0063154A">
        <w:rPr>
          <w:rFonts w:ascii="Times New Roman" w:hAnsi="Times New Roman" w:cs="Times New Roman"/>
          <w:sz w:val="20"/>
          <w:szCs w:val="20"/>
          <w:lang w:val="en-US"/>
        </w:rPr>
        <w:t xml:space="preserve">, and A. Karim. Self-assembly of </w:t>
      </w:r>
      <w:proofErr w:type="spellStart"/>
      <w:r w:rsidRPr="0063154A">
        <w:rPr>
          <w:rFonts w:ascii="Times New Roman" w:hAnsi="Times New Roman" w:cs="Times New Roman"/>
          <w:sz w:val="20"/>
          <w:szCs w:val="20"/>
          <w:lang w:val="en-US"/>
        </w:rPr>
        <w:t>polymercoated</w:t>
      </w:r>
      <w:proofErr w:type="spellEnd"/>
      <w:r w:rsidRPr="0063154A">
        <w:rPr>
          <w:rFonts w:ascii="Times New Roman" w:hAnsi="Times New Roman" w:cs="Times New Roman"/>
          <w:sz w:val="20"/>
          <w:szCs w:val="20"/>
          <w:lang w:val="en-US"/>
        </w:rPr>
        <w:t xml:space="preserve"> ferromagnetic nanoparticles into mesoscopic polymer chains. J. </w:t>
      </w:r>
      <w:proofErr w:type="spellStart"/>
      <w:r w:rsidRPr="0063154A">
        <w:rPr>
          <w:rFonts w:ascii="Times New Roman" w:hAnsi="Times New Roman" w:cs="Times New Roman"/>
          <w:sz w:val="20"/>
          <w:szCs w:val="20"/>
          <w:lang w:val="en-US"/>
        </w:rPr>
        <w:t>Polym</w:t>
      </w:r>
      <w:proofErr w:type="spellEnd"/>
      <w:r w:rsidRPr="0063154A">
        <w:rPr>
          <w:rFonts w:ascii="Times New Roman" w:hAnsi="Times New Roman" w:cs="Times New Roman"/>
          <w:sz w:val="20"/>
          <w:szCs w:val="20"/>
          <w:lang w:val="en-US"/>
        </w:rPr>
        <w:t xml:space="preserve">. Sci., Part B: </w:t>
      </w:r>
      <w:proofErr w:type="spellStart"/>
      <w:r w:rsidRPr="0063154A">
        <w:rPr>
          <w:rFonts w:ascii="Times New Roman" w:hAnsi="Times New Roman" w:cs="Times New Roman"/>
          <w:sz w:val="20"/>
          <w:szCs w:val="20"/>
          <w:lang w:val="en-US"/>
        </w:rPr>
        <w:t>Polym</w:t>
      </w:r>
      <w:proofErr w:type="spellEnd"/>
      <w:r w:rsidRPr="0063154A">
        <w:rPr>
          <w:rFonts w:ascii="Times New Roman" w:hAnsi="Times New Roman" w:cs="Times New Roman"/>
          <w:sz w:val="20"/>
          <w:szCs w:val="20"/>
          <w:lang w:val="en-US"/>
        </w:rPr>
        <w:t>. Phys.,</w:t>
      </w:r>
      <w:r w:rsidRPr="0063154A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63154A">
        <w:rPr>
          <w:rFonts w:ascii="Times New Roman" w:hAnsi="Times New Roman" w:cs="Times New Roman"/>
          <w:sz w:val="20"/>
          <w:szCs w:val="20"/>
          <w:lang w:val="en-US"/>
        </w:rPr>
        <w:t>46:2267, 2008.</w:t>
      </w:r>
    </w:p>
    <w:p w14:paraId="72F5D143" w14:textId="210A0F9F" w:rsidR="000A221A" w:rsidRPr="0063154A" w:rsidRDefault="000A221A" w:rsidP="000A221A">
      <w:pPr>
        <w:numPr>
          <w:ilvl w:val="0"/>
          <w:numId w:val="2"/>
        </w:numPr>
        <w:spacing w:before="2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154A">
        <w:rPr>
          <w:rFonts w:ascii="Times New Roman" w:hAnsi="Times New Roman" w:cs="Times New Roman"/>
          <w:sz w:val="20"/>
          <w:szCs w:val="20"/>
          <w:lang w:val="en-US"/>
        </w:rPr>
        <w:t xml:space="preserve">K. </w:t>
      </w:r>
      <w:proofErr w:type="spellStart"/>
      <w:r w:rsidRPr="0063154A">
        <w:rPr>
          <w:rFonts w:ascii="Times New Roman" w:hAnsi="Times New Roman" w:cs="Times New Roman"/>
          <w:sz w:val="20"/>
          <w:szCs w:val="20"/>
          <w:lang w:val="en-US"/>
        </w:rPr>
        <w:t>Faizullina</w:t>
      </w:r>
      <w:proofErr w:type="spellEnd"/>
      <w:r w:rsidRPr="0063154A">
        <w:rPr>
          <w:rFonts w:ascii="Times New Roman" w:hAnsi="Times New Roman" w:cs="Times New Roman"/>
          <w:sz w:val="20"/>
          <w:szCs w:val="20"/>
          <w:lang w:val="en-US"/>
        </w:rPr>
        <w:t xml:space="preserve">, I. </w:t>
      </w:r>
      <w:proofErr w:type="spellStart"/>
      <w:r w:rsidRPr="0063154A">
        <w:rPr>
          <w:rFonts w:ascii="Times New Roman" w:hAnsi="Times New Roman" w:cs="Times New Roman"/>
          <w:sz w:val="20"/>
          <w:szCs w:val="20"/>
          <w:lang w:val="en-US"/>
        </w:rPr>
        <w:t>Pchelintsev</w:t>
      </w:r>
      <w:proofErr w:type="spellEnd"/>
      <w:r w:rsidRPr="0063154A">
        <w:rPr>
          <w:rFonts w:ascii="Times New Roman" w:hAnsi="Times New Roman" w:cs="Times New Roman"/>
          <w:sz w:val="20"/>
          <w:szCs w:val="20"/>
          <w:lang w:val="en-US"/>
        </w:rPr>
        <w:t xml:space="preserve">, E. </w:t>
      </w:r>
      <w:proofErr w:type="spellStart"/>
      <w:r w:rsidRPr="0063154A">
        <w:rPr>
          <w:rFonts w:ascii="Times New Roman" w:hAnsi="Times New Roman" w:cs="Times New Roman"/>
          <w:sz w:val="20"/>
          <w:szCs w:val="20"/>
          <w:lang w:val="en-US"/>
        </w:rPr>
        <w:t>Burovski</w:t>
      </w:r>
      <w:proofErr w:type="spellEnd"/>
      <w:r w:rsidRPr="0063154A">
        <w:rPr>
          <w:rFonts w:ascii="Times New Roman" w:hAnsi="Times New Roman" w:cs="Times New Roman"/>
          <w:sz w:val="20"/>
          <w:szCs w:val="20"/>
          <w:lang w:val="en-US"/>
        </w:rPr>
        <w:t>, Critical and geometric properties of magnetic polymers across the globule-coil transition. Phys. Rev. E 104, 054501, 2021.</w:t>
      </w:r>
    </w:p>
    <w:p w14:paraId="3BDF8FCE" w14:textId="0DF67896" w:rsidR="00400E01" w:rsidRPr="0063154A" w:rsidRDefault="00400E01" w:rsidP="000A221A">
      <w:pPr>
        <w:numPr>
          <w:ilvl w:val="0"/>
          <w:numId w:val="2"/>
        </w:numPr>
        <w:spacing w:before="2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proofErr w:type="spellStart"/>
      <w:r w:rsidRPr="0063154A">
        <w:rPr>
          <w:rFonts w:ascii="Times New Roman" w:hAnsi="Times New Roman" w:cs="Times New Roman"/>
          <w:sz w:val="20"/>
          <w:szCs w:val="20"/>
          <w:lang w:val="en-US"/>
        </w:rPr>
        <w:t>Git</w:t>
      </w:r>
      <w:r w:rsidR="007D168C" w:rsidRPr="0063154A">
        <w:rPr>
          <w:rFonts w:ascii="Times New Roman" w:hAnsi="Times New Roman" w:cs="Times New Roman"/>
          <w:sz w:val="20"/>
          <w:szCs w:val="20"/>
          <w:lang w:val="en-US"/>
        </w:rPr>
        <w:t>hub</w:t>
      </w:r>
      <w:proofErr w:type="spellEnd"/>
      <w:r w:rsidRPr="0063154A">
        <w:rPr>
          <w:rFonts w:ascii="Times New Roman" w:hAnsi="Times New Roman" w:cs="Times New Roman"/>
          <w:sz w:val="20"/>
          <w:szCs w:val="20"/>
          <w:lang w:val="ru-RU"/>
        </w:rPr>
        <w:t xml:space="preserve"> репозиторий проекта </w:t>
      </w:r>
      <w:r w:rsidRPr="0063154A">
        <w:rPr>
          <w:rFonts w:ascii="Times New Roman" w:hAnsi="Times New Roman" w:cs="Times New Roman"/>
          <w:sz w:val="20"/>
          <w:szCs w:val="20"/>
          <w:lang w:val="en-US"/>
        </w:rPr>
        <w:t>https</w:t>
      </w:r>
      <w:r w:rsidRPr="0063154A">
        <w:rPr>
          <w:rFonts w:ascii="Times New Roman" w:hAnsi="Times New Roman" w:cs="Times New Roman"/>
          <w:sz w:val="20"/>
          <w:szCs w:val="20"/>
          <w:lang w:val="ru-RU"/>
        </w:rPr>
        <w:t>://</w:t>
      </w:r>
      <w:proofErr w:type="spellStart"/>
      <w:r w:rsidRPr="0063154A">
        <w:rPr>
          <w:rFonts w:ascii="Times New Roman" w:hAnsi="Times New Roman" w:cs="Times New Roman"/>
          <w:sz w:val="20"/>
          <w:szCs w:val="20"/>
          <w:lang w:val="en-US"/>
        </w:rPr>
        <w:t>github</w:t>
      </w:r>
      <w:proofErr w:type="spellEnd"/>
      <w:r w:rsidRPr="0063154A">
        <w:rPr>
          <w:rFonts w:ascii="Times New Roman" w:hAnsi="Times New Roman" w:cs="Times New Roman"/>
          <w:sz w:val="20"/>
          <w:szCs w:val="20"/>
          <w:lang w:val="ru-RU"/>
        </w:rPr>
        <w:t>.</w:t>
      </w:r>
      <w:r w:rsidRPr="0063154A">
        <w:rPr>
          <w:rFonts w:ascii="Times New Roman" w:hAnsi="Times New Roman" w:cs="Times New Roman"/>
          <w:sz w:val="20"/>
          <w:szCs w:val="20"/>
          <w:lang w:val="en-US"/>
        </w:rPr>
        <w:t>com</w:t>
      </w:r>
      <w:r w:rsidRPr="0063154A">
        <w:rPr>
          <w:rFonts w:ascii="Times New Roman" w:hAnsi="Times New Roman" w:cs="Times New Roman"/>
          <w:sz w:val="20"/>
          <w:szCs w:val="20"/>
          <w:lang w:val="ru-RU"/>
        </w:rPr>
        <w:t>/</w:t>
      </w:r>
      <w:proofErr w:type="spellStart"/>
      <w:r w:rsidRPr="0063154A">
        <w:rPr>
          <w:rFonts w:ascii="Times New Roman" w:hAnsi="Times New Roman" w:cs="Times New Roman"/>
          <w:sz w:val="20"/>
          <w:szCs w:val="20"/>
          <w:lang w:val="en-US"/>
        </w:rPr>
        <w:t>MoskalenkoRomanBorisovich</w:t>
      </w:r>
      <w:proofErr w:type="spellEnd"/>
      <w:r w:rsidRPr="0063154A">
        <w:rPr>
          <w:rFonts w:ascii="Times New Roman" w:hAnsi="Times New Roman" w:cs="Times New Roman"/>
          <w:sz w:val="20"/>
          <w:szCs w:val="20"/>
          <w:lang w:val="ru-RU"/>
        </w:rPr>
        <w:t>/</w:t>
      </w:r>
      <w:r w:rsidRPr="0063154A">
        <w:rPr>
          <w:rFonts w:ascii="Times New Roman" w:hAnsi="Times New Roman" w:cs="Times New Roman"/>
          <w:sz w:val="20"/>
          <w:szCs w:val="20"/>
          <w:lang w:val="en-US"/>
        </w:rPr>
        <w:t>Ising</w:t>
      </w:r>
      <w:r w:rsidRPr="0063154A">
        <w:rPr>
          <w:rFonts w:ascii="Times New Roman" w:hAnsi="Times New Roman" w:cs="Times New Roman"/>
          <w:sz w:val="20"/>
          <w:szCs w:val="20"/>
          <w:lang w:val="ru-RU"/>
        </w:rPr>
        <w:t>-</w:t>
      </w:r>
      <w:r w:rsidRPr="0063154A">
        <w:rPr>
          <w:rFonts w:ascii="Times New Roman" w:hAnsi="Times New Roman" w:cs="Times New Roman"/>
          <w:sz w:val="20"/>
          <w:szCs w:val="20"/>
          <w:lang w:val="en-US"/>
        </w:rPr>
        <w:t>on</w:t>
      </w:r>
      <w:r w:rsidRPr="0063154A">
        <w:rPr>
          <w:rFonts w:ascii="Times New Roman" w:hAnsi="Times New Roman" w:cs="Times New Roman"/>
          <w:sz w:val="20"/>
          <w:szCs w:val="20"/>
          <w:lang w:val="ru-RU"/>
        </w:rPr>
        <w:t>-</w:t>
      </w:r>
      <w:r w:rsidRPr="0063154A">
        <w:rPr>
          <w:rFonts w:ascii="Times New Roman" w:hAnsi="Times New Roman" w:cs="Times New Roman"/>
          <w:sz w:val="20"/>
          <w:szCs w:val="20"/>
          <w:lang w:val="en-US"/>
        </w:rPr>
        <w:t>random</w:t>
      </w:r>
      <w:r w:rsidRPr="0063154A">
        <w:rPr>
          <w:rFonts w:ascii="Times New Roman" w:hAnsi="Times New Roman" w:cs="Times New Roman"/>
          <w:sz w:val="20"/>
          <w:szCs w:val="20"/>
          <w:lang w:val="ru-RU"/>
        </w:rPr>
        <w:t>-</w:t>
      </w:r>
      <w:r w:rsidRPr="0063154A">
        <w:rPr>
          <w:rFonts w:ascii="Times New Roman" w:hAnsi="Times New Roman" w:cs="Times New Roman"/>
          <w:sz w:val="20"/>
          <w:szCs w:val="20"/>
          <w:lang w:val="en-US"/>
        </w:rPr>
        <w:t>conformation</w:t>
      </w:r>
      <w:r w:rsidR="00CF748C" w:rsidRPr="0063154A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04B0552D" w14:textId="25AF592A" w:rsidR="00537532" w:rsidRPr="0063154A" w:rsidRDefault="00D220FA" w:rsidP="000A221A">
      <w:pPr>
        <w:numPr>
          <w:ilvl w:val="0"/>
          <w:numId w:val="2"/>
        </w:numPr>
        <w:spacing w:before="2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154A">
        <w:rPr>
          <w:rFonts w:ascii="Times New Roman" w:hAnsi="Times New Roman" w:cs="Times New Roman"/>
          <w:sz w:val="20"/>
          <w:szCs w:val="20"/>
          <w:lang w:val="en-US"/>
        </w:rPr>
        <w:t>U. Wolff, Collective Monte Carlo Updating for Spin Systems. Physical Review Letters. 62 (4): 361–364, 1989</w:t>
      </w:r>
      <w:r w:rsidR="00CF748C" w:rsidRPr="0063154A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BC0652D" w14:textId="7EDA0D25" w:rsidR="00537532" w:rsidRPr="0063154A" w:rsidRDefault="00D220FA" w:rsidP="000A221A">
      <w:pPr>
        <w:numPr>
          <w:ilvl w:val="0"/>
          <w:numId w:val="2"/>
        </w:numPr>
        <w:spacing w:before="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3154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K. Binder, Finite size scaling analysis of </w:t>
      </w:r>
      <w:proofErr w:type="spellStart"/>
      <w:r w:rsidRPr="0063154A">
        <w:rPr>
          <w:rFonts w:ascii="Times New Roman" w:eastAsia="Times New Roman" w:hAnsi="Times New Roman" w:cs="Times New Roman"/>
          <w:sz w:val="20"/>
          <w:szCs w:val="20"/>
          <w:lang w:val="en-US"/>
        </w:rPr>
        <w:t>ising</w:t>
      </w:r>
      <w:proofErr w:type="spellEnd"/>
      <w:r w:rsidRPr="0063154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model block distribution functions. </w:t>
      </w:r>
      <w:proofErr w:type="spellStart"/>
      <w:r w:rsidRPr="0063154A">
        <w:rPr>
          <w:rFonts w:ascii="Times New Roman" w:eastAsia="Times New Roman" w:hAnsi="Times New Roman" w:cs="Times New Roman"/>
          <w:sz w:val="20"/>
          <w:szCs w:val="20"/>
          <w:lang w:val="en-US"/>
        </w:rPr>
        <w:t>Zeitschrift</w:t>
      </w:r>
      <w:proofErr w:type="spellEnd"/>
      <w:r w:rsidRPr="0063154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für </w:t>
      </w:r>
      <w:proofErr w:type="spellStart"/>
      <w:r w:rsidRPr="0063154A">
        <w:rPr>
          <w:rFonts w:ascii="Times New Roman" w:eastAsia="Times New Roman" w:hAnsi="Times New Roman" w:cs="Times New Roman"/>
          <w:sz w:val="20"/>
          <w:szCs w:val="20"/>
          <w:lang w:val="en-US"/>
        </w:rPr>
        <w:t>Physik</w:t>
      </w:r>
      <w:proofErr w:type="spellEnd"/>
      <w:r w:rsidRPr="0063154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B: Condensed Matter. 43 (2): 119–140, </w:t>
      </w:r>
      <w:r w:rsidRPr="0063154A">
        <w:rPr>
          <w:color w:val="202122"/>
          <w:sz w:val="19"/>
          <w:szCs w:val="19"/>
          <w:lang w:val="en-US"/>
        </w:rPr>
        <w:t>1981</w:t>
      </w:r>
      <w:r w:rsidR="00CF748C" w:rsidRPr="0063154A">
        <w:rPr>
          <w:color w:val="202122"/>
          <w:sz w:val="19"/>
          <w:szCs w:val="19"/>
          <w:lang w:val="en-US"/>
        </w:rPr>
        <w:t>.</w:t>
      </w:r>
    </w:p>
    <w:sectPr w:rsidR="00537532" w:rsidRPr="0063154A" w:rsidSect="00962090">
      <w:pgSz w:w="21892" w:h="30951" w:code="8"/>
      <w:pgMar w:top="1440" w:right="1440" w:bottom="1440" w:left="1440" w:header="284" w:footer="1134" w:gutter="0"/>
      <w:pgNumType w:start="1"/>
      <w:cols w:num="3" w:space="566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50EEC"/>
    <w:multiLevelType w:val="multilevel"/>
    <w:tmpl w:val="975C0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3C2658"/>
    <w:multiLevelType w:val="multilevel"/>
    <w:tmpl w:val="961AC8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01639576">
    <w:abstractNumId w:val="1"/>
  </w:num>
  <w:num w:numId="2" w16cid:durableId="794179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7532"/>
    <w:rsid w:val="00001A1B"/>
    <w:rsid w:val="000768F4"/>
    <w:rsid w:val="000A221A"/>
    <w:rsid w:val="000A687D"/>
    <w:rsid w:val="00105A7A"/>
    <w:rsid w:val="00153AF1"/>
    <w:rsid w:val="00162D85"/>
    <w:rsid w:val="00175587"/>
    <w:rsid w:val="001A2241"/>
    <w:rsid w:val="001D3B66"/>
    <w:rsid w:val="002463EB"/>
    <w:rsid w:val="002751B3"/>
    <w:rsid w:val="002773C2"/>
    <w:rsid w:val="002B45DE"/>
    <w:rsid w:val="00303D27"/>
    <w:rsid w:val="00327A11"/>
    <w:rsid w:val="00330830"/>
    <w:rsid w:val="00331A4C"/>
    <w:rsid w:val="00331B30"/>
    <w:rsid w:val="00346510"/>
    <w:rsid w:val="003A3878"/>
    <w:rsid w:val="00400E01"/>
    <w:rsid w:val="00404AC7"/>
    <w:rsid w:val="004D63EB"/>
    <w:rsid w:val="004E2E9D"/>
    <w:rsid w:val="00503850"/>
    <w:rsid w:val="00537532"/>
    <w:rsid w:val="0054283E"/>
    <w:rsid w:val="005564A1"/>
    <w:rsid w:val="005945FD"/>
    <w:rsid w:val="005963A3"/>
    <w:rsid w:val="005A0605"/>
    <w:rsid w:val="005B64EB"/>
    <w:rsid w:val="006041C3"/>
    <w:rsid w:val="006254C2"/>
    <w:rsid w:val="0063154A"/>
    <w:rsid w:val="00656FD9"/>
    <w:rsid w:val="006D0F35"/>
    <w:rsid w:val="00736504"/>
    <w:rsid w:val="0074037D"/>
    <w:rsid w:val="00766627"/>
    <w:rsid w:val="00777134"/>
    <w:rsid w:val="007969CF"/>
    <w:rsid w:val="007B0624"/>
    <w:rsid w:val="007D168C"/>
    <w:rsid w:val="007E2E11"/>
    <w:rsid w:val="008D3134"/>
    <w:rsid w:val="008D5B8E"/>
    <w:rsid w:val="00927B28"/>
    <w:rsid w:val="00933E0C"/>
    <w:rsid w:val="00943234"/>
    <w:rsid w:val="00957051"/>
    <w:rsid w:val="00962090"/>
    <w:rsid w:val="00966929"/>
    <w:rsid w:val="00981A01"/>
    <w:rsid w:val="009A16A0"/>
    <w:rsid w:val="009A3A6E"/>
    <w:rsid w:val="009B1FF7"/>
    <w:rsid w:val="009E058B"/>
    <w:rsid w:val="009E2783"/>
    <w:rsid w:val="00A01B42"/>
    <w:rsid w:val="00A24879"/>
    <w:rsid w:val="00A7401E"/>
    <w:rsid w:val="00A96437"/>
    <w:rsid w:val="00AF1727"/>
    <w:rsid w:val="00B0148C"/>
    <w:rsid w:val="00B34966"/>
    <w:rsid w:val="00B75311"/>
    <w:rsid w:val="00BE51C1"/>
    <w:rsid w:val="00BF6738"/>
    <w:rsid w:val="00C205DD"/>
    <w:rsid w:val="00C55F0E"/>
    <w:rsid w:val="00C76593"/>
    <w:rsid w:val="00CF748C"/>
    <w:rsid w:val="00D220FA"/>
    <w:rsid w:val="00D5292C"/>
    <w:rsid w:val="00D63516"/>
    <w:rsid w:val="00D6682B"/>
    <w:rsid w:val="00D727AF"/>
    <w:rsid w:val="00DB04EC"/>
    <w:rsid w:val="00DB1C2D"/>
    <w:rsid w:val="00DC2CF4"/>
    <w:rsid w:val="00DE1CF8"/>
    <w:rsid w:val="00E01F6B"/>
    <w:rsid w:val="00E463AA"/>
    <w:rsid w:val="00E714A3"/>
    <w:rsid w:val="00E90D81"/>
    <w:rsid w:val="00EF5A99"/>
    <w:rsid w:val="00F00455"/>
    <w:rsid w:val="00F92A06"/>
    <w:rsid w:val="00FB04C2"/>
    <w:rsid w:val="00FF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E841A"/>
  <w15:docId w15:val="{1016C353-3892-448F-B634-8C7465D64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4D63EB"/>
    <w:rPr>
      <w:color w:val="808080"/>
    </w:rPr>
  </w:style>
  <w:style w:type="character" w:styleId="a6">
    <w:name w:val="Hyperlink"/>
    <w:basedOn w:val="a0"/>
    <w:uiPriority w:val="99"/>
    <w:unhideWhenUsed/>
    <w:rsid w:val="00105A7A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05A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jLcDE7hOhiXr+HcX+Hh+vTvlMQ==">AMUW2mWTCoWTUSuW+t0SI+KP9yqaDwfttF4HTnNiGbwoTFH+74GsCOw/K2FiDmofbv0iy/Hjc0VaL6W1075OuSngR04z8Qgyrx/PfWnGH6HrJAw845ZiSTc=</go:docsCustomData>
</go:gDocsCustomXmlDataStorage>
</file>

<file path=customXml/itemProps1.xml><?xml version="1.0" encoding="utf-8"?>
<ds:datastoreItem xmlns:ds="http://schemas.openxmlformats.org/officeDocument/2006/customXml" ds:itemID="{C3EEB2A1-207F-4DEC-88AB-F01BDD7162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1334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Москаленко Роман Борисович</cp:lastModifiedBy>
  <cp:revision>47</cp:revision>
  <cp:lastPrinted>2022-05-25T20:25:00Z</cp:lastPrinted>
  <dcterms:created xsi:type="dcterms:W3CDTF">2022-03-01T16:14:00Z</dcterms:created>
  <dcterms:modified xsi:type="dcterms:W3CDTF">2022-06-28T18:56:00Z</dcterms:modified>
</cp:coreProperties>
</file>