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STAGE ONE TASK DATA ANALYTICS BOOTCAMP</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CARRIED OUT BY: MOSOBALAJE ABDULMALIK AYOBAMI</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COVID 19 CASE STUDY</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gives an insight to the data trends of the Covid19 virus pandemic of 2020; analysing the spread, infection and recovery rates and aim to provide statistical explanation to the pandemic. </w:t>
      </w:r>
      <w:r w:rsidDel="00000000" w:rsidR="00000000" w:rsidRPr="00000000">
        <w:rPr>
          <w:rFonts w:ascii="Times New Roman" w:cs="Times New Roman" w:eastAsia="Times New Roman" w:hAnsi="Times New Roman"/>
          <w:sz w:val="24"/>
          <w:szCs w:val="24"/>
          <w:rtl w:val="0"/>
        </w:rPr>
        <w:t xml:space="preserve">The data used in this study includes infection rates, recovery rates, and mortality rates across various regions, as well as responses during the pandemic.</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Collection: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was imported from the kaggle data repository. The specific web link being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https://www.kaggle.com/datasets/imdevskp/corona-virus-report/versions/166?resource=download</w:t>
        </w:r>
      </w:hyperlink>
      <w:r w:rsidDel="00000000" w:rsidR="00000000" w:rsidRPr="00000000">
        <w:rPr>
          <w:rFonts w:ascii="Times New Roman" w:cs="Times New Roman" w:eastAsia="Times New Roman" w:hAnsi="Times New Roman"/>
          <w:sz w:val="24"/>
          <w:szCs w:val="24"/>
          <w:rtl w:val="0"/>
        </w:rPr>
        <w:t xml:space="preserve">. The data set was annotated to be sourced from publicly available records such as that from the World Health Organisation (WHO) and the John Hopkins University, USA. </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Variables (Features) and Details: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 208 countries, containing the parameters of  “Country/Region”, “Confirmed”</w:t>
        <w:tab/>
        <w:t xml:space="preserve">“Deaths”,“Recovered”,“Active”,“New cases”,</w:t>
        <w:tab/>
        <w:t xml:space="preserve">“New deaths”,“New recovered”,”Deaths / 100 Cases”</w:t>
        <w:tab/>
        <w:t xml:space="preserve">, ”Recovered / 100 Cases”, “Deaths / 100 Recovered”, “Confirmed last week”, “1 week change”, “1 week % increase”, “WHO Region”. </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 for data collection:</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informing on lockdown rates and responses not publicly available.</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Dataset informing on vaccination and infection rates is much too large (10000+) columns to be successfully condensed and merged with the base data for regions and countries. </w:t>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Timeline and Flow of Operation</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Modules and Libraries Used: Python Pandas, Matplotlib, Seaborn, Numpy and Plotly.</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Cleaning of the data: No null or blank value was found and all data columns have appropriate data types~thus the dataframe requires no extra cleaning.</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3019425" cy="2596706"/>
                <wp:effectExtent b="0" l="0" r="0" t="0"/>
                <wp:docPr id="1" name=""/>
                <a:graphic>
                  <a:graphicData uri="http://schemas.microsoft.com/office/word/2010/wordprocessingGroup">
                    <wpg:wgp>
                      <wpg:cNvGrpSpPr/>
                      <wpg:grpSpPr>
                        <a:xfrm>
                          <a:off x="2161650" y="294100"/>
                          <a:ext cx="3019425" cy="2596706"/>
                          <a:chOff x="2161650" y="294100"/>
                          <a:chExt cx="3312000" cy="2833325"/>
                        </a:xfrm>
                      </wpg:grpSpPr>
                      <wps:wsp>
                        <wps:cNvSpPr/>
                        <wps:cNvPr id="2" name="Shape 2"/>
                        <wps:spPr>
                          <a:xfrm>
                            <a:off x="2969319" y="683287"/>
                            <a:ext cx="354300" cy="466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969319" y="2174163"/>
                            <a:ext cx="354300" cy="466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2969319" y="1401405"/>
                            <a:ext cx="354300" cy="466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2291099" y="294125"/>
                            <a:ext cx="1741800" cy="29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Import Library and Modules</w:t>
                              </w:r>
                            </w:p>
                          </w:txbxContent>
                        </wps:txbx>
                        <wps:bodyPr anchorCtr="0" anchor="t" bIns="91425" lIns="91425" spcFirstLastPara="1" rIns="91425" wrap="square" tIns="91425">
                          <a:noAutofit/>
                        </wps:bodyPr>
                      </wps:wsp>
                      <wps:wsp>
                        <wps:cNvSpPr txBox="1"/>
                        <wps:cNvPr id="6" name="Shape 6"/>
                        <wps:spPr>
                          <a:xfrm>
                            <a:off x="2691711" y="1067977"/>
                            <a:ext cx="1672500" cy="28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Import Dataset </w:t>
                              </w:r>
                            </w:p>
                          </w:txbxContent>
                        </wps:txbx>
                        <wps:bodyPr anchorCtr="0" anchor="t" bIns="91425" lIns="91425" spcFirstLastPara="1" rIns="91425" wrap="square" tIns="91425">
                          <a:noAutofit/>
                        </wps:bodyPr>
                      </wps:wsp>
                      <wps:wsp>
                        <wps:cNvSpPr txBox="1"/>
                        <wps:cNvPr id="7" name="Shape 7"/>
                        <wps:spPr>
                          <a:xfrm>
                            <a:off x="2161650" y="1793374"/>
                            <a:ext cx="331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Overview of data and clean of data</w:t>
                              </w:r>
                            </w:p>
                          </w:txbxContent>
                        </wps:txbx>
                        <wps:bodyPr anchorCtr="0" anchor="t" bIns="91425" lIns="91425" spcFirstLastPara="1" rIns="91425" wrap="square" tIns="91425">
                          <a:spAutoFit/>
                        </wps:bodyPr>
                      </wps:wsp>
                      <wps:wsp>
                        <wps:cNvSpPr txBox="1"/>
                        <wps:cNvPr id="8" name="Shape 8"/>
                        <wps:spPr>
                          <a:xfrm>
                            <a:off x="2345158" y="2619249"/>
                            <a:ext cx="18882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Data Visualisation and Insight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019425" cy="2596706"/>
                <wp:effectExtent b="0" l="0" r="0" t="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019425" cy="25967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Flow of analysis</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Insights and Trends: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Top 10  countries with the highest number of cases confirmed: US, Brazil, India, UK, Russia, S. Africa, Colombia, France, Canada, Peru.</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five countries in terms of number of cases confirmed:  Western Sahara, Holy See, Greenland, St. Kitts and Nevis, Dominica</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the highest active cases: US, Brazil, India, UK, Russia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the largest percentage one week increase: Papua new guinea, Gambia, Bahamas, Zimbabwe, Libya</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the smallest percentage one week increase (lowest spread rate): Jordan (negative. Thus, decreases), Brunei, Dominica, E. Guinea, Fiji</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the smallest percentage one week increase: Yemen,  UK, Belgium, Italy, France,  Hungary, Netherlands, Mexico, Spain, Western Sahara</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of cases by WHO region (Highest to lowest): Americas, Europe, S. East Asia, Eastern Mediterranean, Africa, Western Pacific.</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highest  case fatality rate: Yemen,  UK, Belgium,  Italy, France, Hungary, Netherlands, Mexico, Spain, Western Sahara.</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amxa5x471qw" w:id="0"/>
      <w:bookmarkEnd w:id="0"/>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COVID-19 data has revealed significant global disparities in the spread, severity, and control of the pandemic. Key findings include:</w:t>
      </w:r>
    </w:p>
    <w:p w:rsidR="00000000" w:rsidDel="00000000" w:rsidP="00000000" w:rsidRDefault="00000000" w:rsidRPr="00000000" w14:paraId="00000043">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the Highest Cases: The United States, Brazil, and India have consistently reported the highest confirmed cases due to their large populations, high transmission rates, and initial delays in implementing effective containment measures. These countries also reported the highest active cases, highlighting the persistent challenge of controlling the pandemic.</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the Lowest Cases: Small and isolated countries like Western Sahara, Holy See, and Greenland reported the lowest number of confirmed cases. This is largely attributable to geographic isolation, small populations, and strict border controls.</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Regions with Rapid One-Week Case Increases: Papua New Guinea, Gambia, and Zimbabwe exhibited the fastest-growing case rates over one week, suggesting a potential surge in transmission due to insufficient healthcare infrastructure, delayed interventions, or limited public health measures.</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Regions with Declining Spread Rates: Countries like Jordan and Brunei demonstrated negative or minimal case increases, indicating effective control measures, vaccination campaigns, and adherence to public health guidelines.</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Region Analysis: The Americas and Europe recorded the highest numbers of cases, reflecting their population sizes, economic activity, and initial pandemic spread. Conversely, Africa and the Western Pacific reported significantly fewer cases, likely due to differences in population density, movement patterns, and timely responses.</w:t>
        <w:br w:type="textWrapping"/>
      </w:r>
    </w:p>
    <w:p w:rsidR="00000000" w:rsidDel="00000000" w:rsidP="00000000" w:rsidRDefault="00000000" w:rsidRPr="00000000" w14:paraId="00000048">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Fatality Rates: Yemen, UK, Belgium, and Italy exhibited the highest case fatality rates, pointing to overwhelmed healthcare systems, an aging population, and possibly delays in treatment or resource allocation during the peak of the pandemic.</w:t>
        <w:br w:type="textWrapping"/>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n083bqsqnpqh" w:id="1"/>
      <w:bookmarkEnd w:id="1"/>
      <w:r w:rsidDel="00000000" w:rsidR="00000000" w:rsidRPr="00000000">
        <w:rPr>
          <w:rFonts w:ascii="Times New Roman" w:cs="Times New Roman" w:eastAsia="Times New Roman" w:hAnsi="Times New Roman"/>
          <w:color w:val="000000"/>
          <w:sz w:val="26"/>
          <w:szCs w:val="26"/>
          <w:rtl w:val="0"/>
        </w:rPr>
        <w:t xml:space="preserve">Recommendations</w:t>
      </w:r>
    </w:p>
    <w:p w:rsidR="00000000" w:rsidDel="00000000" w:rsidP="00000000" w:rsidRDefault="00000000" w:rsidRPr="00000000" w14:paraId="0000004B">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Strengthen Global Surveillance and Response:</w:t>
        <w:br w:type="textWrapping"/>
      </w:r>
    </w:p>
    <w:p w:rsidR="00000000" w:rsidDel="00000000" w:rsidP="00000000" w:rsidRDefault="00000000" w:rsidRPr="00000000" w14:paraId="0000004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Interventions for High-Risk Countries:</w:t>
        <w:br w:type="textWrapping"/>
      </w:r>
    </w:p>
    <w:p w:rsidR="00000000" w:rsidDel="00000000" w:rsidP="00000000" w:rsidRDefault="00000000" w:rsidRPr="00000000" w14:paraId="0000004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Low-Income Regions:</w:t>
        <w:br w:type="textWrapping"/>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Collaboration:</w:t>
        <w:br w:type="textWrapping"/>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Awareness Campaigns:</w:t>
        <w:br w:type="textWrapping"/>
      </w:r>
    </w:p>
    <w:p w:rsidR="00000000" w:rsidDel="00000000" w:rsidP="00000000" w:rsidRDefault="00000000" w:rsidRPr="00000000" w14:paraId="00000050">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Long-Term Preparedness:</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VISUALISATION AND GRAPHS</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92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274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926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79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4798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73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751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975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datasets/imdevskp/corona-virus-report/versions/166?resource=download" TargetMode="Externa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