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B3761" w:rsidRDefault="00000000">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Transcript</w:t>
      </w:r>
    </w:p>
    <w:p w14:paraId="00000002" w14:textId="77777777" w:rsidR="003B3761" w:rsidRDefault="00000000">
      <w:pPr>
        <w:pStyle w:val="Heading1"/>
        <w:keepNext w:val="0"/>
        <w:keepLines w:val="0"/>
        <w:spacing w:before="480"/>
        <w:jc w:val="center"/>
        <w:rPr>
          <w:rFonts w:ascii="Times New Roman" w:eastAsia="Times New Roman" w:hAnsi="Times New Roman" w:cs="Times New Roman"/>
          <w:b/>
          <w:bCs/>
          <w:sz w:val="46"/>
          <w:szCs w:val="46"/>
        </w:rPr>
      </w:pPr>
      <w:bookmarkStart w:id="0" w:name="_z831r81jysh7" w:colFirst="0" w:colLast="0"/>
      <w:bookmarkEnd w:id="0"/>
      <w:r>
        <w:rPr>
          <w:rFonts w:ascii="Times New Roman" w:eastAsia="Times New Roman" w:hAnsi="Times New Roman" w:cs="Times New Roman"/>
          <w:b/>
          <w:bCs/>
          <w:sz w:val="46"/>
          <w:szCs w:val="46"/>
        </w:rPr>
        <w:t>Why Colleges Need to Teach the Problem-Solving Mindset</w:t>
      </w:r>
    </w:p>
    <w:p w14:paraId="00000003" w14:textId="77777777" w:rsidR="003B3761" w:rsidRDefault="00000000">
      <w:pPr>
        <w:pStyle w:val="Heading2"/>
        <w:keepNext w:val="0"/>
        <w:keepLines w:val="0"/>
        <w:spacing w:after="80"/>
        <w:rPr>
          <w:rFonts w:ascii="Times New Roman" w:eastAsia="Times New Roman" w:hAnsi="Times New Roman" w:cs="Times New Roman"/>
          <w:b/>
          <w:bCs/>
          <w:sz w:val="30"/>
          <w:szCs w:val="30"/>
        </w:rPr>
      </w:pPr>
      <w:bookmarkStart w:id="1" w:name="_dsuznhciniqk" w:colFirst="0" w:colLast="0"/>
      <w:bookmarkEnd w:id="1"/>
      <w:r>
        <w:rPr>
          <w:rFonts w:ascii="Times New Roman" w:eastAsia="Times New Roman" w:hAnsi="Times New Roman" w:cs="Times New Roman"/>
          <w:b/>
          <w:bCs/>
          <w:sz w:val="30"/>
          <w:szCs w:val="30"/>
        </w:rPr>
        <w:t>The "Google" Trap</w:t>
      </w:r>
    </w:p>
    <w:p w14:paraId="00000004" w14:textId="77777777" w:rsidR="003B376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Is your college degree making you a better problem solver, or just a better "Googler"?</w:t>
      </w:r>
    </w:p>
    <w:p w14:paraId="00000005" w14:textId="77777777" w:rsidR="003B376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Imagine a typical Tuesday afternoon. You are sitting in the library, a complex research prompt open on your laptop. Beside it, your phone buzzes with a group chat notification. You check it. Then, you see a headline about a new AI tool. You click. Ten minutes later, you return to your assignment, but the mental "thread" is gone. You feel a wave of frustration, so you search for a quick template or an existing answer online just to get the task done.</w:t>
      </w:r>
    </w:p>
    <w:p w14:paraId="00000006" w14:textId="77777777" w:rsidR="003B376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the modern world, the greatest enemy of education isn’t a lack of information—it is a lack of focus. We have more data than any generation in history, yet we often feel less capable of solving unique, messy problems. To truly connect classroom learning with real-world application, colleges should move away from traditional, memorization-based testing. Instead, they must foster a "problem-solving mindset" that encourages creative risk-taking and critical analysis. This shift is the only way to equip students with the tools they need to overcome the productivity challenges of our digital age.</w:t>
      </w:r>
    </w:p>
    <w:p w14:paraId="00000007" w14:textId="77777777" w:rsidR="003B3761" w:rsidRDefault="00000000">
      <w:pPr>
        <w:pStyle w:val="Heading2"/>
        <w:keepNext w:val="0"/>
        <w:keepLines w:val="0"/>
        <w:spacing w:after="80"/>
        <w:rPr>
          <w:rFonts w:ascii="Times New Roman" w:eastAsia="Times New Roman" w:hAnsi="Times New Roman" w:cs="Times New Roman"/>
          <w:b/>
          <w:bCs/>
          <w:sz w:val="30"/>
          <w:szCs w:val="30"/>
        </w:rPr>
      </w:pPr>
      <w:bookmarkStart w:id="2" w:name="_86iqveloajhh" w:colFirst="0" w:colLast="0"/>
      <w:bookmarkEnd w:id="2"/>
      <w:r>
        <w:rPr>
          <w:rFonts w:ascii="Times New Roman" w:eastAsia="Times New Roman" w:hAnsi="Times New Roman" w:cs="Times New Roman"/>
          <w:b/>
          <w:bCs/>
          <w:sz w:val="30"/>
          <w:szCs w:val="30"/>
        </w:rPr>
        <w:t>The Digital Bottleneck</w:t>
      </w:r>
    </w:p>
    <w:p w14:paraId="00000008" w14:textId="77777777" w:rsidR="003B376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 often treat multitasking as a badge of honor, but scientifically, it is a burden. When we bounce between a textbook and a TikTok feed, we aren't "saving time." Instead, we are creating a traffic jam in our brains. As researchers Junco and Cotten (2012) point out, "The cognitive costs of switching between tasks can lead to a 'bottleneck' in information processing."</w:t>
      </w:r>
    </w:p>
    <w:p w14:paraId="00000009" w14:textId="4C9E0EAA" w:rsidR="003B376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bottleneck doesn't just slow us down; it lowers the quality of our work. </w:t>
      </w:r>
      <w:r w:rsidR="008D544A">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 xml:space="preserve">Bowman (2010) found that the use of cell phones and other technologies for multitasking has a demonstrably "negative impact on academic performance." If our brains are constantly clearing "clogs" from task-switching, we never reach the state of "Deep Work" required for innovation. This is why the "community of problem solvers" in the workforce is calling for a change. Employers </w:t>
      </w:r>
      <w:r w:rsidR="008D544A">
        <w:rPr>
          <w:rFonts w:ascii="Times New Roman" w:eastAsia="Times New Roman" w:hAnsi="Times New Roman" w:cs="Times New Roman"/>
          <w:sz w:val="24"/>
          <w:szCs w:val="24"/>
        </w:rPr>
        <w:t>not only</w:t>
      </w:r>
      <w:r>
        <w:rPr>
          <w:rFonts w:ascii="Times New Roman" w:eastAsia="Times New Roman" w:hAnsi="Times New Roman" w:cs="Times New Roman"/>
          <w:sz w:val="24"/>
          <w:szCs w:val="24"/>
        </w:rPr>
        <w:t xml:space="preserve"> need people who can find answers </w:t>
      </w:r>
      <w:proofErr w:type="gramStart"/>
      <w:r>
        <w:rPr>
          <w:rFonts w:ascii="Times New Roman" w:eastAsia="Times New Roman" w:hAnsi="Times New Roman" w:cs="Times New Roman"/>
          <w:sz w:val="24"/>
          <w:szCs w:val="24"/>
        </w:rPr>
        <w:t>quickly</w:t>
      </w:r>
      <w:r w:rsidR="008D544A">
        <w:rPr>
          <w:rFonts w:ascii="Times New Roman" w:eastAsia="Times New Roman" w:hAnsi="Times New Roman" w:cs="Times New Roman"/>
          <w:sz w:val="24"/>
          <w:szCs w:val="24"/>
        </w:rPr>
        <w:t>, but</w:t>
      </w:r>
      <w:proofErr w:type="gramEnd"/>
      <w:r w:rsidR="008D544A">
        <w:rPr>
          <w:rFonts w:ascii="Times New Roman" w:eastAsia="Times New Roman" w:hAnsi="Times New Roman" w:cs="Times New Roman"/>
          <w:sz w:val="24"/>
          <w:szCs w:val="24"/>
        </w:rPr>
        <w:t xml:space="preserve"> also</w:t>
      </w:r>
      <w:r>
        <w:rPr>
          <w:rFonts w:ascii="Times New Roman" w:eastAsia="Times New Roman" w:hAnsi="Times New Roman" w:cs="Times New Roman"/>
          <w:sz w:val="24"/>
          <w:szCs w:val="24"/>
        </w:rPr>
        <w:t xml:space="preserve"> need people who can navigate the bottleneck without losing their critical edge.</w:t>
      </w:r>
    </w:p>
    <w:p w14:paraId="0000000A" w14:textId="77777777" w:rsidR="003B3761" w:rsidRDefault="00000000">
      <w:pPr>
        <w:pStyle w:val="Heading2"/>
        <w:keepNext w:val="0"/>
        <w:keepLines w:val="0"/>
        <w:spacing w:after="80"/>
        <w:rPr>
          <w:rFonts w:ascii="Times New Roman" w:eastAsia="Times New Roman" w:hAnsi="Times New Roman" w:cs="Times New Roman"/>
          <w:b/>
          <w:bCs/>
          <w:sz w:val="30"/>
          <w:szCs w:val="30"/>
        </w:rPr>
      </w:pPr>
      <w:bookmarkStart w:id="3" w:name="_hdmc0o55az5j" w:colFirst="0" w:colLast="0"/>
      <w:bookmarkEnd w:id="3"/>
      <w:r>
        <w:rPr>
          <w:rFonts w:ascii="Times New Roman" w:eastAsia="Times New Roman" w:hAnsi="Times New Roman" w:cs="Times New Roman"/>
          <w:b/>
          <w:bCs/>
          <w:sz w:val="30"/>
          <w:szCs w:val="30"/>
        </w:rPr>
        <w:lastRenderedPageBreak/>
        <w:t>The Courage to Be Creative</w:t>
      </w:r>
    </w:p>
    <w:p w14:paraId="0000000B" w14:textId="77777777" w:rsidR="003B376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the bottleneck is the problem, creativity is the fuel for the solution. However, creativity is more than just a "spark" of an idea—it is an act of bravery. Richardson, Henriksen, and Mishra (2017) argue that students must develop the "Courage to be Creative." Why does it take courage? Because true problem-solving involves the risk of being wrong. In a traditional classroom, being wrong usually means a lower grade. But in a problem-solving mindset, being wrong is simply "field research." This courage is scientifically linked to our brain's capacity. According to Hambrick and Engle (2012), "individual differences in working memory capacity are related to the ability to use creative strategies during problem solving." When we have the courage to put down the phone and sit with a difficult problem, we are literally training our working memory to handle higher levels of complexity.</w:t>
      </w:r>
    </w:p>
    <w:p w14:paraId="0000000C" w14:textId="77777777" w:rsidR="003B3761" w:rsidRDefault="00000000">
      <w:pPr>
        <w:pStyle w:val="Heading2"/>
        <w:keepNext w:val="0"/>
        <w:keepLines w:val="0"/>
        <w:spacing w:after="80"/>
        <w:rPr>
          <w:rFonts w:ascii="Times New Roman" w:eastAsia="Times New Roman" w:hAnsi="Times New Roman" w:cs="Times New Roman"/>
          <w:b/>
          <w:bCs/>
          <w:sz w:val="30"/>
          <w:szCs w:val="30"/>
        </w:rPr>
      </w:pPr>
      <w:bookmarkStart w:id="4" w:name="_3ozpe87jqhzv" w:colFirst="0" w:colLast="0"/>
      <w:bookmarkEnd w:id="4"/>
      <w:r>
        <w:rPr>
          <w:rFonts w:ascii="Times New Roman" w:eastAsia="Times New Roman" w:hAnsi="Times New Roman" w:cs="Times New Roman"/>
          <w:b/>
          <w:bCs/>
          <w:sz w:val="30"/>
          <w:szCs w:val="30"/>
        </w:rPr>
        <w:t>The Mechanics of Mastery</w:t>
      </w:r>
    </w:p>
    <w:p w14:paraId="0000000D" w14:textId="77777777" w:rsidR="003B37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When we think about problem-solving, it's easy to categorize it as primarily a mathematical endeavor. However, it is fundamentally more about the ability to coordinate various activities and thought processes. A significant issue in many colleges is their tendency to prioritize the final solution over the process that leads to that solution. This approach often leaves students unprepared for real-world situations where the journey to a solution is just as important, if not more so, than the solution itself.</w:t>
      </w:r>
    </w:p>
    <w:p w14:paraId="0000000E" w14:textId="77777777" w:rsidR="003B37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F" w14:textId="7056AE62" w:rsidR="003B3761" w:rsidRPr="00B70124" w:rsidRDefault="00000000">
      <w:pPr>
        <w:rPr>
          <w:rFonts w:ascii="Times New Roman" w:eastAsia="Times New Roman" w:hAnsi="Times New Roman" w:cs="Times New Roman"/>
          <w:sz w:val="24"/>
          <w:szCs w:val="24"/>
        </w:rPr>
      </w:pPr>
      <w:r w:rsidRPr="00B70124">
        <w:rPr>
          <w:rFonts w:ascii="Times New Roman" w:eastAsia="Times New Roman" w:hAnsi="Times New Roman" w:cs="Times New Roman"/>
          <w:sz w:val="24"/>
          <w:szCs w:val="24"/>
        </w:rPr>
        <w:t xml:space="preserve">According to research by Hambrick and Engle (2012), effective problem-solving involves coordinating multiple cognitive processes. </w:t>
      </w:r>
      <w:r w:rsidR="00B70124" w:rsidRPr="00B70124">
        <w:rPr>
          <w:rFonts w:ascii="Times New Roman" w:eastAsia="Times New Roman" w:hAnsi="Times New Roman" w:cs="Times New Roman"/>
          <w:sz w:val="24"/>
          <w:szCs w:val="24"/>
        </w:rPr>
        <w:t>These aspects include planning, which involves developing a strategy to address a problem; execution, which is implementing that strategy effectively; and monitoring, which entails evaluating whether your approach is producing the desired results as you proceed.</w:t>
      </w:r>
      <w:r w:rsidR="00B70124" w:rsidRPr="00B70124">
        <w:rPr>
          <w:rFonts w:ascii="Times New Roman" w:eastAsia="Times New Roman" w:hAnsi="Times New Roman" w:cs="Times New Roman"/>
          <w:sz w:val="24"/>
          <w:szCs w:val="24"/>
        </w:rPr>
        <w:t xml:space="preserve"> </w:t>
      </w:r>
      <w:r w:rsidRPr="00B70124">
        <w:rPr>
          <w:rFonts w:ascii="Times New Roman" w:eastAsia="Times New Roman" w:hAnsi="Times New Roman" w:cs="Times New Roman"/>
          <w:sz w:val="24"/>
          <w:szCs w:val="24"/>
        </w:rPr>
        <w:t>This coordinated effort leads to successful outcomes and allows for adaptability when faced with unexpected challenges.</w:t>
      </w:r>
    </w:p>
    <w:p w14:paraId="00000010" w14:textId="77777777" w:rsidR="003B37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1" w14:textId="77777777" w:rsidR="003B37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the research highlights that working memory capacity (WMC) plays a crucial role in determining how well individuals can tackle complex tasks. Higher WMC enables greater flexibility in thought and the capacity to juggle various components of a problem simultaneously, which is essential for both mathematical and creative problem-solving.</w:t>
      </w:r>
    </w:p>
    <w:p w14:paraId="00000012" w14:textId="77777777" w:rsidR="003B37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3" w14:textId="3681BC28" w:rsidR="003B37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colleges shifted their focus to teaching these essential "meta-skills," rather than relying heavily on rote memorization of facts and formulas, students would graduate with a robust toolkit for navigating an array of challenges. They would be equipped not just for familiar problems they</w:t>
      </w:r>
      <w:r w:rsidR="005020EB">
        <w:rPr>
          <w:rFonts w:ascii="Times New Roman" w:eastAsia="Times New Roman" w:hAnsi="Times New Roman" w:cs="Times New Roman"/>
          <w:sz w:val="24"/>
          <w:szCs w:val="24"/>
        </w:rPr>
        <w:t xml:space="preserve"> have </w:t>
      </w:r>
      <w:r>
        <w:rPr>
          <w:rFonts w:ascii="Times New Roman" w:eastAsia="Times New Roman" w:hAnsi="Times New Roman" w:cs="Times New Roman"/>
          <w:sz w:val="24"/>
          <w:szCs w:val="24"/>
        </w:rPr>
        <w:t>encountered in coursework, but also for a multitude of unforeseen situations they may face in their professional and personal lives. By emphasizing the development of planning, execution, and monitoring skills, educational institutions could foster a generation of problem solvers who are truly prepared to innovate and thrive in a complex world.</w:t>
      </w:r>
    </w:p>
    <w:p w14:paraId="00000014" w14:textId="77777777" w:rsidR="003B3761" w:rsidRDefault="00000000">
      <w:pPr>
        <w:pStyle w:val="Heading2"/>
        <w:keepNext w:val="0"/>
        <w:keepLines w:val="0"/>
        <w:spacing w:after="80"/>
        <w:rPr>
          <w:rFonts w:ascii="Times New Roman" w:eastAsia="Times New Roman" w:hAnsi="Times New Roman" w:cs="Times New Roman"/>
          <w:b/>
          <w:bCs/>
          <w:sz w:val="30"/>
          <w:szCs w:val="30"/>
        </w:rPr>
      </w:pPr>
      <w:bookmarkStart w:id="5" w:name="_1gcwk0neeyxm" w:colFirst="0" w:colLast="0"/>
      <w:bookmarkEnd w:id="5"/>
      <w:r>
        <w:rPr>
          <w:rFonts w:ascii="Times New Roman" w:eastAsia="Times New Roman" w:hAnsi="Times New Roman" w:cs="Times New Roman"/>
          <w:b/>
          <w:bCs/>
          <w:sz w:val="30"/>
          <w:szCs w:val="30"/>
        </w:rPr>
        <w:lastRenderedPageBreak/>
        <w:t>Managing the Stress of the Unknown</w:t>
      </w:r>
    </w:p>
    <w:p w14:paraId="00000015" w14:textId="77777777" w:rsidR="003B376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lack of a problem-solving mindset is a major source of the "burnout" we see today. When we lack the skills to break down a problem, we get overwhelmed. Sato (2011) observed that "distraction in problem-solving situations increases academic stress among undergraduate students."</w:t>
      </w:r>
    </w:p>
    <w:p w14:paraId="00000016" w14:textId="7EC7EB6B" w:rsidR="003B376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creates a vicious cycle: we get distracted, we get stressed, and then "the presence of stressors can impair the cognitive flexibility needed for effective problem solving" (Sato, 2011). To break this cycle, we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look at the strategies found in "The Courage to Be Creative," which suggests that educational systems must "move away from homogenization through external standards that seek a single right answer for all things" (Richardson, 2017, p. 517). By fostering environments that support individual differences and novel solutions, we give students the "cognitive breathing room" to focus. Ultimately, "students who are able to manage their attentional resources effectively report lower levels of academic-related anxiety" (Sato, 2011).</w:t>
      </w:r>
    </w:p>
    <w:p w14:paraId="00000017" w14:textId="77777777" w:rsidR="003B3761" w:rsidRDefault="00000000">
      <w:pPr>
        <w:pStyle w:val="Heading2"/>
        <w:keepNext w:val="0"/>
        <w:keepLines w:val="0"/>
        <w:spacing w:after="80"/>
        <w:rPr>
          <w:rFonts w:ascii="Times New Roman" w:eastAsia="Times New Roman" w:hAnsi="Times New Roman" w:cs="Times New Roman"/>
          <w:b/>
          <w:bCs/>
          <w:sz w:val="30"/>
          <w:szCs w:val="30"/>
        </w:rPr>
      </w:pPr>
      <w:bookmarkStart w:id="6" w:name="_a7spsct2d62r" w:colFirst="0" w:colLast="0"/>
      <w:bookmarkEnd w:id="6"/>
      <w:r>
        <w:rPr>
          <w:rFonts w:ascii="Times New Roman" w:eastAsia="Times New Roman" w:hAnsi="Times New Roman" w:cs="Times New Roman"/>
          <w:b/>
          <w:bCs/>
          <w:sz w:val="30"/>
          <w:szCs w:val="30"/>
        </w:rPr>
        <w:t>A Call to Action for Students and Schools</w:t>
      </w:r>
    </w:p>
    <w:p w14:paraId="6F7B883B" w14:textId="77777777" w:rsidR="008D17D4"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future belongs to those who can focus</w:t>
      </w:r>
      <w:r w:rsidRPr="008D17D4">
        <w:rPr>
          <w:rFonts w:ascii="Times New Roman" w:eastAsia="Times New Roman" w:hAnsi="Times New Roman" w:cs="Times New Roman"/>
          <w:sz w:val="24"/>
          <w:szCs w:val="24"/>
        </w:rPr>
        <w:t xml:space="preserve">. </w:t>
      </w:r>
      <w:r w:rsidR="008D17D4" w:rsidRPr="008D17D4">
        <w:rPr>
          <w:rFonts w:ascii="Times New Roman" w:eastAsia="Times New Roman" w:hAnsi="Times New Roman" w:cs="Times New Roman"/>
          <w:sz w:val="24"/>
          <w:szCs w:val="24"/>
        </w:rPr>
        <w:t>High-level institutions should shift from high-stakes testing that emphasizes speed to project-based learning that values persistence.</w:t>
      </w:r>
    </w:p>
    <w:p w14:paraId="00000019" w14:textId="5C16BDC8" w:rsidR="003B3761" w:rsidRPr="008D17D4"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For the student, this starts with a daily choice. It starts with the "Courage to be Creative"—the bravery to turn off the phone for sixty minutes and engage with a difficult task (Richardson, 2017). It means valuing the "planning and monitoring" of your work as much as the final grade. By fostering this mindset, we do</w:t>
      </w:r>
      <w:r w:rsidR="008D17D4">
        <w:rPr>
          <w:rFonts w:ascii="Times New Roman" w:eastAsia="Times New Roman" w:hAnsi="Times New Roman" w:cs="Times New Roman"/>
          <w:sz w:val="24"/>
          <w:szCs w:val="24"/>
        </w:rPr>
        <w:t xml:space="preserve"> not</w:t>
      </w:r>
      <w:r>
        <w:rPr>
          <w:rFonts w:ascii="Times New Roman" w:eastAsia="Times New Roman" w:hAnsi="Times New Roman" w:cs="Times New Roman"/>
          <w:sz w:val="24"/>
          <w:szCs w:val="24"/>
        </w:rPr>
        <w:t xml:space="preserve"> just become better students; we become more resilient, creative, and capable human beings.</w:t>
      </w:r>
    </w:p>
    <w:p w14:paraId="0000001A" w14:textId="77777777" w:rsidR="003B376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Word Count: 1057</w:t>
      </w:r>
    </w:p>
    <w:p w14:paraId="0000001B" w14:textId="77777777" w:rsidR="003B3761" w:rsidRDefault="00000000">
      <w:pPr>
        <w:pStyle w:val="Heading1"/>
        <w:keepNext w:val="0"/>
        <w:keepLines w:val="0"/>
        <w:spacing w:before="480"/>
        <w:rPr>
          <w:rFonts w:ascii="Times New Roman" w:eastAsia="Times New Roman" w:hAnsi="Times New Roman" w:cs="Times New Roman"/>
          <w:b/>
          <w:bCs/>
          <w:sz w:val="30"/>
          <w:szCs w:val="30"/>
        </w:rPr>
      </w:pPr>
      <w:bookmarkStart w:id="7" w:name="_7als1bf4flnq" w:colFirst="0" w:colLast="0"/>
      <w:bookmarkEnd w:id="7"/>
      <w:r>
        <w:rPr>
          <w:rFonts w:ascii="Times New Roman" w:eastAsia="Times New Roman" w:hAnsi="Times New Roman" w:cs="Times New Roman"/>
          <w:b/>
          <w:bCs/>
          <w:sz w:val="30"/>
          <w:szCs w:val="30"/>
        </w:rPr>
        <w:t>References</w:t>
      </w:r>
    </w:p>
    <w:p w14:paraId="0000001C" w14:textId="77777777" w:rsidR="003B3761"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Bowman, L. L., Levine, L. E., Waite, B. M., &amp; Gendron, M. (2010). Can students really multitask? An evaluation of the academic costs of </w:t>
      </w:r>
      <w:proofErr w:type="gramStart"/>
      <w:r>
        <w:rPr>
          <w:rFonts w:ascii="Times New Roman" w:eastAsia="Times New Roman" w:hAnsi="Times New Roman" w:cs="Times New Roman"/>
          <w:sz w:val="24"/>
          <w:szCs w:val="24"/>
        </w:rPr>
        <w:t>video-game</w:t>
      </w:r>
      <w:proofErr w:type="gramEnd"/>
      <w:r>
        <w:rPr>
          <w:rFonts w:ascii="Times New Roman" w:eastAsia="Times New Roman" w:hAnsi="Times New Roman" w:cs="Times New Roman"/>
          <w:sz w:val="24"/>
          <w:szCs w:val="24"/>
        </w:rPr>
        <w:t xml:space="preserve"> playing and cellular phone use. </w:t>
      </w:r>
      <w:r>
        <w:rPr>
          <w:rFonts w:ascii="Times New Roman" w:eastAsia="Times New Roman" w:hAnsi="Times New Roman" w:cs="Times New Roman"/>
          <w:i/>
          <w:iCs/>
          <w:sz w:val="24"/>
          <w:szCs w:val="24"/>
        </w:rPr>
        <w:t>Computers &amp; Education, 54</w:t>
      </w:r>
      <w:r>
        <w:rPr>
          <w:rFonts w:ascii="Times New Roman" w:eastAsia="Times New Roman" w:hAnsi="Times New Roman" w:cs="Times New Roman"/>
          <w:sz w:val="24"/>
          <w:szCs w:val="24"/>
        </w:rPr>
        <w:t>(4), 927–931.</w:t>
      </w:r>
      <w:hyperlink r:id="rId4">
        <w:r>
          <w:rPr>
            <w:rFonts w:ascii="Times New Roman" w:eastAsia="Times New Roman" w:hAnsi="Times New Roman" w:cs="Times New Roman"/>
            <w:sz w:val="24"/>
            <w:szCs w:val="24"/>
          </w:rPr>
          <w:t xml:space="preserve"> </w:t>
        </w:r>
      </w:hyperlink>
      <w:hyperlink r:id="rId5">
        <w:r>
          <w:rPr>
            <w:rFonts w:ascii="Times New Roman" w:eastAsia="Times New Roman" w:hAnsi="Times New Roman" w:cs="Times New Roman"/>
            <w:color w:val="1155CC"/>
            <w:sz w:val="24"/>
            <w:szCs w:val="24"/>
            <w:u w:val="single"/>
          </w:rPr>
          <w:t>https://doi.org/10.1016/j.compedu.2009.09.024</w:t>
        </w:r>
      </w:hyperlink>
    </w:p>
    <w:p w14:paraId="0000001D" w14:textId="77777777" w:rsidR="003B3761"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Hambrick, D. Z., &amp; Engle, R. W. (2012). Working memory capacity, attentional focus, and problem solving. </w:t>
      </w:r>
      <w:r>
        <w:rPr>
          <w:rFonts w:ascii="Times New Roman" w:eastAsia="Times New Roman" w:hAnsi="Times New Roman" w:cs="Times New Roman"/>
          <w:i/>
          <w:iCs/>
          <w:sz w:val="24"/>
          <w:szCs w:val="24"/>
        </w:rPr>
        <w:t>Current Directions in Psychological Science, 21</w:t>
      </w:r>
      <w:r>
        <w:rPr>
          <w:rFonts w:ascii="Times New Roman" w:eastAsia="Times New Roman" w:hAnsi="Times New Roman" w:cs="Times New Roman"/>
          <w:sz w:val="24"/>
          <w:szCs w:val="24"/>
        </w:rPr>
        <w:t>(3), 139–146.</w:t>
      </w:r>
      <w:hyperlink r:id="rId6">
        <w:r>
          <w:rPr>
            <w:rFonts w:ascii="Times New Roman" w:eastAsia="Times New Roman" w:hAnsi="Times New Roman" w:cs="Times New Roman"/>
            <w:sz w:val="24"/>
            <w:szCs w:val="24"/>
          </w:rPr>
          <w:t xml:space="preserve"> </w:t>
        </w:r>
      </w:hyperlink>
      <w:hyperlink r:id="rId7">
        <w:r>
          <w:rPr>
            <w:rFonts w:ascii="Times New Roman" w:eastAsia="Times New Roman" w:hAnsi="Times New Roman" w:cs="Times New Roman"/>
            <w:color w:val="1155CC"/>
            <w:sz w:val="24"/>
            <w:szCs w:val="24"/>
            <w:u w:val="single"/>
          </w:rPr>
          <w:t>https://doi.org/10.1177/0963721412443432</w:t>
        </w:r>
      </w:hyperlink>
    </w:p>
    <w:p w14:paraId="0000001E" w14:textId="77777777" w:rsidR="003B3761"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 xml:space="preserve">Junco, R., &amp; Cotten, S. R. (2012). No A 4 U: The relationship between multitasking and academic performance. </w:t>
      </w:r>
      <w:r>
        <w:rPr>
          <w:rFonts w:ascii="Times New Roman" w:eastAsia="Times New Roman" w:hAnsi="Times New Roman" w:cs="Times New Roman"/>
          <w:i/>
          <w:iCs/>
          <w:sz w:val="24"/>
          <w:szCs w:val="24"/>
        </w:rPr>
        <w:t>Computers &amp; Education, 59</w:t>
      </w:r>
      <w:r>
        <w:rPr>
          <w:rFonts w:ascii="Times New Roman" w:eastAsia="Times New Roman" w:hAnsi="Times New Roman" w:cs="Times New Roman"/>
          <w:sz w:val="24"/>
          <w:szCs w:val="24"/>
        </w:rPr>
        <w:t>(2), 505–514.</w:t>
      </w:r>
      <w:hyperlink r:id="rId8">
        <w:r>
          <w:rPr>
            <w:rFonts w:ascii="Times New Roman" w:eastAsia="Times New Roman" w:hAnsi="Times New Roman" w:cs="Times New Roman"/>
            <w:sz w:val="24"/>
            <w:szCs w:val="24"/>
          </w:rPr>
          <w:t xml:space="preserve"> </w:t>
        </w:r>
      </w:hyperlink>
      <w:hyperlink r:id="rId9">
        <w:r>
          <w:rPr>
            <w:rFonts w:ascii="Times New Roman" w:eastAsia="Times New Roman" w:hAnsi="Times New Roman" w:cs="Times New Roman"/>
            <w:color w:val="1155CC"/>
            <w:sz w:val="24"/>
            <w:szCs w:val="24"/>
            <w:u w:val="single"/>
          </w:rPr>
          <w:t>https://doi.org/10.1016/j.compedu.2011.12.023</w:t>
        </w:r>
      </w:hyperlink>
    </w:p>
    <w:p w14:paraId="00000020" w14:textId="77777777" w:rsidR="003B376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Sato, T. (2011). The effects of distraction in problem-solving situations involving academic stress among undergraduates. </w:t>
      </w:r>
      <w:r>
        <w:rPr>
          <w:rFonts w:ascii="Times New Roman" w:eastAsia="Times New Roman" w:hAnsi="Times New Roman" w:cs="Times New Roman"/>
          <w:i/>
          <w:iCs/>
          <w:sz w:val="24"/>
          <w:szCs w:val="24"/>
        </w:rPr>
        <w:t>Japanese Journal of Personality, 20</w:t>
      </w:r>
      <w:r>
        <w:rPr>
          <w:rFonts w:ascii="Times New Roman" w:eastAsia="Times New Roman" w:hAnsi="Times New Roman" w:cs="Times New Roman"/>
          <w:sz w:val="24"/>
          <w:szCs w:val="24"/>
        </w:rPr>
        <w:t>(2), 134–146.</w:t>
      </w:r>
    </w:p>
    <w:p w14:paraId="00000021" w14:textId="77777777" w:rsidR="003B376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Richardson, C., Henriksen, D., &amp; Mishra, P. (2017). The courage to be creative: An interview with Dr. Yong Zhao. </w:t>
      </w:r>
      <w:proofErr w:type="spellStart"/>
      <w:r>
        <w:rPr>
          <w:rFonts w:ascii="Times New Roman" w:eastAsia="Times New Roman" w:hAnsi="Times New Roman" w:cs="Times New Roman"/>
          <w:i/>
          <w:iCs/>
          <w:sz w:val="24"/>
          <w:szCs w:val="24"/>
        </w:rPr>
        <w:t>TechTrends</w:t>
      </w:r>
      <w:proofErr w:type="spellEnd"/>
      <w:r>
        <w:rPr>
          <w:rFonts w:ascii="Times New Roman" w:eastAsia="Times New Roman" w:hAnsi="Times New Roman" w:cs="Times New Roman"/>
          <w:i/>
          <w:iCs/>
          <w:sz w:val="24"/>
          <w:szCs w:val="24"/>
        </w:rPr>
        <w:t>, 61</w:t>
      </w:r>
      <w:r>
        <w:rPr>
          <w:rFonts w:ascii="Times New Roman" w:eastAsia="Times New Roman" w:hAnsi="Times New Roman" w:cs="Times New Roman"/>
          <w:sz w:val="24"/>
          <w:szCs w:val="24"/>
        </w:rPr>
        <w:t>(6), 515–519.</w:t>
      </w:r>
      <w:hyperlink r:id="rId10">
        <w:r>
          <w:rPr>
            <w:rFonts w:ascii="Times New Roman" w:eastAsia="Times New Roman" w:hAnsi="Times New Roman" w:cs="Times New Roman"/>
            <w:sz w:val="24"/>
            <w:szCs w:val="24"/>
          </w:rPr>
          <w:t xml:space="preserve"> </w:t>
        </w:r>
      </w:hyperlink>
      <w:hyperlink r:id="rId11">
        <w:r>
          <w:rPr>
            <w:rFonts w:ascii="Times New Roman" w:eastAsia="Times New Roman" w:hAnsi="Times New Roman" w:cs="Times New Roman"/>
            <w:color w:val="1155CC"/>
            <w:sz w:val="24"/>
            <w:szCs w:val="24"/>
            <w:u w:val="single"/>
          </w:rPr>
          <w:t>https://doi.org/10.1007/s11528-017-0221-1</w:t>
        </w:r>
      </w:hyperlink>
    </w:p>
    <w:sectPr w:rsidR="003B376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5A4FF81-97CA-FD4E-B40A-9DDD39BAE04B}"/>
    <w:embedItalic r:id="rId2" w:fontKey="{36543DAD-E80E-E747-9297-A6C67F37C993}"/>
  </w:font>
  <w:font w:name="Times New Roman">
    <w:panose1 w:val="02020603050405020304"/>
    <w:charset w:val="00"/>
    <w:family w:val="roman"/>
    <w:pitch w:val="variable"/>
    <w:sig w:usb0="E0002EFF" w:usb1="C000785B" w:usb2="00000009" w:usb3="00000000" w:csb0="000001FF" w:csb1="00000000"/>
    <w:embedRegular r:id="rId3" w:fontKey="{8E3B3334-8091-6645-92DD-25100237C6BB}"/>
    <w:embedBold r:id="rId4" w:fontKey="{2665AC94-59E6-8A42-9074-54E9B3C80AA9}"/>
    <w:embedItalic r:id="rId5" w:fontKey="{9015B138-A4B7-C446-9770-0D2407D8D953}"/>
  </w:font>
  <w:font w:name="Calibri">
    <w:panose1 w:val="020F0502020204030204"/>
    <w:charset w:val="00"/>
    <w:family w:val="modern"/>
    <w:pitch w:val="variable"/>
    <w:sig w:usb0="00000003" w:usb1="00000000" w:usb2="00000000" w:usb3="00000000" w:csb0="00000001" w:csb1="00000000"/>
    <w:embedRegular r:id="rId6" w:fontKey="{C1BCD0B4-E050-BB49-9A43-F131E61C8852}"/>
  </w:font>
  <w:font w:name="Cambria">
    <w:panose1 w:val="02040503050406030204"/>
    <w:charset w:val="00"/>
    <w:family w:val="roman"/>
    <w:notTrueType/>
    <w:pitch w:val="default"/>
    <w:embedRegular r:id="rId7" w:fontKey="{8F07477E-55DD-F64A-A489-196B905AED2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761"/>
    <w:rsid w:val="003B3761"/>
    <w:rsid w:val="005020EB"/>
    <w:rsid w:val="00615683"/>
    <w:rsid w:val="008D17D4"/>
    <w:rsid w:val="008D544A"/>
    <w:rsid w:val="00B70124"/>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15064501"/>
  <w15:docId w15:val="{B408E7F3-0A84-BE41-94CC-A028D9110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compedu.2011.12.023"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google.com/search?q=https://doi.org/10.1177/0963721412443432&amp;authuser=1"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search?q=https://doi.org/10.1177/0963721412443432&amp;authuser=1" TargetMode="External"/><Relationship Id="rId11" Type="http://schemas.openxmlformats.org/officeDocument/2006/relationships/hyperlink" Target="https://www.google.com/search?q=https://doi.org/10.1007/s11528-017-0221-1&amp;authuser=1" TargetMode="External"/><Relationship Id="rId5" Type="http://schemas.openxmlformats.org/officeDocument/2006/relationships/hyperlink" Target="https://www.google.com/search?q=https://doi.org/10.1016/j.compedu.2009.09.024&amp;authuser=1" TargetMode="External"/><Relationship Id="rId10" Type="http://schemas.openxmlformats.org/officeDocument/2006/relationships/hyperlink" Target="https://www.google.com/search?q=https://doi.org/10.1007/s11528-017-0221-1&amp;authuser=1" TargetMode="External"/><Relationship Id="rId4" Type="http://schemas.openxmlformats.org/officeDocument/2006/relationships/hyperlink" Target="https://www.google.com/search?q=https://doi.org/10.1016/j.compedu.2009.09.024&amp;authuser=1" TargetMode="External"/><Relationship Id="rId9" Type="http://schemas.openxmlformats.org/officeDocument/2006/relationships/hyperlink" Target="https://doi.org/10.1016/j.compedu.2011.12.02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1319</Words>
  <Characters>7374</Characters>
  <Application>Microsoft Office Word</Application>
  <DocSecurity>0</DocSecurity>
  <Lines>115</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Carlo Mosqueda Avila</cp:lastModifiedBy>
  <cp:revision>2</cp:revision>
  <dcterms:created xsi:type="dcterms:W3CDTF">2026-03-30T17:17:00Z</dcterms:created>
  <dcterms:modified xsi:type="dcterms:W3CDTF">2026-03-30T18:03:00Z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2026-03-30T18:03:55Z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5427b919-bc1b-4f04-894f-0d9a38142797</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