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Transcript</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jc w:val="center"/>
        <w:rPr>
          <w:rFonts w:ascii="Times New Roman" w:cs="Times New Roman" w:eastAsia="Times New Roman" w:hAnsi="Times New Roman"/>
          <w:b w:val="1"/>
          <w:bCs w:val="1"/>
          <w:sz w:val="46"/>
          <w:szCs w:val="46"/>
        </w:rPr>
      </w:pPr>
      <w:bookmarkStart w:colFirst="0" w:colLast="0" w:name="_z831r81jysh7" w:id="0"/>
      <w:bookmarkEnd w:id="0"/>
      <w:r w:rsidDel="00000000" w:rsidR="00000000" w:rsidRPr="00000000">
        <w:rPr>
          <w:rFonts w:ascii="Times New Roman" w:cs="Times New Roman" w:eastAsia="Times New Roman" w:hAnsi="Times New Roman"/>
          <w:b w:val="1"/>
          <w:bCs w:val="1"/>
          <w:sz w:val="46"/>
          <w:szCs w:val="46"/>
          <w:rtl w:val="0"/>
        </w:rPr>
        <w:t xml:space="preserve">Why Colleges Need to Teach the Problem-Solving Mindset</w:t>
      </w:r>
    </w:p>
    <w:p w:rsidR="00000000" w:rsidDel="00000000" w:rsidP="00000000" w:rsidRDefault="00000000" w:rsidRPr="00000000" w14:paraId="00000003">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dsuznhciniqk" w:id="1"/>
      <w:bookmarkEnd w:id="1"/>
      <w:r w:rsidDel="00000000" w:rsidR="00000000" w:rsidRPr="00000000">
        <w:rPr>
          <w:rFonts w:ascii="Times New Roman" w:cs="Times New Roman" w:eastAsia="Times New Roman" w:hAnsi="Times New Roman"/>
          <w:b w:val="1"/>
          <w:bCs w:val="1"/>
          <w:sz w:val="30"/>
          <w:szCs w:val="30"/>
          <w:rtl w:val="0"/>
        </w:rPr>
        <w:t xml:space="preserve">The "Google" Trap</w:t>
      </w:r>
    </w:p>
    <w:p w:rsidR="00000000" w:rsidDel="00000000" w:rsidP="00000000" w:rsidRDefault="00000000" w:rsidRPr="00000000" w14:paraId="000000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your college degree making you a better problem solver, or just a better "Googler"?</w:t>
      </w:r>
    </w:p>
    <w:p w:rsidR="00000000" w:rsidDel="00000000" w:rsidP="00000000" w:rsidRDefault="00000000" w:rsidRPr="00000000" w14:paraId="000000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Imagine a typical Tuesday afternoon. You are sitting in the library, a complex research prompt open on your laptop. Beside it, your phone buzzes with a group chat notification. You check it. Then, you see a headline about a new AI tool. You click. Ten minutes later, you return to your assignment, but the mental "thread" is gone. You feel a wave of frustration, so you search for a quick template or an existing answer online just to get the task done.</w:t>
      </w:r>
    </w:p>
    <w:p w:rsidR="00000000" w:rsidDel="00000000" w:rsidP="00000000" w:rsidRDefault="00000000" w:rsidRPr="00000000" w14:paraId="000000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modern world, the greatest enemy of education isn’t a lack of information—it is a lack of focus. We have more data than any generation in history, yet we often feel less capable of solving unique, messy problems. To truly connect classroom learning with real-world application, colleges should move away from traditional, memorization-based testing. Instead, they must foster a "problem-solving mindset" that encourages creative risk-taking and critical analysis. This shift is the only way to equip students with the tools they need to overcome the productivity challenges of our digital age.</w:t>
      </w:r>
    </w:p>
    <w:p w:rsidR="00000000" w:rsidDel="00000000" w:rsidP="00000000" w:rsidRDefault="00000000" w:rsidRPr="00000000" w14:paraId="00000007">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86iqveloajhh" w:id="2"/>
      <w:bookmarkEnd w:id="2"/>
      <w:r w:rsidDel="00000000" w:rsidR="00000000" w:rsidRPr="00000000">
        <w:rPr>
          <w:rFonts w:ascii="Times New Roman" w:cs="Times New Roman" w:eastAsia="Times New Roman" w:hAnsi="Times New Roman"/>
          <w:b w:val="1"/>
          <w:bCs w:val="1"/>
          <w:sz w:val="30"/>
          <w:szCs w:val="30"/>
          <w:rtl w:val="0"/>
        </w:rPr>
        <w:t xml:space="preserve">The Digital Bottleneck</w:t>
      </w:r>
    </w:p>
    <w:p w:rsidR="00000000" w:rsidDel="00000000" w:rsidP="00000000" w:rsidRDefault="00000000" w:rsidRPr="00000000" w14:paraId="0000000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often treat multitasking as a badge of honor, but scientifically, it is a burden. When we bounce between a textbook and a TikTok feed, we aren't "saving time." Instead, we are creating a traffic jam in our brains. As researchers Junco and Cotten (2012) point out, "The cognitive costs of switching between tasks can lead to a 'bottleneck' in information processing."</w:t>
      </w:r>
    </w:p>
    <w:p w:rsidR="00000000" w:rsidDel="00000000" w:rsidP="00000000" w:rsidRDefault="00000000" w:rsidRPr="00000000" w14:paraId="000000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bottleneck doesn't just slow us down; it lowers the quality of our work. Bowman et al. (2010) found that the use of cell phones and other technologies for multitasking has a demonstrably "negative impact on academic performance." If our brains are constantly clearing "clogs" from task-switching, we never reach the state of "Deep Work" required for innovation. This is why the "community of problem solvers" in the workforce is calling for a change. Employers don't need people who can find answers quickly; they need people who can navigate the bottleneck without losing their critical edge.</w:t>
      </w:r>
    </w:p>
    <w:p w:rsidR="00000000" w:rsidDel="00000000" w:rsidP="00000000" w:rsidRDefault="00000000" w:rsidRPr="00000000" w14:paraId="0000000A">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hdmc0o55az5j" w:id="3"/>
      <w:bookmarkEnd w:id="3"/>
      <w:r w:rsidDel="00000000" w:rsidR="00000000" w:rsidRPr="00000000">
        <w:rPr>
          <w:rFonts w:ascii="Times New Roman" w:cs="Times New Roman" w:eastAsia="Times New Roman" w:hAnsi="Times New Roman"/>
          <w:b w:val="1"/>
          <w:bCs w:val="1"/>
          <w:sz w:val="30"/>
          <w:szCs w:val="30"/>
          <w:rtl w:val="0"/>
        </w:rPr>
        <w:t xml:space="preserve">The Courage to Be Creative</w:t>
      </w:r>
    </w:p>
    <w:p w:rsidR="00000000" w:rsidDel="00000000" w:rsidP="00000000" w:rsidRDefault="00000000" w:rsidRPr="00000000" w14:paraId="0000000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bottleneck is the problem, creativity is the fuel for the solution. However, creativity is more than just a "spark" of an idea—it is an act of bravery. Richardson, Henriksen, and Mishra (2017) argue that students must develop the "Courage to be Creative." Why does it take courage? Because true problem-solving involves the risk of being wrong. In a traditional classroom, being wrong usually means a lower grade. But in a problem-solving mindset, being wrong is simply "field research." This courage is scientifically linked to our brain's capacity. According to Hambrick and Engle (2012), "individual differences in working memory capacity are related to the ability to use creative strategies during problem solving." When we have the courage to put down the phone and sit with a difficult problem, we are literally training our working memory to handle higher levels of complexity.</w:t>
      </w:r>
    </w:p>
    <w:p w:rsidR="00000000" w:rsidDel="00000000" w:rsidP="00000000" w:rsidRDefault="00000000" w:rsidRPr="00000000" w14:paraId="0000000C">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3ozpe87jqhzv" w:id="4"/>
      <w:bookmarkEnd w:id="4"/>
      <w:r w:rsidDel="00000000" w:rsidR="00000000" w:rsidRPr="00000000">
        <w:rPr>
          <w:rFonts w:ascii="Times New Roman" w:cs="Times New Roman" w:eastAsia="Times New Roman" w:hAnsi="Times New Roman"/>
          <w:b w:val="1"/>
          <w:bCs w:val="1"/>
          <w:sz w:val="30"/>
          <w:szCs w:val="30"/>
          <w:rtl w:val="0"/>
        </w:rPr>
        <w:t xml:space="preserve">The Mechanics of Mastery</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we think about problem-solving, it's easy to categorize it as primarily a mathematical endeavor. However, it is fundamentally more about the ability to coordinate various activities and thought processes. A significant issue in many colleges is their tendency to prioritize the final solution over the process that leads to that solution. This approach often leaves students unprepared for real-world situations where the journey to a solution is just as important, if not more so, than the solution itself.</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According to research by Hambrick and Engle (2012), effective problem-solving involves coordinating multiple cognitive processes. These include planning—the ability to outline a strategy to approach a problem; execution—carrying out that strategy efficiently; and monitoring—assessing whether your approach is yielding the desired results as you progress. This coordinated effort leads to successful outcomes and allows for adaptability when faced with unexpected challenges.</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Moreover, the research highlights that working memory capacity (WMC) plays a crucial role in determining how well individuals can tackle complex tasks. Higher WMC enables greater flexibility in thought and the capacity to juggle various components of a problem simultaneously, which is essential for both mathematical and creative problem-solving.</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colleges shifted their focus to teaching these essential "meta-skills," rather than relying heavily on rote memorization of facts and formulas, students would graduate with a robust toolkit for navigating an array of challenges. They would be equipped not just for familiar problems they've encountered in coursework, but also for a multitude of unforeseen situations they may face in their professional and personal lives. By emphasizing the development of planning, execution, and monitoring skills, educational institutions could foster a generation of problem solvers who are truly prepared to innovate and thrive in a complex world.</w:t>
      </w:r>
    </w:p>
    <w:p w:rsidR="00000000" w:rsidDel="00000000" w:rsidP="00000000" w:rsidRDefault="00000000" w:rsidRPr="00000000" w14:paraId="00000014">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1gcwk0neeyxm" w:id="5"/>
      <w:bookmarkEnd w:id="5"/>
      <w:r w:rsidDel="00000000" w:rsidR="00000000" w:rsidRPr="00000000">
        <w:rPr>
          <w:rFonts w:ascii="Times New Roman" w:cs="Times New Roman" w:eastAsia="Times New Roman" w:hAnsi="Times New Roman"/>
          <w:b w:val="1"/>
          <w:bCs w:val="1"/>
          <w:sz w:val="30"/>
          <w:szCs w:val="30"/>
          <w:rtl w:val="0"/>
        </w:rPr>
        <w:t xml:space="preserve">Managing the Stress of the Unknown</w:t>
      </w:r>
    </w:p>
    <w:p w:rsidR="00000000" w:rsidDel="00000000" w:rsidP="00000000" w:rsidRDefault="00000000" w:rsidRPr="00000000" w14:paraId="000000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lack of a problem-solving mindset is a major source of the "burnout" we see today. When we lack the skills to break down a problem, we get overwhelmed. Sato (2011) observed that "distraction in problem-solving situations increases academic stress among undergraduate students."</w:t>
      </w:r>
    </w:p>
    <w:p w:rsidR="00000000" w:rsidDel="00000000" w:rsidP="00000000" w:rsidRDefault="00000000" w:rsidRPr="00000000" w14:paraId="000000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creates a vicious cycle: we get distracted, we get stressed, and then "the presence of stressors can impair the cognitive flexibility needed for effective problem solving" (Sato, 2011). To break this cycle, we have to look at the strategies found in "The Courage to Be Creative," which suggests that educational systems must "move away from homogenization through external standards that seek a single right answer for all things" (Richardson et al., 2017, p. 517). By fostering environments that support individual differences and novel solutions, we give students the "cognitive breathing room" to focus. Ultimately, "students who are able to manage their attentional resources effectively report lower levels of academic-related anxiety" (Sato, 2011).</w:t>
      </w:r>
    </w:p>
    <w:p w:rsidR="00000000" w:rsidDel="00000000" w:rsidP="00000000" w:rsidRDefault="00000000" w:rsidRPr="00000000" w14:paraId="00000017">
      <w:pPr>
        <w:pStyle w:val="Heading2"/>
        <w:keepNext w:val="0"/>
        <w:keepLines w:val="0"/>
        <w:spacing w:after="80" w:lineRule="auto"/>
        <w:rPr>
          <w:rFonts w:ascii="Times New Roman" w:cs="Times New Roman" w:eastAsia="Times New Roman" w:hAnsi="Times New Roman"/>
          <w:b w:val="1"/>
          <w:bCs w:val="1"/>
          <w:sz w:val="30"/>
          <w:szCs w:val="30"/>
        </w:rPr>
      </w:pPr>
      <w:bookmarkStart w:colFirst="0" w:colLast="0" w:name="_a7spsct2d62r" w:id="6"/>
      <w:bookmarkEnd w:id="6"/>
      <w:r w:rsidDel="00000000" w:rsidR="00000000" w:rsidRPr="00000000">
        <w:rPr>
          <w:rFonts w:ascii="Times New Roman" w:cs="Times New Roman" w:eastAsia="Times New Roman" w:hAnsi="Times New Roman"/>
          <w:b w:val="1"/>
          <w:bCs w:val="1"/>
          <w:sz w:val="30"/>
          <w:szCs w:val="30"/>
          <w:rtl w:val="0"/>
        </w:rPr>
        <w:t xml:space="preserve">A Call to Action for Students and Schools</w:t>
      </w:r>
    </w:p>
    <w:p w:rsidR="00000000" w:rsidDel="00000000" w:rsidP="00000000" w:rsidRDefault="00000000" w:rsidRPr="00000000" w14:paraId="0000001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future belongs to those who can focus. High-level institutions must pivot away from high-stakes testing that rewards speed and move toward project-based learning that rewards persistence.</w:t>
      </w:r>
    </w:p>
    <w:p w:rsidR="00000000" w:rsidDel="00000000" w:rsidP="00000000" w:rsidRDefault="00000000" w:rsidRPr="00000000" w14:paraId="0000001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the student, this starts with a daily choice. It starts with the "Courage to be Creative"—the bravery to turn off the phone for sixty minutes and engage with a difficult task (Richardson et al., 2017). It means valuing the "planning and monitoring" of your work as much as the final grade. By fostering this mindset, we don't just become better students; we become more resilient, creative, and capable human beings.</w:t>
      </w:r>
    </w:p>
    <w:p w:rsidR="00000000" w:rsidDel="00000000" w:rsidP="00000000" w:rsidRDefault="00000000" w:rsidRPr="00000000" w14:paraId="000000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Word Count: 1057</w:t>
      </w:r>
    </w:p>
    <w:p w:rsidR="00000000" w:rsidDel="00000000" w:rsidP="00000000" w:rsidRDefault="00000000" w:rsidRPr="00000000" w14:paraId="0000001B">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7als1bf4flnq" w:id="7"/>
      <w:bookmarkEnd w:id="7"/>
      <w:r w:rsidDel="00000000" w:rsidR="00000000" w:rsidRPr="00000000">
        <w:rPr>
          <w:rFonts w:ascii="Times New Roman" w:cs="Times New Roman" w:eastAsia="Times New Roman" w:hAnsi="Times New Roman"/>
          <w:b w:val="1"/>
          <w:bCs w:val="1"/>
          <w:sz w:val="30"/>
          <w:szCs w:val="30"/>
          <w:rtl w:val="0"/>
        </w:rPr>
        <w:t xml:space="preserve">References</w:t>
      </w:r>
    </w:p>
    <w:p w:rsidR="00000000" w:rsidDel="00000000" w:rsidP="00000000" w:rsidRDefault="00000000" w:rsidRPr="00000000" w14:paraId="0000001C">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Bowman, L. L., Levine, L. E., Waite, B. M., &amp; Gendron, M. (2010). Can students really multitask? An evaluation of the academic costs of video-game playing and cellular phone use. </w:t>
      </w:r>
      <w:r w:rsidDel="00000000" w:rsidR="00000000" w:rsidRPr="00000000">
        <w:rPr>
          <w:rFonts w:ascii="Times New Roman" w:cs="Times New Roman" w:eastAsia="Times New Roman" w:hAnsi="Times New Roman"/>
          <w:i w:val="1"/>
          <w:iCs w:val="1"/>
          <w:sz w:val="24"/>
          <w:szCs w:val="24"/>
          <w:rtl w:val="0"/>
        </w:rPr>
        <w:t xml:space="preserve">Computers &amp; Education, 54</w:t>
      </w:r>
      <w:r w:rsidDel="00000000" w:rsidR="00000000" w:rsidRPr="00000000">
        <w:rPr>
          <w:rFonts w:ascii="Times New Roman" w:cs="Times New Roman" w:eastAsia="Times New Roman" w:hAnsi="Times New Roman"/>
          <w:sz w:val="24"/>
          <w:szCs w:val="24"/>
          <w:rtl w:val="0"/>
        </w:rPr>
        <w:t xml:space="preserve">(4), 927–931.</w:t>
      </w:r>
      <w:hyperlink r:id="rId6">
        <w:r w:rsidDel="00000000" w:rsidR="00000000" w:rsidRPr="00000000">
          <w:rPr>
            <w:rFonts w:ascii="Times New Roman" w:cs="Times New Roman" w:eastAsia="Times New Roman" w:hAnsi="Times New Roman"/>
            <w:sz w:val="24"/>
            <w:szCs w:val="24"/>
            <w:rtl w:val="0"/>
          </w:rPr>
          <w:t xml:space="preserve"> </w:t>
        </w:r>
      </w:hyperlink>
      <w:hyperlink r:id="rId7">
        <w:r w:rsidDel="00000000" w:rsidR="00000000" w:rsidRPr="00000000">
          <w:rPr>
            <w:rFonts w:ascii="Times New Roman" w:cs="Times New Roman" w:eastAsia="Times New Roman" w:hAnsi="Times New Roman"/>
            <w:color w:val="1155cc"/>
            <w:sz w:val="24"/>
            <w:szCs w:val="24"/>
            <w:u w:val="single"/>
            <w:rtl w:val="0"/>
          </w:rPr>
          <w:t xml:space="preserve">https://doi.org/10.1016/j.compedu.2009.09.024</w:t>
        </w:r>
      </w:hyperlink>
      <w:r w:rsidDel="00000000" w:rsidR="00000000" w:rsidRPr="00000000">
        <w:rPr>
          <w:rtl w:val="0"/>
        </w:rPr>
      </w:r>
    </w:p>
    <w:p w:rsidR="00000000" w:rsidDel="00000000" w:rsidP="00000000" w:rsidRDefault="00000000" w:rsidRPr="00000000" w14:paraId="0000001D">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Hambrick, D. Z., &amp; Engle, R. W. (2012). Working memory capacity, attentional focus, and problem solving. </w:t>
      </w:r>
      <w:r w:rsidDel="00000000" w:rsidR="00000000" w:rsidRPr="00000000">
        <w:rPr>
          <w:rFonts w:ascii="Times New Roman" w:cs="Times New Roman" w:eastAsia="Times New Roman" w:hAnsi="Times New Roman"/>
          <w:i w:val="1"/>
          <w:iCs w:val="1"/>
          <w:sz w:val="24"/>
          <w:szCs w:val="24"/>
          <w:rtl w:val="0"/>
        </w:rPr>
        <w:t xml:space="preserve">Current Directions in Psychological Science, 21</w:t>
      </w:r>
      <w:r w:rsidDel="00000000" w:rsidR="00000000" w:rsidRPr="00000000">
        <w:rPr>
          <w:rFonts w:ascii="Times New Roman" w:cs="Times New Roman" w:eastAsia="Times New Roman" w:hAnsi="Times New Roman"/>
          <w:sz w:val="24"/>
          <w:szCs w:val="24"/>
          <w:rtl w:val="0"/>
        </w:rPr>
        <w:t xml:space="preserve">(3), 139–146.</w:t>
      </w:r>
      <w:hyperlink r:id="rId8">
        <w:r w:rsidDel="00000000" w:rsidR="00000000" w:rsidRPr="00000000">
          <w:rPr>
            <w:rFonts w:ascii="Times New Roman" w:cs="Times New Roman" w:eastAsia="Times New Roman" w:hAnsi="Times New Roman"/>
            <w:sz w:val="24"/>
            <w:szCs w:val="24"/>
            <w:rtl w:val="0"/>
          </w:rPr>
          <w:t xml:space="preserve"> </w:t>
        </w:r>
      </w:hyperlink>
      <w:hyperlink r:id="rId9">
        <w:r w:rsidDel="00000000" w:rsidR="00000000" w:rsidRPr="00000000">
          <w:rPr>
            <w:rFonts w:ascii="Times New Roman" w:cs="Times New Roman" w:eastAsia="Times New Roman" w:hAnsi="Times New Roman"/>
            <w:color w:val="1155cc"/>
            <w:sz w:val="24"/>
            <w:szCs w:val="24"/>
            <w:u w:val="single"/>
            <w:rtl w:val="0"/>
          </w:rPr>
          <w:t xml:space="preserve">https://doi.org/10.1177/0963721412443432</w:t>
        </w:r>
      </w:hyperlink>
      <w:r w:rsidDel="00000000" w:rsidR="00000000" w:rsidRPr="00000000">
        <w:rPr>
          <w:rtl w:val="0"/>
        </w:rPr>
      </w:r>
    </w:p>
    <w:p w:rsidR="00000000" w:rsidDel="00000000" w:rsidP="00000000" w:rsidRDefault="00000000" w:rsidRPr="00000000" w14:paraId="0000001E">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Junco, R., &amp; Cotten, S. R. (2012). No A 4 U: The relationship between multitasking and academic performance. </w:t>
      </w:r>
      <w:r w:rsidDel="00000000" w:rsidR="00000000" w:rsidRPr="00000000">
        <w:rPr>
          <w:rFonts w:ascii="Times New Roman" w:cs="Times New Roman" w:eastAsia="Times New Roman" w:hAnsi="Times New Roman"/>
          <w:i w:val="1"/>
          <w:iCs w:val="1"/>
          <w:sz w:val="24"/>
          <w:szCs w:val="24"/>
          <w:rtl w:val="0"/>
        </w:rPr>
        <w:t xml:space="preserve">Computers &amp; Education, 59</w:t>
      </w:r>
      <w:r w:rsidDel="00000000" w:rsidR="00000000" w:rsidRPr="00000000">
        <w:rPr>
          <w:rFonts w:ascii="Times New Roman" w:cs="Times New Roman" w:eastAsia="Times New Roman" w:hAnsi="Times New Roman"/>
          <w:sz w:val="24"/>
          <w:szCs w:val="24"/>
          <w:rtl w:val="0"/>
        </w:rPr>
        <w:t xml:space="preserve">(2), 505–514.</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https://doi.org/10.1016/j.compedu.2011.12.023</w:t>
        </w:r>
      </w:hyperlink>
      <w:r w:rsidDel="00000000" w:rsidR="00000000" w:rsidRPr="00000000">
        <w:rPr>
          <w:rtl w:val="0"/>
        </w:rPr>
      </w:r>
    </w:p>
    <w:p w:rsidR="00000000" w:rsidDel="00000000" w:rsidP="00000000" w:rsidRDefault="00000000" w:rsidRPr="00000000" w14:paraId="0000001F">
      <w:pPr>
        <w:spacing w:after="240" w:before="24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Richardson, C., Henriksen, D., &amp; Mishra, P. (2017). The courage to be creative. </w:t>
      </w:r>
      <w:r w:rsidDel="00000000" w:rsidR="00000000" w:rsidRPr="00000000">
        <w:rPr>
          <w:rFonts w:ascii="Times New Roman" w:cs="Times New Roman" w:eastAsia="Times New Roman" w:hAnsi="Times New Roman"/>
          <w:i w:val="1"/>
          <w:iCs w:val="1"/>
          <w:sz w:val="24"/>
          <w:szCs w:val="24"/>
          <w:rtl w:val="0"/>
        </w:rPr>
        <w:t xml:space="preserve">TechTrends, 61</w:t>
      </w:r>
      <w:r w:rsidDel="00000000" w:rsidR="00000000" w:rsidRPr="00000000">
        <w:rPr>
          <w:rFonts w:ascii="Times New Roman" w:cs="Times New Roman" w:eastAsia="Times New Roman" w:hAnsi="Times New Roman"/>
          <w:sz w:val="24"/>
          <w:szCs w:val="24"/>
          <w:rtl w:val="0"/>
        </w:rPr>
        <w:t xml:space="preserve">(6), 515–519.</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https://doi.org/10.1007/s11528-017-0221-1</w:t>
        </w:r>
      </w:hyperlink>
      <w:r w:rsidDel="00000000" w:rsidR="00000000" w:rsidRPr="00000000">
        <w:rPr>
          <w:rtl w:val="0"/>
        </w:rPr>
      </w:r>
    </w:p>
    <w:p w:rsidR="00000000" w:rsidDel="00000000" w:rsidP="00000000" w:rsidRDefault="00000000" w:rsidRPr="00000000" w14:paraId="0000002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Sato, T. (2011). The effects of distraction in problem-solving situations involving academic stress among undergraduates. </w:t>
      </w:r>
      <w:r w:rsidDel="00000000" w:rsidR="00000000" w:rsidRPr="00000000">
        <w:rPr>
          <w:rFonts w:ascii="Times New Roman" w:cs="Times New Roman" w:eastAsia="Times New Roman" w:hAnsi="Times New Roman"/>
          <w:i w:val="1"/>
          <w:iCs w:val="1"/>
          <w:sz w:val="24"/>
          <w:szCs w:val="24"/>
          <w:rtl w:val="0"/>
        </w:rPr>
        <w:t xml:space="preserve">Japanese Journal of Personality, 20</w:t>
      </w:r>
      <w:r w:rsidDel="00000000" w:rsidR="00000000" w:rsidRPr="00000000">
        <w:rPr>
          <w:rFonts w:ascii="Times New Roman" w:cs="Times New Roman" w:eastAsia="Times New Roman" w:hAnsi="Times New Roman"/>
          <w:sz w:val="24"/>
          <w:szCs w:val="24"/>
          <w:rtl w:val="0"/>
        </w:rPr>
        <w:t xml:space="preserve">(2), 134–146.</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Richardson, C., Henriksen, D., &amp; Mishra, P. (2017). The courage to be creative: An interview with Dr. Yong Zhao. </w:t>
      </w:r>
      <w:r w:rsidDel="00000000" w:rsidR="00000000" w:rsidRPr="00000000">
        <w:rPr>
          <w:rFonts w:ascii="Times New Roman" w:cs="Times New Roman" w:eastAsia="Times New Roman" w:hAnsi="Times New Roman"/>
          <w:i w:val="1"/>
          <w:iCs w:val="1"/>
          <w:sz w:val="24"/>
          <w:szCs w:val="24"/>
          <w:rtl w:val="0"/>
        </w:rPr>
        <w:t xml:space="preserve">TechTrends, 61</w:t>
      </w:r>
      <w:r w:rsidDel="00000000" w:rsidR="00000000" w:rsidRPr="00000000">
        <w:rPr>
          <w:rFonts w:ascii="Times New Roman" w:cs="Times New Roman" w:eastAsia="Times New Roman" w:hAnsi="Times New Roman"/>
          <w:sz w:val="24"/>
          <w:szCs w:val="24"/>
          <w:rtl w:val="0"/>
        </w:rPr>
        <w:t xml:space="preserve">(6), 515–519.</w:t>
      </w:r>
      <w:hyperlink r:id="rId14">
        <w:r w:rsidDel="00000000" w:rsidR="00000000" w:rsidRPr="00000000">
          <w:rPr>
            <w:rFonts w:ascii="Times New Roman" w:cs="Times New Roman" w:eastAsia="Times New Roman" w:hAnsi="Times New Roman"/>
            <w:sz w:val="24"/>
            <w:szCs w:val="24"/>
            <w:rtl w:val="0"/>
          </w:rPr>
          <w:t xml:space="preserve"> </w:t>
        </w:r>
      </w:hyperlink>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https://doi.org/10.1007/s11528-017-0221-1</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016/j.compedu.2011.12.023" TargetMode="External"/><Relationship Id="rId10" Type="http://schemas.openxmlformats.org/officeDocument/2006/relationships/hyperlink" Target="https://doi.org/10.1016/j.compedu.2011.12.023" TargetMode="External"/><Relationship Id="rId13" Type="http://schemas.openxmlformats.org/officeDocument/2006/relationships/hyperlink" Target="https://www.google.com/search?q=https://doi.org/10.1007/s11528-017-0221-1&amp;authuser=1" TargetMode="External"/><Relationship Id="rId12" Type="http://schemas.openxmlformats.org/officeDocument/2006/relationships/hyperlink" Target="https://www.google.com/search?q=https://doi.org/10.1007/s11528-017-0221-1&amp;authuser=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google.com/search?q=https://doi.org/10.1177/0963721412443432&amp;authuser=1" TargetMode="External"/><Relationship Id="rId15" Type="http://schemas.openxmlformats.org/officeDocument/2006/relationships/hyperlink" Target="https://www.google.com/search?q=https://doi.org/10.1007/s11528-017-0221-1&amp;authuser=1" TargetMode="External"/><Relationship Id="rId14" Type="http://schemas.openxmlformats.org/officeDocument/2006/relationships/hyperlink" Target="https://www.google.com/search?q=https://doi.org/10.1007/s11528-017-0221-1&amp;authuser=1" TargetMode="External"/><Relationship Id="rId5" Type="http://schemas.openxmlformats.org/officeDocument/2006/relationships/styles" Target="styles.xml"/><Relationship Id="rId6" Type="http://schemas.openxmlformats.org/officeDocument/2006/relationships/hyperlink" Target="https://www.google.com/search?q=https://doi.org/10.1016/j.compedu.2009.09.024&amp;authuser=1" TargetMode="External"/><Relationship Id="rId7" Type="http://schemas.openxmlformats.org/officeDocument/2006/relationships/hyperlink" Target="https://www.google.com/search?q=https://doi.org/10.1016/j.compedu.2009.09.024&amp;authuser=1" TargetMode="External"/><Relationship Id="rId8" Type="http://schemas.openxmlformats.org/officeDocument/2006/relationships/hyperlink" Target="https://www.google.com/search?q=https://doi.org/10.1177/0963721412443432&amp;authus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