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0" w:before="0"/>
        <w:jc w:val="center"/>
      </w:pPr>
      <w:r>
        <w:rPr>
          <w:rFonts w:ascii="Arial" w:cs="Arial" w:eastAsia="Arial" w:hAnsi="Arial"/>
          <w:b/>
          <w:bCs/>
          <w:color w:val="0F5D63"/>
          <w:sz w:val="96"/>
          <w:szCs w:val="96"/>
        </w:rPr>
        <w:t xml:space="preserve">TRIJ</w:t>
      </w:r>
    </w:p>
    <w:p>
      <w:pPr>
        <w:spacing w:after="60" w:before="60"/>
        <w:jc w:val="center"/>
      </w:pPr>
      <w:r>
        <w:rPr>
          <w:rFonts w:ascii="Arial" w:cs="Arial" w:eastAsia="Arial" w:hAnsi="Arial"/>
          <w:color w:val="1A7A82"/>
          <w:sz w:val="44"/>
          <w:szCs w:val="44"/>
        </w:rPr>
        <w:t xml:space="preserve">FieldMed Triage System</w:t>
      </w:r>
    </w:p>
    <w:p>
      <w:pPr>
        <w:spacing w:after="60" w:before="60"/>
      </w:pPr>
      <w:r>
        <w:t xml:space="preserve"/>
      </w:r>
    </w:p>
    <w:p>
      <w:pPr>
        <w:pBdr>
          <w:bottom w:val="thick" w:color="0F5D63" w:sz="6" w:space="1"/>
        </w:pBdr>
        <w:spacing w:after="240" w:before="40"/>
        <w:jc w:val="center"/>
      </w:pPr>
      <w:r>
        <w:rPr>
          <w:rFonts w:ascii="Arial" w:cs="Arial" w:eastAsia="Arial" w:hAnsi="Arial"/>
          <w:sz w:val="12"/>
          <w:szCs w:val="12"/>
        </w:rPr>
        <w:t xml:space="preserve"> </w:t>
      </w:r>
    </w:p>
    <w:p>
      <w:pPr>
        <w:spacing w:after="60" w:before="60"/>
      </w:pPr>
      <w:r>
        <w:t xml:space="preserve"/>
      </w:r>
    </w:p>
    <w:p>
      <w:pPr>
        <w:spacing w:after="60" w:before="60"/>
        <w:jc w:val="center"/>
      </w:pPr>
      <w:r>
        <w:rPr>
          <w:rFonts w:ascii="Arial" w:cs="Arial" w:eastAsia="Arial" w:hAnsi="Arial"/>
          <w:b/>
          <w:bCs/>
          <w:color w:val="222222"/>
          <w:sz w:val="34"/>
          <w:szCs w:val="34"/>
        </w:rPr>
        <w:t xml:space="preserve">COMPREHENSIVE IMPROVEMENT RECOMMENDATIONS</w:t>
      </w:r>
    </w:p>
    <w:p>
      <w:pPr>
        <w:spacing w:after="60" w:before="60"/>
        <w:jc w:val="center"/>
      </w:pPr>
      <w:r>
        <w:rPr>
          <w:rFonts w:ascii="Arial" w:cs="Arial" w:eastAsia="Arial" w:hAnsi="Arial"/>
          <w:i/>
          <w:iCs/>
          <w:color w:val="444444"/>
          <w:sz w:val="26"/>
          <w:szCs w:val="26"/>
        </w:rPr>
        <w:t xml:space="preserve">100+ Evidence-Based Enhancements for Optimal Performance</w:t>
      </w:r>
    </w:p>
    <w:p>
      <w:pPr>
        <w:spacing w:after="60" w:before="60"/>
      </w:pPr>
      <w:r>
        <w:t xml:space="preserve"/>
      </w:r>
    </w:p>
    <w:p>
      <w:pPr>
        <w:spacing w:after="60" w:before="60"/>
      </w:pPr>
      <w:r>
        <w:t xml:space="preserve"/>
      </w:r>
    </w:p>
    <w:p>
      <w:pPr>
        <w:spacing w:after="60" w:before="60"/>
      </w:pPr>
      <w:r>
        <w:t xml:space="preserve"/>
      </w:r>
    </w:p>
    <w:p>
      <w:pPr>
        <w:spacing w:after="40" w:before="40"/>
        <w:jc w:val="center"/>
      </w:pPr>
      <w:r>
        <w:rPr>
          <w:rFonts w:ascii="Arial" w:cs="Arial" w:eastAsia="Arial" w:hAnsi="Arial"/>
          <w:color w:val="555555"/>
          <w:sz w:val="22"/>
          <w:szCs w:val="22"/>
        </w:rPr>
        <w:t xml:space="preserve">Prepared by: Senior AI Developer &amp; Health Practitioner Analysis</w:t>
      </w:r>
    </w:p>
    <w:p>
      <w:pPr>
        <w:spacing w:after="40" w:before="40"/>
        <w:jc w:val="center"/>
      </w:pPr>
      <w:r>
        <w:rPr>
          <w:rFonts w:ascii="Arial" w:cs="Arial" w:eastAsia="Arial" w:hAnsi="Arial"/>
          <w:color w:val="555555"/>
          <w:sz w:val="22"/>
          <w:szCs w:val="22"/>
        </w:rPr>
        <w:t xml:space="preserve">Based on: Application Review, SRS v1.0, GitHub Repository</w:t>
      </w:r>
    </w:p>
    <w:p>
      <w:pPr>
        <w:spacing w:after="40" w:before="40"/>
        <w:jc w:val="center"/>
      </w:pPr>
      <w:r>
        <w:rPr>
          <w:rFonts w:ascii="Arial" w:cs="Arial" w:eastAsia="Arial" w:hAnsi="Arial"/>
          <w:color w:val="555555"/>
          <w:sz w:val="22"/>
          <w:szCs w:val="22"/>
        </w:rPr>
        <w:t xml:space="preserve">Date: May 2026  |  Version: 1.0</w:t>
      </w:r>
    </w:p>
    <w:p>
      <w:r>
        <w:br w:type="page"/>
      </w:r>
    </w:p>
    <w:p>
      <w:pPr>
        <w:pStyle w:val="Heading1"/>
        <w:spacing w:after="180" w:before="360"/>
      </w:pPr>
      <w:r>
        <w:rPr>
          <w:rFonts w:ascii="Arial" w:cs="Arial" w:eastAsia="Arial" w:hAnsi="Arial"/>
          <w:b/>
          <w:bCs/>
          <w:color w:val="0F5D63"/>
          <w:sz w:val="36"/>
          <w:szCs w:val="36"/>
        </w:rPr>
        <w:t xml:space="preserve">Executive Summary</w:t>
      </w:r>
    </w:p>
    <w:p>
      <w:pPr>
        <w:spacing w:after="60" w:before="60"/>
      </w:pPr>
      <w:r>
        <w:rPr>
          <w:rFonts w:ascii="Arial" w:cs="Arial" w:eastAsia="Arial" w:hAnsi="Arial"/>
          <w:sz w:val="22"/>
          <w:szCs w:val="22"/>
        </w:rPr>
        <w:t xml:space="preserve">Trij is an ambitious, mission-critical PWA designed to bring offline-first AI-assisted medical triage to community health workers (CHWs) in remote, low-connectivity regions. The application leverages Google DeepMind's Gemma 4 model running entirely on-device via WebLLM/WebGPU — a technically impressive and privacy-preserving architectural choice.</w:t>
      </w:r>
    </w:p>
    <w:p>
      <w:pPr>
        <w:spacing w:after="60" w:before="60"/>
      </w:pPr>
      <w:r>
        <w:rPr>
          <w:rFonts w:ascii="Arial" w:cs="Arial" w:eastAsia="Arial" w:hAnsi="Arial"/>
          <w:sz w:val="22"/>
          <w:szCs w:val="22"/>
        </w:rPr>
        <w:t xml:space="preserve">This document presents 120 prioritised improvement recommendations across seven domains, prepared through the combined lens of a senior AI systems architect and a practitioner with 50+ years of clinical and field health experience. The recommendations span functional gaps, non-functional performance targets, clinical safety mandates, AI quality improvements, security hardening, scalability concerns, and transformative new features.</w:t>
      </w:r>
    </w:p>
    <w:p>
      <w:pPr>
        <w:spacing w:after="60" w:before="60"/>
      </w:pPr>
      <w:r>
        <w:rPr>
          <w:rFonts w:ascii="Arial" w:cs="Arial" w:eastAsia="Arial" w:hAnsi="Arial"/>
          <w:sz w:val="22"/>
          <w:szCs w:val="22"/>
        </w:rPr>
        <w:t xml:space="preserve">Priority ratings are assigned as: Critical (patient safety / core function), High (significant impact on adoption and effectiveness), Medium (important for quality and scale), and Low (refinements and enhancements).</w:t>
      </w:r>
    </w:p>
    <w:p>
      <w:pPr>
        <w:spacing w:after="60" w:before="60"/>
      </w:pPr>
      <w:r>
        <w:t xml:space="preserve"/>
      </w:r>
    </w:p>
    <w:p>
      <w:r>
        <w:br w:type="page"/>
      </w:r>
    </w:p>
    <w:p>
      <w:pPr>
        <w:pStyle w:val="Heading1"/>
        <w:spacing w:after="180" w:before="360"/>
      </w:pPr>
      <w:r>
        <w:rPr>
          <w:rFonts w:ascii="Arial" w:cs="Arial" w:eastAsia="Arial" w:hAnsi="Arial"/>
          <w:b/>
          <w:bCs/>
          <w:color w:val="0F5D63"/>
          <w:sz w:val="36"/>
          <w:szCs w:val="36"/>
        </w:rPr>
        <w:t xml:space="preserve">Section 1: Clinical Quality &amp; AI Performance Improvements</w:t>
      </w:r>
    </w:p>
    <w:p>
      <w:pPr>
        <w:spacing w:after="160" w:before="80"/>
      </w:pPr>
      <w:r>
        <w:rPr>
          <w:rFonts w:ascii="Arial" w:cs="Arial" w:eastAsia="Arial" w:hAnsi="Arial"/>
          <w:i/>
          <w:iCs/>
          <w:color w:val="555555"/>
          <w:sz w:val="21"/>
          <w:szCs w:val="21"/>
        </w:rPr>
        <w:t xml:space="preserve">These improvements address the core clinical and AI quality of Trij. As a medical tool, patient safety is the highest priority. All items marked 'Critical' represent conditions where the current system could cause patient harm if not addressed.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Clinical Validation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Establish a structured clinical validation programme with licensed physicians reviewing AI outputs across 1,000+ cases before wider rollout. Include sensitivity/specificity metrics per condition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AI medical tools without clinical validation represent a patient safety risk. Regulatory bodies (FDA, CE, NAFDAC) require evidence of clinical performance.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Differential Diagnosis Depth</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Expand the AI output from a single condition + possible_conditions list to a structured differential diagnosis with ranked probabilities, supporting evidence, and distinguishing features for each.</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Clinicians and CHWs need to understand why the AI reached a conclusion, not just what it concluded. Deeper differentials improve diagnostic reasoning.</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Red Flag Symptom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hard-coded clinical red flag rules (e.g. Signs of sepsis, meningism, diabetic ketoacidosis, eclampsia, stroke) that override AI confidence thresholds and trigger immediate emergency referral regardless of model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No AI model should be the sole gatekeeper for life-threatening presentations. Rule-based safety nets are standard clinical practice.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Wound Severity Grading Scales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Integrate established clinical scales — Wagner scale for diabetic foot ulcers, Braden scale for pressure injuries, Lund-Browder for burns — into the AI assessment output for applicable wound types.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Clinical grading scales provide standardised communication between CHWs and receiving clinicians, improving handoff quality.</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Paediatric-Specific Assessment Pathways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dedicated assessment protocols for under-5s using IMCI (Integrated Management of Childhood Illness) guidelines, including specific thresholds for fever, malnutrition MUAC scoring, and respiratory rate norms by 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Under-5 mortality is a key global health indicator. Normal ranges and red flags differ significantly from adults and require separate logic.</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Maternal Health Triage Module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a dedicated maternal health pathway covering danger signs in pregnancy (heavy bleeding, severe headache, fitting, reduced foetal movement), postnatal complications, and neonatal assessment.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Maternal and neonatal mortality are primary targets of global health programmes. CHWs are often the first and only contact for rural pregnant women.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Nutrition Assessment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MUAC (Mid-Upper Arm Circumference) measurement guidance, visual malnutrition indicators, oedema detection, and WHZ score inputs to flag acute malnutrition — especially in children.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Malnutrition remains a leading cause of under-5 mortality and is highly prevalent in the target CHW deployment regions (Sub-Saharan Africa, South Asia).</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Vital Signs Input Module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Create structured input fields for vital signs (temperature, respiratory rate, pulse rate, blood pressure, oxygen saturation) with age-appropriate normal range validation and automatic urgency escalation.</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Vital signs are the cornerstone of any triage assessment. Without them, AI image analysis alone is insufficient for safe clinical decision-making.</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Structured Symptom Checklist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Supplement free-form voice input with structured symptom checklists per body system (respiratory, gastrointestinal, neurological) using evidence-based, validated symptom clusters.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Voice input alone is subject to transcription errors and missed symptoms. Structured checklists reduce omission errors and improve assessment completeness.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Model Uncertainty Quantification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Replace single confidence scores with calibrated uncertainty intervals (e.g., 85% CI: 78–91%). Distinguish between aleatoric uncertainty (image quality) and epistemic uncertainty (model knowledge limits).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 single number like '72% confidence' is misleading. A CHW cannot make a safe decision without understanding the nature and source of the uncertainty.</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AI Explainability — Visual Saliency Maps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Overlay heatmaps (Grad-CAM or equivalent) on the captured image to show which regions the model used for its assessment. Display in the result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Visual explainability is critical for CHW trust and training. It also allows supervisors to audit assessments and identify model failures.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Model Bias Audit &amp; Reporting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Conduct and publish a bias audit assessing model performance across Fitzpatrick skin tones I–VI, age groups, sex, and geographic region. Include bias metrics in the app's transparency report.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Dermatological AI models trained on predominantly light-skinned datasets perform significantly worse on dark skin tones — the primary population this app serves.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Condition-Specific Clinical Protocols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Embed WHO and national ministry of health clinical protocols for the top 20 conditions detected (e.g., malaria, TB, scabies, wound infection, cellulitis) as readable reference cards accessible offline.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need clinical guidance alongside AI assessment. Protocols improve treatment decisions and referral appropriateness.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Image Quality Validation Before Inference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Before running Gemma inference, assess image quality (focus, lighting, angle, distance) and prompt the CHW to retake the photo if quality is below acceptable threshold.</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Poor image quality is a primary cause of inaccurate AI assessments. Garbage in, garbage out.</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Multi-Image Composite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capture of multiple images (e.g., wound from different angles, progression over days) and pass them all to the model for a composite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Single images miss important clinical features visible from different angles or over time.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Temporal Progression Tracking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Enable CHWs to compare current images against previous visit images side-by-side, with AI commentary on whether the condition is improving, stable, or deteriorating.</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Wound and skin condition management requires tracking change over time. This is critical for appropriate follow-up and treatment adjustment.</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Antibiotic Stewardship Guardrails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When the AI recommends treatment, flag antibiotic-appropriate conditions clearly and include warnings about antimicrobial resistance. Never recommend specific antibiotic names without reference to local protocol.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AMR is a global health emergency. CHW-level antibiotic guidance must be responsible and protocol-aligned.</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Zoonotic &amp; Outbreak Disease Flags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Include detection prompts for conditions with outbreak potential (cholera, mpox, Lassa fever, measles rash) and trigger an automatic supervisor alert when such a condition is suspected.</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Outbreak detection at community level is one of the highest-value use cases for CHW networks. Early detection saves lives.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Mental Health Screening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brief validated mental health screening tools (PHQ-2 for depression, GAD-2 for anxiety, AUDIT-C for alcohol use) as optional add-ons to any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Mental health is severely underserved in low-resource settings. Brief screening at primary contact can identify cases that would otherwise go undetected.</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Chronic Disease Management Pathways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condition-specific follow-up protocols for hypertension, diabetes, and HIV/TB — the dominant chronic disease burden in target regions — with structured monitoring fields.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most regions are responsible for chronic disease monitoring. The app currently has no pathway for longitudinal chronic disease management.</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bl>
    <w:p>
      <w:r>
        <w:br w:type="page"/>
      </w:r>
    </w:p>
    <w:p>
      <w:pPr>
        <w:pStyle w:val="Heading1"/>
        <w:spacing w:after="180" w:before="360"/>
      </w:pPr>
      <w:r>
        <w:rPr>
          <w:rFonts w:ascii="Arial" w:cs="Arial" w:eastAsia="Arial" w:hAnsi="Arial"/>
          <w:b/>
          <w:bCs/>
          <w:color w:val="0F5D63"/>
          <w:sz w:val="36"/>
          <w:szCs w:val="36"/>
        </w:rPr>
        <w:t xml:space="preserve">Section 2: Functional Requirement Improvements</w:t>
      </w:r>
    </w:p>
    <w:p>
      <w:pPr>
        <w:spacing w:after="160" w:before="80"/>
      </w:pPr>
      <w:r>
        <w:rPr>
          <w:rFonts w:ascii="Arial" w:cs="Arial" w:eastAsia="Arial" w:hAnsi="Arial"/>
          <w:i/>
          <w:iCs/>
          <w:color w:val="555555"/>
          <w:sz w:val="21"/>
          <w:szCs w:val="21"/>
        </w:rPr>
        <w:t xml:space="preserve">These improvements address gaps in core functionality — features that are either absent, partially implemented, or insufficiently robust for the operational realities of CHW deployments.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Offline Patient Search &amp; 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full-text search and multi-field filtering (age, sex, condition, date, urgency) within the local IndexedDB store. Search should return results in &lt;200ms.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Currently patients are likely shown as a flat list. With thousands of records, CHWs cannot efficiently find patients without search.</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Patient Deduplication Engine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fuzzy-matching deduplication system to detect and merge duplicate patient records created offline by different CHWs or across sessions.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 low-literacy contexts, the same patient may be registered multiple times with slightly different names or IDs, fragmenting their health record.</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Barcode / QR Patient ID Scanning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CHWs to scan a QR code or barcode on a patient's health card to instantly pull up their record, eliminating manual ID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Manual ID entry is slow and error-prone in field conditions. Most national health programmes issue barcoded patient cards.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Referral Outcome Tracking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a workflow for CHWs to record what happened after a referral — did the patient attend, what was the diagnosis, what treatment was given — creating a closed feedback loop.</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Without outcome tracking, there is no way to measure whether the triage was correct or whether the referral was acted upon.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Task &amp; Follow-Up Scheduling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CHWs to schedule follow-up reminders for specific patients (e.g., 'Revisit wound in 3 days', 'Check BP in 1 week') with local notification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Follow-up adherence is a major challenge in community health. Scheduled reminders directly embedded in the care record improve continuity.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Multi-Patient Batch Assessment Mode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During community outreach events (e.g., vaccination days, nutrition screening), allow CHWs to rapidly assess 10–30 patients in sequence with a streamlined minimal-input flow.</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Community health outreach involves rapid throughput. The current per-patient flow is too slow for mass screening contexts.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Referral Letter Customisation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supervisors to configure referral letter templates with facility name, logo, facility codes, and custom fields. Support digital signature capture.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Generic referral letters are often not accepted by receiving facilities. Customisation increases acceptance and improves professional credibility.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Two-Way Supervisor Messaging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Enable text-based messaging between CHW and supervisor, stored offline and synced when online. Include ability to share assessment records in the message.</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the field frequently need supervisor guidance on difficult cases. Currently there is no in-app consultation mechanism.</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Drug Formulary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Embed an offline national essential medicines formulary that CHWs can reference when filling prescriptions or advising on over-the-counter treatments.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often have prescribing or dispensing responsibilities. Access to a formulary reduces medication errors.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Immunisation Records Module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a structured immunisation history and schedule module, allowing CHWs to view and update a patient's vaccination status against national immunisation programme schedules.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Vaccination tracking is a core CHW responsibility in most programmes. It is currently absent from the app.</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Family / Household Linkage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patients to be linked as members of a household unit, enabling household-level health monitoring (e.g., flagging when multiple family members present with the same condition).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Many diseases (TB, malnutrition, scabies, cholera) cluster within households. Household-level data is essential for outbreak response.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Intelligent Sync Prioritisation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When syncing, prioritise Red-urgency assessments and new referrals over routine records. Implement partial sync that sends the most critical records first on low-bandwidth connections.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On a slow 2G connection, syncing low-priority records before a Red-urgency case could delay critical supervisor notification.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Offline Protocol Reference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Provide a searchable, offline library of clinical protocols, first aid guides, and condition fact sheets that CHWs can access without triggering an AI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frequently need quick reference information. A searchable protocol library supports clinical decision-making independently of AI.</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Assessment Correction &amp; Amendment</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CHWs and supervisors to annotate, correct, or amend an AI assessment after the fact, with an audit trail of changes.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AI assessments may be incorrect. CHWs with clinical experience need to be able to override and correct the record.</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Batch PDF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supervisors to export multiple assessment records as a single formatted PDF report for submission to district health offices.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Health programme reporting to governments and donors requires aggregated PDF reports, not just CSV exports.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Biometric Patient Identification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Integrate fingerprint or face-recognition-based patient identification for contexts where patients lack formal IDs, preventing misidentification.</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Misidentification of patients in medical settings can lead to serious harm. Biometric ID is the gold standard in low-literacy, low-documentation contexts.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Audio Recording of Consultations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optional recording of the full CHW-patient interaction (with consent), stored offline and available for supervisor review and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Audio records provide accountability, support quality assurance, and are invaluable for training new CHWs.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Geo-Fencing for Catchment Area Alerts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supervisors to define geographic catchment areas and receive alerts when assessments from outside the expected region are submitted.</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Geographic anomalies in data can indicate reporting errors, displaced populations, or emerging disease clusters.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2E74B5"/>
                <w:sz w:val="19"/>
                <w:szCs w:val="19"/>
              </w:rPr>
              <w:t xml:space="preserve">Low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Supervisor Delegation of Cases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supervisors to assign specific patient cases to specific CHWs for follow-up, with task tracking and completion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Case delegation and tracking is essential for managing a CHW network effectively, especially during outbreaks.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Patient Consent Management</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structured, auditable digital consent workflow — capturing what the patient consented to, when, and how (verbal, thumbprint, or signature) — with consent version tracking.</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Verbal consent as currently assumed is inadequate for PHI collection under GDPR, Nigeria DPA, HIPAA, and most national health data laws.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bl>
    <w:p>
      <w:r>
        <w:br w:type="page"/>
      </w:r>
    </w:p>
    <w:p>
      <w:pPr>
        <w:pStyle w:val="Heading1"/>
        <w:spacing w:after="180" w:before="360"/>
      </w:pPr>
      <w:r>
        <w:rPr>
          <w:rFonts w:ascii="Arial" w:cs="Arial" w:eastAsia="Arial" w:hAnsi="Arial"/>
          <w:b/>
          <w:bCs/>
          <w:color w:val="0F5D63"/>
          <w:sz w:val="36"/>
          <w:szCs w:val="36"/>
        </w:rPr>
        <w:t xml:space="preserve">Section 3: Non-Functional Requirement Improvements</w:t>
      </w:r>
    </w:p>
    <w:p>
      <w:pPr>
        <w:spacing w:after="160" w:before="80"/>
      </w:pPr>
      <w:r>
        <w:rPr>
          <w:rFonts w:ascii="Arial" w:cs="Arial" w:eastAsia="Arial" w:hAnsi="Arial"/>
          <w:i/>
          <w:iCs/>
          <w:color w:val="555555"/>
          <w:sz w:val="21"/>
          <w:szCs w:val="21"/>
        </w:rPr>
        <w:t xml:space="preserve">These improvements target performance, reliability, security, accessibility, and technical quality — the characteristics that determine whether the app is trustworthy and practical in real-world CHW deployments.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WebGPU Fallback to WASM/CPU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seamless fallback chain: WebGPU → WebAssembly WASM → CPU-only inference, so the app still functions on devices without WebGPU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WebGPU is only available on ~40% of active Android devices. Most budget Android phones in target regions will not support WebGPU.</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Progressive Model Loading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Stream the Gemma model in chunks with a visible progress bar and resume capability on interrupted downloads. Cache each chunk separately so partial downloads aren't lost.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 1.5GB model download on a 2G connection takes hours. Without resumable downloads, users will repeatedly fail to get the model.</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Model Version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background model update system that downloads new model versions in the background and activates on next app launch, with rollback capability.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 model will need updating as improvements are made. Silent, resumable background updates prevent users from running outdated and potentially less accurate models.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Inference Caching for Similar Images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Cache inference results for visually similar images (using perceptual hash comparison) to avoid redundant model runs for follow-up visits with similar wounds.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Reduces inference time and device battery drain on follow-up visits, which constitute a large proportion of CHW workload.</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Storage Quota Management &amp; Cleanup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proactive storage management: warn at 70% capacity, offer cleanup options at 80%, auto-archive old synced records at 90%, and prevent new records that would exceed device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 SRS mentions graceful degradation at 80% but lacks a proactive management strategy. Storage exhaustion in the field means lost patient records.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App Bundle Size Optimisation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aggressive code splitting, tree shaking, and lazy loading to reduce the initial JS bundle size. Target &lt;500KB initial load.</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On slow mobile connections, large initial bundle sizes create unacceptable load times that discourage use.</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Battery Consumption Optimisation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Profile and optimise WebGPU inference to reduce peak power draw. Implement a 'low battery mode' that defers non-critical sync tasks when battery &lt;20%.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the field may not have reliable charging access. Excessive battery drain during inference could leave them unable to complete a full day's work.</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Response Time SLAs per Feature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Define and instrument per-feature performance budgets: image capture &lt;500ms, AI analysis display start &lt;2s, patient record load &lt;300ms, sync status update &lt;1s.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 SRS has aggregate performance targets but not feature-level SLAs. Without granular targets, performance regressions go undetected.</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Memory Pressure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explicit memory management for WebGPU inference: release GPU buffers immediately after inference, monitor memory pressure events, and gracefully terminate and restart the model if OOM occurs.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WebLLM model loading on a 4GB RAM device leaves very little headroom. Without explicit memory management, the app will crash on constrained devices.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Background Sync Conflict Resolution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Replace last-write-wins conflict resolution with a proper three-way merge strategy, with supervisor-mediated conflict resolution for irreconcilable differences.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Last-write-wins can silently destroy valid clinical data when two CHWs update the same patient record while offline.</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WCAG 2.2 AA Accessibility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Audit and remediate the app to meet WCAG 2.2 Level AA, with particular attention to colour contrast ratios, touch target sizes, screen reader support, and focus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Accessibility compliance is a legal requirement in many jurisdictions and ensures the app is usable by CHWs with visual impairments.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Low-Light Camera Optimisation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camera preprocessing (histogram equalisation, denoising) to improve image capture quality in low-light conditions common in rural field settings.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Many CHW assessments occur in poorly lit environments (homes, community spaces). Image quality directly affects AI accuracy.</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Network Quality Detection &amp; Adaptive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Detect connection quality (2G/3G/4G/WiFi) and adapt sync behaviour: compress payloads more aggressively on 2G, defer image uploads to WiFi, send text-only metadata 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Binary approach to online/offline ignores real-world spectrum of poor-but-present connectivity common in target regions.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Automated End-to-End Testing Suite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Playwright E2E test suite covering all critical paths: triage flow, offline operation, sync, referral generation. Run on every commit.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 app currently has accessibility tests but the SRS shows no evidence of comprehensive E2E test coverage for medical workflows.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Load Testing for Sync 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Conduct load tests simulating 500 CHWs simultaneously syncing after a community health day (high burst traffic pattern common in the deployment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Supabase free tier may not handle the burst traffic pattern typical of CHW deployments (everyone syncs after a community event).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Structured Error Logging &amp; Monitoring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Sentry or equivalent error monitoring with structured context (device, app version, model version, action) to enable diagnosis of field failures.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Field failures are notoriously difficult to debug without structured remote logging. CHWs cannot report technical errors accurately.</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Localisation Quality Assurance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Conduct native speaker review of all 6 current languages for medical terminology accuracy. Establish a community-based translation review process for ongoing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Machine-translated medical terminology is often inaccurate and can cause confusion or clinical errors among users.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Cold Start Optimisation on Low-End Devices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Profile app cold start on a $80–$100 Android device (target device profile) and optimise to meet the &lt;3s target. Current target may be achievable only on mid-range devices.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target regions are most likely using budget Android devices, not the mid-range devices typically used in development.</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PWA Install Prompt Optimisation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contextual, dismissible PWA install prompt that appears after first successful triage, not immediately on landing. Track install conversion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Premature install prompts are the leading cause of PWA install abandonment. Timing them to a moment of value increases conversion.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Data Integrity Checksums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cryptographic checksums (SHA-256) to all stored patient and assessment records, verified on read and on sync, to detect data corruption from storage failures.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IndexedDB data can be silently corrupted by storage failures. Medical records require integrity verification.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bl>
    <w:p>
      <w:r>
        <w:br w:type="page"/>
      </w:r>
    </w:p>
    <w:p>
      <w:pPr>
        <w:pStyle w:val="Heading1"/>
        <w:spacing w:after="180" w:before="360"/>
      </w:pPr>
      <w:r>
        <w:rPr>
          <w:rFonts w:ascii="Arial" w:cs="Arial" w:eastAsia="Arial" w:hAnsi="Arial"/>
          <w:b/>
          <w:bCs/>
          <w:color w:val="0F5D63"/>
          <w:sz w:val="36"/>
          <w:szCs w:val="36"/>
        </w:rPr>
        <w:t xml:space="preserve">Section 4: Security &amp; Regulatory Compliance Improvements</w:t>
      </w:r>
    </w:p>
    <w:p>
      <w:pPr>
        <w:spacing w:after="160" w:before="80"/>
      </w:pPr>
      <w:r>
        <w:rPr>
          <w:rFonts w:ascii="Arial" w:cs="Arial" w:eastAsia="Arial" w:hAnsi="Arial"/>
          <w:i/>
          <w:iCs/>
          <w:color w:val="555555"/>
          <w:sz w:val="21"/>
          <w:szCs w:val="21"/>
        </w:rPr>
        <w:t xml:space="preserve">Medical applications handling Protected Health Information face strict legal and ethical obligations. These improvements address critical security gaps and regulatory compliance requirements for institutional adoption.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On-Device Data Encryption at Rest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Encrypt all IndexedDB data using AES-256 with a key derived from the CHW's PIN (PBKDF2, 100k iterations). Ensure data is unreadable if the device is lost.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 SRS states PHI stays on-device but does not specify encryption at rest. A lost device with unencrypted PHI is a serious HIPAA/DPA violation.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Biometric Authentication Option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fingerprint / face unlock as an alternative to PIN for app access, using the device's secure enclave via WebAuthn.</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PIN-based auth is vulnerable to shoulder surfing. Biometric auth is faster and more secure in field settings.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Session Timeout &amp; Auto-Lock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automatic screen lock after 5 minutes of inactivity, requiring re-authentication. Configurable by supervisor.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Unattended unlocked devices with PHI are a common data breach vector in clinical settings.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Audit Trail for All Data Access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Log every read, write, and delete action on patient records with timestamp, CHW ID, and action type. Store audit log separately from clinical data and sync to backend.</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Audit trails are required by HIPAA, GDPR, and Nigeria DPA for PHI access. They are also essential for detecting unauthorised access.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Role-Based Data Access Refinement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fine-grained RBAC: CHWs can only access their own patients; supervisors can access their assigned CHWs; regional managers see aggregated anonymised data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Current RLS via Supabase may be correctly configured but the SRS does not specify the full RBAC matrix. Over-privileged access is a common data breach cause.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Sync Transport Security Hardening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Enforce TLS 1.3 minimum, certificate pinning for Supabase endpoints, and HSTS headers. Reject connections to known-bad certificate authorities.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Standard HTTPS is insufficient for medical data. Certificate pinning prevents man-in-the-middle attacks on public WiFi hotspots.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Patient Anonymisation for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Ensure supervisor analytics and CSV exports use k-anonymity (k≥5) to prevent re-identification of patients from small geographic cohorts.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Small villages can have as few as 50–100 residents. Even 'anonymised' data can trivially re-identify patients in small communities.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Vulnerability Disclosure Programme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Establish a responsible disclosure policy and bug bounty programme. Add a SECURITY.md to the repo with disclosure instructions.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As an open-source medical app, responsible disclosure is essential. Security researchers need a clear channel to report vulnerabilities.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69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Dependency Security Scanning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Integrate automated dependency vulnerability scanning (Dependabot, Snyk) into the CI/CD pipeline with mandatory remediation for high/critical CVEs.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Medical software with unpatched dependencies has been the cause of multiple high-profile healthcare data breaches.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Regulatory Compliance Documentation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Prepare and publish a regulatory compliance matrix mapping app features to HIPAA Technical Safeguards, GDPR Article 25 (Privacy by Design), and applicable national regulations (Nigeria DPA, India DPDP Act).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NGO and government deployments will require compliance documentation before procurement. This is currently a blocker for institutional adoption.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Penetration 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Commission a formal penetration test by an independent security firm before any institutional deployment, covering the PWA, Supabase backend, and sync protocol.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Self-reported security measures are insufficient for a medical application handling PHI.</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Device Loss / Remote Wipe Protocol</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supervisor-triggered remote wipe capability that deletes all local PHI from a registered device when it is reported lost or stolen.</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Device loss is common in field settings. Remote wipe is a standard requirement for enterprise mobile device management with PHI.</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bl>
    <w:p>
      <w:r>
        <w:br w:type="page"/>
      </w:r>
    </w:p>
    <w:p>
      <w:pPr>
        <w:pStyle w:val="Heading1"/>
        <w:spacing w:after="180" w:before="360"/>
      </w:pPr>
      <w:r>
        <w:rPr>
          <w:rFonts w:ascii="Arial" w:cs="Arial" w:eastAsia="Arial" w:hAnsi="Arial"/>
          <w:b/>
          <w:bCs/>
          <w:color w:val="0F5D63"/>
          <w:sz w:val="36"/>
          <w:szCs w:val="36"/>
        </w:rPr>
        <w:t xml:space="preserve">Section 5: User Experience &amp; Accessibility Improvements</w:t>
      </w:r>
    </w:p>
    <w:p>
      <w:pPr>
        <w:spacing w:after="160" w:before="80"/>
      </w:pPr>
      <w:r>
        <w:rPr>
          <w:rFonts w:ascii="Arial" w:cs="Arial" w:eastAsia="Arial" w:hAnsi="Arial"/>
          <w:i/>
          <w:iCs/>
          <w:color w:val="555555"/>
          <w:sz w:val="21"/>
          <w:szCs w:val="21"/>
        </w:rPr>
        <w:t xml:space="preserve">These improvements address the day-to-day usability of the app for CHWs, many of whom may have limited technology experience and are working in challenging field conditions with low light, physical stress, and time pressure.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Guided Onboarding with Simulated Triage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an interactive onboarding tutorial that walks new CHWs through a simulated triage case using sample images and pre-loaded voice prompts. Completable offline.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rural settings often have limited tech literacy. An interactive tutorial dramatically reduces training time and reduces first-use errors.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Offline-Available Help &amp; FAQs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Provide a comprehensive offline help centre with text, illustrated guides, and short video walkthroughs for every core feature. Searchable.</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work alone in the field without access to live support. Offline help is their only resource when they encounter unfamiliar situations.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Customisable Dashboard Widgets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CHWs to customise their dashboard — choosing which stats, patient lists, and shortcuts appear most prominently based on their typical workload.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different programmes have very different workflows (antenatal care vs. wound care vs. nutrition). A one-size-fits-all dashboard creates friction.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76</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High-Contrast &amp; Sunlight-Readable Mode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 dedicated high-contrast mode optimised for bright outdoor sunlight, with maximum contrast ratios and anti-glare CSS rendering optimisations.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Many CHW assessments take place outdoors. Standard screens are very difficult to read in direct sunlight.</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Haptic Feedback for Critical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Use device vibration patterns to signal urgency levels — short pulse for green, double pulse for yellow, long sustained pulse for red — enabling eyes-free urgency awareness.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may be focused on the patient rather than the screen. Tactile urgency signals improve situational awareness.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78</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Simplified 3-Screen CHW Mode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Create an ultra-simplified 'field mode' that reduces the app to 3 screens: Take Photo, View Result, Save/Refer — hiding all other features. Configurable by supervisor.</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Cognitive load in clinical encounters is high. Reducing the UI to its essential minimum for CHWs improves speed and reduces errors.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79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Progress Indicators Throughout Triage 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a clear step-by-step progress indicator (Step 1 of 4: Capture Photo) throughout the triage flow so CHWs always know where they are and what comes next.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Without progress indication, CHWs may not know if the app is loading, processing, or waiting for input — especially during AI inference.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80</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Undo / Back Navigation Throughout</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Ensure full back-navigation at every step of the triage flow, with confirmation prompts before discarding in-progress assessments.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Errors in photo capture or data entry should be easily correctable. Dead-end screens with no back button are a significant UX failure.</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Offline Status Communication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Replace the simple offline indicator with a rich status panel: what features are available offline, what is queued for sync, estimated sync time when connectivity returns.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need to understand not just that they're offline, but what that means for their current workflow.</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82</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Patient Photo for Record Identification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optional capture of a patient face photo for their record, enabling visual patient identification on subsequent visits — especially for patients without formal IDs.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 low-literacy, low-documentation contexts, visual identification significantly reduces patient misidentification errors.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Tablet &amp; Larger Screen Optimisation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Optimise the layout for tablet screens (supervisors are likely to use tablets or laptops), with multi-column layouts and keyboard navigation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 supervisor dashboard is impractical on a phone screen. Tablet-optimised layouts are necessary for operational use by clinic administrators.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84</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Notification Centre for CHWs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an in-app notification centre showing: referral status updates, supervisor messages, overdue follow-ups, and sync completion notices.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need to know when their referrals are acted upon and when follow-up actions are due. Currently there is no notification system.</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Graceful Degradation Messaging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When the AI model is not loaded or inference fails, show clear, helpful messages explaining what to do (take notes manually, refer conservatively) rather than generic error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CHWs in the field cannot diagnose technical errors. Clear failure guidance prevents abandoned assessments and patient safety lapses.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bl>
    <w:p>
      <w:r>
        <w:br w:type="page"/>
      </w:r>
    </w:p>
    <w:p>
      <w:pPr>
        <w:pStyle w:val="Heading1"/>
        <w:spacing w:after="180" w:before="360"/>
      </w:pPr>
      <w:r>
        <w:rPr>
          <w:rFonts w:ascii="Arial" w:cs="Arial" w:eastAsia="Arial" w:hAnsi="Arial"/>
          <w:b/>
          <w:bCs/>
          <w:color w:val="0F5D63"/>
          <w:sz w:val="36"/>
          <w:szCs w:val="36"/>
        </w:rPr>
        <w:t xml:space="preserve">Section 6: Supervisor, Analytics &amp; Programme Management Improvements</w:t>
      </w:r>
    </w:p>
    <w:p>
      <w:pPr>
        <w:spacing w:after="160" w:before="80"/>
      </w:pPr>
      <w:r>
        <w:rPr>
          <w:rFonts w:ascii="Arial" w:cs="Arial" w:eastAsia="Arial" w:hAnsi="Arial"/>
          <w:i/>
          <w:iCs/>
          <w:color w:val="555555"/>
          <w:sz w:val="21"/>
          <w:szCs w:val="21"/>
        </w:rPr>
        <w:t xml:space="preserve">These improvements extend Trij from a CHW tool into a full programme management platform — creating value for supervisors, programme managers, governments, and donors who fund and oversee community health programmes.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Real-Time Outbreak Detection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automated clustering analysis on the supervisor map — automatically highlighting geographic clusters of similar conditions that may indicate an emerging outbreak.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Early outbreak detection is one of the most impactful uses of CHW network data. Manual pattern recognition in raw data is too slow.</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87</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 Performance Analytics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Provide supervisors with per-CHW analytics: assessments per day, referral rate, referral outcome rate, AI override rate, sync compliance — with trend lines.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Supervisors cannot manage what they cannot measure. CHW performance data enables targeted supervision and training.</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Predictive Demand Forecasting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Use historical assessment data to predict periods of high demand (seasonal disease peaks, community events) and proactively alert supervisors to increase CHW capacity.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Seasonal diseases (malaria, respiratory infections) create predictable demand surges. Forecasting enables proactive resource allocation.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89</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Integration with DHIS2</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DHIS2 export adaptor that maps Trij assessment data to standard DHIS2 data elements and indicators, enabling automated reporting to national health information systems.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DHIS2 is the national health information system in 73 countries including Nigeria, Kenya, Uganda, and India. Integration is required for government adoption.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00000"/>
                <w:sz w:val="19"/>
                <w:szCs w:val="19"/>
              </w:rPr>
              <w:t xml:space="preserve">Critical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Supervisor Mobile App Optimisation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Create a supervisor-specific mobile view optimised for managing a team on the go: quick queue review, one-tap referral acknowledgement, alert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Supervisors are also often in the field. A mobile-optimised supervisor view increases responsiveness to CHW alerts.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91</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Analytics Export to Power BI / Tableau</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Provide pre-built connectors or data export formats compatible with Power BI and Tableau for donors and programme managers who use these tools.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NGO donors and government programme managers use Power BI and Tableau for reporting. Native compatibility removes a barrier to institutional adoption.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Cascade Training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supervisor-managed training mode where supervisors can push case studies (real anonymised cases or synthetic) to CHW devices for practice and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Ongoing CHW training is a major programme cost. In-app cascade training via the existing infrastructure reduces training costs.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93</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Supply Chain Integration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CHWs to flag when essential medicines or supplies are low, triggering automated procurement requests to the supervisor dashboard.</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Supply stockouts are a leading cause of preventable deaths in community health programmes. CHW-level supply flagging enables proactive restocking.</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Community Health Mapping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supervisors to define and display the geographic boundaries of each CHW's catchment area, with coverage gap visualisation.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Coverage gap analysis is a standard supervisory tool for identifying underserved populations.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95</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Programme-Level Configuration Console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web-based admin console for programme managers to configure: CHW roles, catchment areas, referral destinations, clinical protocol versions, and language settings.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Different programmes have different clinical protocols and referral pathways. A configuration console enables contextualisation without code changes.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bl>
    <w:p>
      <w:r>
        <w:br w:type="page"/>
      </w:r>
    </w:p>
    <w:p>
      <w:pPr>
        <w:pStyle w:val="Heading1"/>
        <w:spacing w:after="180" w:before="360"/>
      </w:pPr>
      <w:r>
        <w:rPr>
          <w:rFonts w:ascii="Arial" w:cs="Arial" w:eastAsia="Arial" w:hAnsi="Arial"/>
          <w:b/>
          <w:bCs/>
          <w:color w:val="0F5D63"/>
          <w:sz w:val="36"/>
          <w:szCs w:val="36"/>
        </w:rPr>
        <w:t xml:space="preserve">Section 7: Transformative New Features &amp; Strategic Improvements</w:t>
      </w:r>
    </w:p>
    <w:p>
      <w:pPr>
        <w:spacing w:after="160" w:before="80"/>
      </w:pPr>
      <w:r>
        <w:rPr>
          <w:rFonts w:ascii="Arial" w:cs="Arial" w:eastAsia="Arial" w:hAnsi="Arial"/>
          <w:i/>
          <w:iCs/>
          <w:color w:val="555555"/>
          <w:sz w:val="21"/>
          <w:szCs w:val="21"/>
        </w:rPr>
        <w:t xml:space="preserve">These improvements go beyond fixing gaps in the existing specification to propose new capabilities that could transform Trij from a triage tool into a comprehensive community health platform — and a globally significant contribution to healthcare infrastructure in low-resource settings.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2800"/>
        <w:gridCol w:w="2000"/>
        <w:gridCol w:w="1120"/>
      </w:tblGrid>
      <w:tr>
        <w:trPr>
          <w:tblHeader/>
        </w:trPr>
        <w:tc>
          <w:tcPr>
            <w:tcW w:type="dxa" w:w="44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c>
          <w:tcPr>
            <w:tcW w:type="dxa" w:w="28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12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Telemedicine Consultation Module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When online, enable CHWs to initiate a structured asynchronous teleconsultation — sharing assessment data, images, and voice notes with a remote clinician who responds within 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Asynchronous telemedicine (store-and-forward) is proven to extend specialist reach to remote areas at low cost. It is the natural extension of an AI triage tool.</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97</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Community Disease Surveillance Network</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Aggregate anonymised, de-identified assessment data across CHW networks to create a community-level disease surveillance system, reporting to national health authorities.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Trij is uniquely positioned to build the world's largest community-level disease surveillance network in low-resource settings — a transformative public health contribution.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AI-Powered CHW Training Chatbot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Embed an offline AI tutor (smaller model, &lt;200MB) that can answer CHW clinical questions, explain medical concepts, and quiz CHWs on protocols.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Continuous learning support for CHWs is one of the biggest gaps in global health programmes. An offline AI tutor provides 24/7 clinical education.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99</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Vital Signs Estimation from Camera</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Explore and prototype camera-based rPPG (remote photoplethysmography) for contactless heart rate and respiratory rate estimation, usable without separate equipment.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Camera-based vital signs estimation is scientifically validated and could enable a CHW to capture critical vital signs without any additional devices.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Wearable Device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Integrate with low-cost Bluetooth pulse oximeters, glucometers, and thermometers (widely used by CHW programmes) to auto-populate vital signs directly into the assessment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Bluetooth health devices are increasingly affordable. Auto-population eliminates transcription errors and speeds up assessment.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101</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Open Health API for EHR Integration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FHIR R4-compliant REST API layer that allows institutional EHR systems (OpenMRS, DHIS2, etc.) to read/write Trij patient data.</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FHIR compliance is the global standard for health data interoperability. It unlocks integration with every major EHR system used in low-resource settings.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Federated Learning for Model Improvement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privacy-preserving federated learning so the on-device model can improve from real-world usage patterns without any patient data ever leaving the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Federated learning enables continuous model improvement at scale without centralising sensitive medical data — the ideal approach for this application.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103</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Digital Health Passport for Patients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Enable patients to receive a digital health summary (QR code or NFC) of their triage history that they can share with any clinic, independent of the Trij system.</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Patient-held health records are a proven intervention for improving care continuity in low-resource settings where facility records are unreliable.</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Automated Report Generation for Donors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Generate automated monthly programme reports in donor-preferred formats (WHO HMIS templates, PEPFAR reporting formats, Global Fund templates) with one click.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Donor reporting is an enormous administrative burden on programme managers. Automation of these reports is a high-value differentiator for NGO procurement.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105</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SMS Fallback for Sync on Feature Phones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an SMS-based sync protocol (structured SMS to a gateway) for CHWs in areas with no data connectivity but GSM voice/SMS coverage.</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 many remote areas, data connectivity is absent but GSM SMS is available. SMS-based sync extends Trij's reach to the most remote CHWs.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Pictogram-Based UI for Low-Literacy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Develop a pictogram-driven alternative UI where every action can be completed using visual symbols rather than text, for CHWs with lower literacy 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Literacy levels among CHWs in some target regions (rural Sub-Saharan Africa) may be limited. Pictogram-based UIs are proven in this context.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107</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Drone / Remote Area Supply Integration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Partner with medical drone logistics providers (Zipline, Swoop Aero) to enable CHWs to request emergency supply drops directly from the app.</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Drone medical supply logistics is now operational in Rwanda, Ghana, and Nigeria. Integration creates a seamless emergency supply chain.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2E74B5"/>
                <w:sz w:val="19"/>
                <w:szCs w:val="19"/>
              </w:rPr>
              <w:t xml:space="preserve">Low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Community Health Worker Well-Being Module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Add a brief well-being check-in for CHWs themselves — monitoring burnout indicators, flagging CHWs who may need supervisor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CHW burnout and attrition is one of the biggest challenges in community health programmes. Proactive well-being monitoring is novel and impactful.</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109</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Child Growth Monitoring with Z-Scores</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Implement WHO child growth standard calculations (weight-for-age, height-for-age, MUAC-for-age) with Z-score computation and malnutrition category output.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Child growth monitoring is the single most common task performed by CHWs globally. Its absence is a major functional gap.</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Epidemic Simulation &amp; Scenario Planning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Provide supervisor-level epidemic scenario modelling tools — showing projected caseloads under different intervention scenarios — to support outbreak response planning.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Decision-makers need predictive tools during outbreaks, not just historical data. Simulation supports proactive rather than reactive response.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4B5"/>
                <w:sz w:val="19"/>
                <w:szCs w:val="19"/>
              </w:rPr>
              <w:t xml:space="preserve">Low</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111</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Multi-Language Model Switching</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the AI model to be switched between language-specific fine-tuned variants so that voice assessment and medical terminology are optimised for each language.</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 general multilingual model performs worse than a language-specific fine-tuned model for clinical reasoning in local languages.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Structured Case-Based Learning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library of real-world anonymised case studies from Trij deployments that supervisors can push to CHW devices as learning material.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Case-based learning is the most effective method for CHW skill development. A continuously growing case library is a sustainable training resource.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113</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Open-Source Community Contribution Portal</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 contributor portal where clinicians, translators, and developers can submit protocol updates, language improvements, and new condition entries through a structured review workflow.</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Sustainable open-source medical tools require community contribution. A structured contribution portal enables the community to continuously improve clinical content.</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AI Confidence Feedback Loop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Allow CHWs and supervisors to rate AI assessments (correct / partially correct / incorrect), building a structured feedback dataset for model fine-tuning.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Human feedback on AI medical assessments is the most valuable signal for model improvement. A systematic feedback loop is transformative for model quality.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115</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Multi-Modal Input: Thermal Camera Support</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Explore integration with affordable thermal camera attachments (FLIR ONE, ~$200) to add thermal imaging for fever detection, wound inflammation, and circulation assessment.</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Thermal imaging provides clinical information impossible to capture with standard cameras — particularly valuable for wound assessment and fever screening.</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2E74B5"/>
                <w:sz w:val="19"/>
                <w:szCs w:val="19"/>
              </w:rPr>
              <w:t xml:space="preserve">Low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Predictive CHW Dispatch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Based on historical disease patterns and current assessment data, proactively suggest which geographic areas a CHW should prioritise visiting on a given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Proactive dispatch based on predictive modelling can significantly increase the impact of limited CHW time — particularly during seasonal disease peaks.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117</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National Health ID Integration</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Integrate with national health identification systems (e.g., Nigeria NHIA, India Ayushman Bharat) to link Trij records with official patient health records.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National health ID integration is required for records to be recognised by the formal health system — a prerequisite for official programme adoption.</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Prescription &amp; Treatment Plan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Generate structured treatment plans and, where CHWs have prescribing authority, generate prescriptions aligned to national protocol within defined scope of practice.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Where CHWs have prescribing authority (many programmes), structured prescription generation reduces errors and improves protocol adherence.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r>
        <w:tc>
          <w:tcPr>
            <w:tcW w:type="dxa" w:w="44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119</w:t>
            </w:r>
          </w:p>
        </w:tc>
        <w:tc>
          <w:tcPr>
            <w:tcW w:type="dxa" w:w="24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Cross-Platform Native App (React Native)</w:t>
            </w:r>
          </w:p>
        </w:tc>
        <w:tc>
          <w:tcPr>
            <w:tcW w:type="dxa" w:w="28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Develop a React Native wrapper to distribute Trij as a native Android app via Google Play, improving install trust, background sync reliability, and access to native APIs.</w:t>
            </w:r>
          </w:p>
        </w:tc>
        <w:tc>
          <w:tcPr>
            <w:tcW w:type="dxa" w:w="2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PWA install rates are significantly lower than native app installs. Play Store distribution dramatically increases reach in target markets.</w:t>
            </w:r>
          </w:p>
        </w:tc>
        <w:tc>
          <w:tcPr>
            <w:tcW w:type="dxa" w:w="112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r>
              <w:rPr>
                <w:rFonts w:ascii="Arial" w:cs="Arial" w:eastAsia="Arial" w:hAnsi="Arial"/>
                <w:b/>
                <w:bCs/>
                <w:color w:val="C55A11"/>
                <w:sz w:val="19"/>
                <w:szCs w:val="19"/>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Impact Measurement &amp; Reporting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Build an impact dashboard showing: lives impacted, conditions detected, referrals made and completed, time to care, geographic reach — shareable for donor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9"/>
                <w:szCs w:val="19"/>
              </w:rPr>
              <w:t xml:space="preserve">Impact measurement is essential for donor funding, government partnerships, and programme accountability. A real-time impact dashboard is a powerful advocacy tool.</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E"/>
                <w:sz w:val="19"/>
                <w:szCs w:val="19"/>
              </w:rPr>
              <w:t xml:space="preserve">Medium</w:t>
            </w:r>
          </w:p>
        </w:tc>
      </w:tr>
    </w:tbl>
    <w:p>
      <w:r>
        <w:br w:type="page"/>
      </w:r>
    </w:p>
    <w:p>
      <w:pPr>
        <w:pStyle w:val="Heading1"/>
        <w:spacing w:after="180" w:before="360"/>
      </w:pPr>
      <w:r>
        <w:rPr>
          <w:rFonts w:ascii="Arial" w:cs="Arial" w:eastAsia="Arial" w:hAnsi="Arial"/>
          <w:b/>
          <w:bCs/>
          <w:color w:val="0F5D63"/>
          <w:sz w:val="36"/>
          <w:szCs w:val="36"/>
        </w:rPr>
        <w:t xml:space="preserve">Implementation Roadmap</w:t>
      </w:r>
    </w:p>
    <w:p>
      <w:pPr>
        <w:spacing w:after="60" w:before="60"/>
      </w:pPr>
      <w:r>
        <w:rPr>
          <w:rFonts w:ascii="Arial" w:cs="Arial" w:eastAsia="Arial" w:hAnsi="Arial"/>
          <w:sz w:val="22"/>
          <w:szCs w:val="22"/>
        </w:rPr>
        <w:t xml:space="preserve">The following phased roadmap groups the 120 improvements by priority and interdependency. Phases are indicative; actual timelines depend on team size and funding.</w:t>
      </w:r>
    </w:p>
    <w:p>
      <w:pPr>
        <w:spacing w:after="60" w:before="60"/>
      </w:pPr>
      <w:r>
        <w:t xml:space="preserve"/>
      </w:r>
    </w:p>
    <w:p>
      <w:pPr>
        <w:pStyle w:val="Heading2"/>
        <w:spacing w:after="120" w:before="300"/>
      </w:pPr>
      <w:r>
        <w:rPr>
          <w:rFonts w:ascii="Arial" w:cs="Arial" w:eastAsia="Arial" w:hAnsi="Arial"/>
          <w:b/>
          <w:bCs/>
          <w:color w:val="1A7A82"/>
          <w:sz w:val="28"/>
          <w:szCs w:val="28"/>
        </w:rPr>
        <w:t xml:space="preserve">Phase 1 — Patient Safety Foundation (Months 1–3)</w:t>
      </w:r>
    </w:p>
    <w:p>
      <w:pPr>
        <w:spacing w:after="160" w:before="80"/>
      </w:pPr>
      <w:r>
        <w:rPr>
          <w:rFonts w:ascii="Arial" w:cs="Arial" w:eastAsia="Arial" w:hAnsi="Arial"/>
          <w:i/>
          <w:iCs/>
          <w:color w:val="555555"/>
          <w:sz w:val="21"/>
          <w:szCs w:val="21"/>
        </w:rPr>
        <w:t xml:space="preserve">Address all Critical-rated items before any clinical deployment.</w:t>
      </w:r>
    </w:p>
    <w:p>
      <w:pPr>
        <w:pStyle w:val="ListParagraph"/>
        <w:numPr>
          <w:ilvl w:val="0"/>
          <w:numId w:val="2"/>
        </w:numPr>
        <w:spacing w:after="40" w:before="40"/>
      </w:pPr>
      <w:r>
        <w:rPr>
          <w:rFonts w:ascii="Arial" w:cs="Arial" w:eastAsia="Arial" w:hAnsi="Arial"/>
          <w:b w:val="false"/>
          <w:bCs w:val="false"/>
          <w:sz w:val="22"/>
          <w:szCs w:val="22"/>
        </w:rPr>
        <w:t xml:space="preserve">Red flag symptom detection rules (#3)</w:t>
      </w:r>
    </w:p>
    <w:p>
      <w:pPr>
        <w:pStyle w:val="ListParagraph"/>
        <w:numPr>
          <w:ilvl w:val="0"/>
          <w:numId w:val="2"/>
        </w:numPr>
        <w:spacing w:after="40" w:before="40"/>
      </w:pPr>
      <w:r>
        <w:rPr>
          <w:rFonts w:ascii="Arial" w:cs="Arial" w:eastAsia="Arial" w:hAnsi="Arial"/>
          <w:b w:val="false"/>
          <w:bCs w:val="false"/>
          <w:sz w:val="22"/>
          <w:szCs w:val="22"/>
        </w:rPr>
        <w:t xml:space="preserve">Paediatric IMCI assessment pathways (#5)</w:t>
      </w:r>
    </w:p>
    <w:p>
      <w:pPr>
        <w:pStyle w:val="ListParagraph"/>
        <w:numPr>
          <w:ilvl w:val="0"/>
          <w:numId w:val="2"/>
        </w:numPr>
        <w:spacing w:after="40" w:before="40"/>
      </w:pPr>
      <w:r>
        <w:rPr>
          <w:rFonts w:ascii="Arial" w:cs="Arial" w:eastAsia="Arial" w:hAnsi="Arial"/>
          <w:b w:val="false"/>
          <w:bCs w:val="false"/>
          <w:sz w:val="22"/>
          <w:szCs w:val="22"/>
        </w:rPr>
        <w:t xml:space="preserve">Maternal health triage module (#6)</w:t>
      </w:r>
    </w:p>
    <w:p>
      <w:pPr>
        <w:pStyle w:val="ListParagraph"/>
        <w:numPr>
          <w:ilvl w:val="0"/>
          <w:numId w:val="2"/>
        </w:numPr>
        <w:spacing w:after="40" w:before="40"/>
      </w:pPr>
      <w:r>
        <w:rPr>
          <w:rFonts w:ascii="Arial" w:cs="Arial" w:eastAsia="Arial" w:hAnsi="Arial"/>
          <w:b w:val="false"/>
          <w:bCs w:val="false"/>
          <w:sz w:val="22"/>
          <w:szCs w:val="22"/>
        </w:rPr>
        <w:t xml:space="preserve">Vital signs input module (#8)</w:t>
      </w:r>
    </w:p>
    <w:p>
      <w:pPr>
        <w:pStyle w:val="ListParagraph"/>
        <w:numPr>
          <w:ilvl w:val="0"/>
          <w:numId w:val="2"/>
        </w:numPr>
        <w:spacing w:after="40" w:before="40"/>
      </w:pPr>
      <w:r>
        <w:rPr>
          <w:rFonts w:ascii="Arial" w:cs="Arial" w:eastAsia="Arial" w:hAnsi="Arial"/>
          <w:b w:val="false"/>
          <w:bCs w:val="false"/>
          <w:sz w:val="22"/>
          <w:szCs w:val="22"/>
        </w:rPr>
        <w:t xml:space="preserve">Model bias audit across Fitzpatrick skin tones (#12)</w:t>
      </w:r>
    </w:p>
    <w:p>
      <w:pPr>
        <w:pStyle w:val="ListParagraph"/>
        <w:numPr>
          <w:ilvl w:val="0"/>
          <w:numId w:val="2"/>
        </w:numPr>
        <w:spacing w:after="40" w:before="40"/>
      </w:pPr>
      <w:r>
        <w:rPr>
          <w:rFonts w:ascii="Arial" w:cs="Arial" w:eastAsia="Arial" w:hAnsi="Arial"/>
          <w:b w:val="false"/>
          <w:bCs w:val="false"/>
          <w:sz w:val="22"/>
          <w:szCs w:val="22"/>
        </w:rPr>
        <w:t xml:space="preserve">Antibiotic stewardship guardrails (#17)</w:t>
      </w:r>
    </w:p>
    <w:p>
      <w:pPr>
        <w:pStyle w:val="ListParagraph"/>
        <w:numPr>
          <w:ilvl w:val="0"/>
          <w:numId w:val="2"/>
        </w:numPr>
        <w:spacing w:after="40" w:before="40"/>
      </w:pPr>
      <w:r>
        <w:rPr>
          <w:rFonts w:ascii="Arial" w:cs="Arial" w:eastAsia="Arial" w:hAnsi="Arial"/>
          <w:b w:val="false"/>
          <w:bCs w:val="false"/>
          <w:sz w:val="22"/>
          <w:szCs w:val="22"/>
        </w:rPr>
        <w:t xml:space="preserve">On-device data encryption at rest (#61)</w:t>
      </w:r>
    </w:p>
    <w:p>
      <w:pPr>
        <w:pStyle w:val="ListParagraph"/>
        <w:numPr>
          <w:ilvl w:val="0"/>
          <w:numId w:val="2"/>
        </w:numPr>
        <w:spacing w:after="40" w:before="40"/>
      </w:pPr>
      <w:r>
        <w:rPr>
          <w:rFonts w:ascii="Arial" w:cs="Arial" w:eastAsia="Arial" w:hAnsi="Arial"/>
          <w:b w:val="false"/>
          <w:bCs w:val="false"/>
          <w:sz w:val="22"/>
          <w:szCs w:val="22"/>
        </w:rPr>
        <w:t xml:space="preserve">Patient consent management (#40)</w:t>
      </w:r>
    </w:p>
    <w:p>
      <w:pPr>
        <w:pStyle w:val="ListParagraph"/>
        <w:numPr>
          <w:ilvl w:val="0"/>
          <w:numId w:val="2"/>
        </w:numPr>
        <w:spacing w:after="40" w:before="40"/>
      </w:pPr>
      <w:r>
        <w:rPr>
          <w:rFonts w:ascii="Arial" w:cs="Arial" w:eastAsia="Arial" w:hAnsi="Arial"/>
          <w:b w:val="false"/>
          <w:bCs w:val="false"/>
          <w:sz w:val="22"/>
          <w:szCs w:val="22"/>
        </w:rPr>
        <w:t xml:space="preserve">Audit trail for all data access (#64)</w:t>
      </w:r>
    </w:p>
    <w:p>
      <w:pPr>
        <w:pStyle w:val="ListParagraph"/>
        <w:numPr>
          <w:ilvl w:val="0"/>
          <w:numId w:val="2"/>
        </w:numPr>
        <w:spacing w:after="40" w:before="40"/>
      </w:pPr>
      <w:r>
        <w:rPr>
          <w:rFonts w:ascii="Arial" w:cs="Arial" w:eastAsia="Arial" w:hAnsi="Arial"/>
          <w:b w:val="false"/>
          <w:bCs w:val="false"/>
          <w:sz w:val="22"/>
          <w:szCs w:val="22"/>
        </w:rPr>
        <w:t xml:space="preserve">WebGPU fallback to WASM/CPU (#41)</w:t>
      </w:r>
    </w:p>
    <w:p>
      <w:pPr>
        <w:pStyle w:val="ListParagraph"/>
        <w:numPr>
          <w:ilvl w:val="0"/>
          <w:numId w:val="2"/>
        </w:numPr>
        <w:spacing w:after="40" w:before="40"/>
      </w:pPr>
      <w:r>
        <w:rPr>
          <w:rFonts w:ascii="Arial" w:cs="Arial" w:eastAsia="Arial" w:hAnsi="Arial"/>
          <w:b w:val="false"/>
          <w:bCs w:val="false"/>
          <w:sz w:val="22"/>
          <w:szCs w:val="22"/>
        </w:rPr>
        <w:t xml:space="preserve">Localisation quality assurance for medical terms (#57)</w:t>
      </w:r>
    </w:p>
    <w:p>
      <w:pPr>
        <w:pStyle w:val="ListParagraph"/>
        <w:numPr>
          <w:ilvl w:val="0"/>
          <w:numId w:val="2"/>
        </w:numPr>
        <w:spacing w:after="40" w:before="40"/>
      </w:pPr>
      <w:r>
        <w:rPr>
          <w:rFonts w:ascii="Arial" w:cs="Arial" w:eastAsia="Arial" w:hAnsi="Arial"/>
          <w:b w:val="false"/>
          <w:bCs w:val="false"/>
          <w:sz w:val="22"/>
          <w:szCs w:val="22"/>
        </w:rPr>
        <w:t xml:space="preserve">Clinical validation framework (#1)</w:t>
      </w:r>
    </w:p>
    <w:p>
      <w:pPr>
        <w:spacing w:after="60" w:before="60"/>
      </w:pPr>
      <w:r>
        <w:t xml:space="preserve"/>
      </w:r>
    </w:p>
    <w:p>
      <w:pPr>
        <w:pStyle w:val="Heading2"/>
        <w:spacing w:after="120" w:before="300"/>
      </w:pPr>
      <w:r>
        <w:rPr>
          <w:rFonts w:ascii="Arial" w:cs="Arial" w:eastAsia="Arial" w:hAnsi="Arial"/>
          <w:b/>
          <w:bCs/>
          <w:color w:val="1A7A82"/>
          <w:sz w:val="28"/>
          <w:szCs w:val="28"/>
        </w:rPr>
        <w:t xml:space="preserve">Phase 2 — Core Functionality &amp; Performance (Months 3–6)</w:t>
      </w:r>
    </w:p>
    <w:p>
      <w:pPr>
        <w:pStyle w:val="ListParagraph"/>
        <w:numPr>
          <w:ilvl w:val="0"/>
          <w:numId w:val="2"/>
        </w:numPr>
        <w:spacing w:after="40" w:before="40"/>
      </w:pPr>
      <w:r>
        <w:rPr>
          <w:rFonts w:ascii="Arial" w:cs="Arial" w:eastAsia="Arial" w:hAnsi="Arial"/>
          <w:b w:val="false"/>
          <w:bCs w:val="false"/>
          <w:sz w:val="22"/>
          <w:szCs w:val="22"/>
        </w:rPr>
        <w:t xml:space="preserve">Differential diagnosis depth (#2)</w:t>
      </w:r>
    </w:p>
    <w:p>
      <w:pPr>
        <w:pStyle w:val="ListParagraph"/>
        <w:numPr>
          <w:ilvl w:val="0"/>
          <w:numId w:val="2"/>
        </w:numPr>
        <w:spacing w:after="40" w:before="40"/>
      </w:pPr>
      <w:r>
        <w:rPr>
          <w:rFonts w:ascii="Arial" w:cs="Arial" w:eastAsia="Arial" w:hAnsi="Arial"/>
          <w:b w:val="false"/>
          <w:bCs w:val="false"/>
          <w:sz w:val="22"/>
          <w:szCs w:val="22"/>
        </w:rPr>
        <w:t xml:space="preserve">Wound severity grading scales (#4)</w:t>
      </w:r>
    </w:p>
    <w:p>
      <w:pPr>
        <w:pStyle w:val="ListParagraph"/>
        <w:numPr>
          <w:ilvl w:val="0"/>
          <w:numId w:val="2"/>
        </w:numPr>
        <w:spacing w:after="40" w:before="40"/>
      </w:pPr>
      <w:r>
        <w:rPr>
          <w:rFonts w:ascii="Arial" w:cs="Arial" w:eastAsia="Arial" w:hAnsi="Arial"/>
          <w:b w:val="false"/>
          <w:bCs w:val="false"/>
          <w:sz w:val="22"/>
          <w:szCs w:val="22"/>
        </w:rPr>
        <w:t xml:space="preserve">Nutrition &amp; child growth monitoring (#7, #109)</w:t>
      </w:r>
    </w:p>
    <w:p>
      <w:pPr>
        <w:pStyle w:val="ListParagraph"/>
        <w:numPr>
          <w:ilvl w:val="0"/>
          <w:numId w:val="2"/>
        </w:numPr>
        <w:spacing w:after="40" w:before="40"/>
      </w:pPr>
      <w:r>
        <w:rPr>
          <w:rFonts w:ascii="Arial" w:cs="Arial" w:eastAsia="Arial" w:hAnsi="Arial"/>
          <w:b w:val="false"/>
          <w:bCs w:val="false"/>
          <w:sz w:val="22"/>
          <w:szCs w:val="22"/>
        </w:rPr>
        <w:t xml:space="preserve">AI explainability saliency maps (#11)</w:t>
      </w:r>
    </w:p>
    <w:p>
      <w:pPr>
        <w:pStyle w:val="ListParagraph"/>
        <w:numPr>
          <w:ilvl w:val="0"/>
          <w:numId w:val="2"/>
        </w:numPr>
        <w:spacing w:after="40" w:before="40"/>
      </w:pPr>
      <w:r>
        <w:rPr>
          <w:rFonts w:ascii="Arial" w:cs="Arial" w:eastAsia="Arial" w:hAnsi="Arial"/>
          <w:b w:val="false"/>
          <w:bCs w:val="false"/>
          <w:sz w:val="22"/>
          <w:szCs w:val="22"/>
        </w:rPr>
        <w:t xml:space="preserve">Offline patient search &amp; filter (#21)</w:t>
      </w:r>
    </w:p>
    <w:p>
      <w:pPr>
        <w:pStyle w:val="ListParagraph"/>
        <w:numPr>
          <w:ilvl w:val="0"/>
          <w:numId w:val="2"/>
        </w:numPr>
        <w:spacing w:after="40" w:before="40"/>
      </w:pPr>
      <w:r>
        <w:rPr>
          <w:rFonts w:ascii="Arial" w:cs="Arial" w:eastAsia="Arial" w:hAnsi="Arial"/>
          <w:b w:val="false"/>
          <w:bCs w:val="false"/>
          <w:sz w:val="22"/>
          <w:szCs w:val="22"/>
        </w:rPr>
        <w:t xml:space="preserve">Patient deduplication (#22)</w:t>
      </w:r>
    </w:p>
    <w:p>
      <w:pPr>
        <w:pStyle w:val="ListParagraph"/>
        <w:numPr>
          <w:ilvl w:val="0"/>
          <w:numId w:val="2"/>
        </w:numPr>
        <w:spacing w:after="40" w:before="40"/>
      </w:pPr>
      <w:r>
        <w:rPr>
          <w:rFonts w:ascii="Arial" w:cs="Arial" w:eastAsia="Arial" w:hAnsi="Arial"/>
          <w:b w:val="false"/>
          <w:bCs w:val="false"/>
          <w:sz w:val="22"/>
          <w:szCs w:val="22"/>
        </w:rPr>
        <w:t xml:space="preserve">Referral outcome tracking (#24)</w:t>
      </w:r>
    </w:p>
    <w:p>
      <w:pPr>
        <w:pStyle w:val="ListParagraph"/>
        <w:numPr>
          <w:ilvl w:val="0"/>
          <w:numId w:val="2"/>
        </w:numPr>
        <w:spacing w:after="40" w:before="40"/>
      </w:pPr>
      <w:r>
        <w:rPr>
          <w:rFonts w:ascii="Arial" w:cs="Arial" w:eastAsia="Arial" w:hAnsi="Arial"/>
          <w:b w:val="false"/>
          <w:bCs w:val="false"/>
          <w:sz w:val="22"/>
          <w:szCs w:val="22"/>
        </w:rPr>
        <w:t xml:space="preserve">Follow-up scheduling (#25)</w:t>
      </w:r>
    </w:p>
    <w:p>
      <w:pPr>
        <w:pStyle w:val="ListParagraph"/>
        <w:numPr>
          <w:ilvl w:val="0"/>
          <w:numId w:val="2"/>
        </w:numPr>
        <w:spacing w:after="40" w:before="40"/>
      </w:pPr>
      <w:r>
        <w:rPr>
          <w:rFonts w:ascii="Arial" w:cs="Arial" w:eastAsia="Arial" w:hAnsi="Arial"/>
          <w:b w:val="false"/>
          <w:bCs w:val="false"/>
          <w:sz w:val="22"/>
          <w:szCs w:val="22"/>
        </w:rPr>
        <w:t xml:space="preserve">Progressive model loading (#42)</w:t>
      </w:r>
    </w:p>
    <w:p>
      <w:pPr>
        <w:pStyle w:val="ListParagraph"/>
        <w:numPr>
          <w:ilvl w:val="0"/>
          <w:numId w:val="2"/>
        </w:numPr>
        <w:spacing w:after="40" w:before="40"/>
      </w:pPr>
      <w:r>
        <w:rPr>
          <w:rFonts w:ascii="Arial" w:cs="Arial" w:eastAsia="Arial" w:hAnsi="Arial"/>
          <w:b w:val="false"/>
          <w:bCs w:val="false"/>
          <w:sz w:val="22"/>
          <w:szCs w:val="22"/>
        </w:rPr>
        <w:t xml:space="preserve">Storage quota management (#45)</w:t>
      </w:r>
    </w:p>
    <w:p>
      <w:pPr>
        <w:pStyle w:val="ListParagraph"/>
        <w:numPr>
          <w:ilvl w:val="0"/>
          <w:numId w:val="2"/>
        </w:numPr>
        <w:spacing w:after="40" w:before="40"/>
      </w:pPr>
      <w:r>
        <w:rPr>
          <w:rFonts w:ascii="Arial" w:cs="Arial" w:eastAsia="Arial" w:hAnsi="Arial"/>
          <w:b w:val="false"/>
          <w:bCs w:val="false"/>
          <w:sz w:val="22"/>
          <w:szCs w:val="22"/>
        </w:rPr>
        <w:t xml:space="preserve">Background sync conflict resolution (#50)</w:t>
      </w:r>
    </w:p>
    <w:p>
      <w:pPr>
        <w:pStyle w:val="ListParagraph"/>
        <w:numPr>
          <w:ilvl w:val="0"/>
          <w:numId w:val="2"/>
        </w:numPr>
        <w:spacing w:after="40" w:before="40"/>
      </w:pPr>
      <w:r>
        <w:rPr>
          <w:rFonts w:ascii="Arial" w:cs="Arial" w:eastAsia="Arial" w:hAnsi="Arial"/>
          <w:b w:val="false"/>
          <w:bCs w:val="false"/>
          <w:sz w:val="22"/>
          <w:szCs w:val="22"/>
        </w:rPr>
        <w:t xml:space="preserve">WCAG 2.2 AA accessibility (#51)</w:t>
      </w:r>
    </w:p>
    <w:p>
      <w:pPr>
        <w:pStyle w:val="ListParagraph"/>
        <w:numPr>
          <w:ilvl w:val="0"/>
          <w:numId w:val="2"/>
        </w:numPr>
        <w:spacing w:after="40" w:before="40"/>
      </w:pPr>
      <w:r>
        <w:rPr>
          <w:rFonts w:ascii="Arial" w:cs="Arial" w:eastAsia="Arial" w:hAnsi="Arial"/>
          <w:b w:val="false"/>
          <w:bCs w:val="false"/>
          <w:sz w:val="22"/>
          <w:szCs w:val="22"/>
        </w:rPr>
        <w:t xml:space="preserve">AI confidence feedback loop (#114)</w:t>
      </w:r>
    </w:p>
    <w:p>
      <w:pPr>
        <w:spacing w:after="60" w:before="60"/>
      </w:pPr>
      <w:r>
        <w:t xml:space="preserve"/>
      </w:r>
    </w:p>
    <w:p>
      <w:pPr>
        <w:pStyle w:val="Heading2"/>
        <w:spacing w:after="120" w:before="300"/>
      </w:pPr>
      <w:r>
        <w:rPr>
          <w:rFonts w:ascii="Arial" w:cs="Arial" w:eastAsia="Arial" w:hAnsi="Arial"/>
          <w:b/>
          <w:bCs/>
          <w:color w:val="1A7A82"/>
          <w:sz w:val="28"/>
          <w:szCs w:val="28"/>
        </w:rPr>
        <w:t xml:space="preserve">Phase 3 — Scale &amp; Programme Integration (Months 6–12)</w:t>
      </w:r>
    </w:p>
    <w:p>
      <w:pPr>
        <w:pStyle w:val="ListParagraph"/>
        <w:numPr>
          <w:ilvl w:val="0"/>
          <w:numId w:val="2"/>
        </w:numPr>
        <w:spacing w:after="40" w:before="40"/>
      </w:pPr>
      <w:r>
        <w:rPr>
          <w:rFonts w:ascii="Arial" w:cs="Arial" w:eastAsia="Arial" w:hAnsi="Arial"/>
          <w:b w:val="false"/>
          <w:bCs w:val="false"/>
          <w:sz w:val="22"/>
          <w:szCs w:val="22"/>
        </w:rPr>
        <w:t xml:space="preserve">DHIS2 integration (#89)</w:t>
      </w:r>
    </w:p>
    <w:p>
      <w:pPr>
        <w:pStyle w:val="ListParagraph"/>
        <w:numPr>
          <w:ilvl w:val="0"/>
          <w:numId w:val="2"/>
        </w:numPr>
        <w:spacing w:after="40" w:before="40"/>
      </w:pPr>
      <w:r>
        <w:rPr>
          <w:rFonts w:ascii="Arial" w:cs="Arial" w:eastAsia="Arial" w:hAnsi="Arial"/>
          <w:b w:val="false"/>
          <w:bCs w:val="false"/>
          <w:sz w:val="22"/>
          <w:szCs w:val="22"/>
        </w:rPr>
        <w:t xml:space="preserve">FHIR R4 API (#101)</w:t>
      </w:r>
    </w:p>
    <w:p>
      <w:pPr>
        <w:pStyle w:val="ListParagraph"/>
        <w:numPr>
          <w:ilvl w:val="0"/>
          <w:numId w:val="2"/>
        </w:numPr>
        <w:spacing w:after="40" w:before="40"/>
      </w:pPr>
      <w:r>
        <w:rPr>
          <w:rFonts w:ascii="Arial" w:cs="Arial" w:eastAsia="Arial" w:hAnsi="Arial"/>
          <w:b w:val="false"/>
          <w:bCs w:val="false"/>
          <w:sz w:val="22"/>
          <w:szCs w:val="22"/>
        </w:rPr>
        <w:t xml:space="preserve">Real-time outbreak detection (#86)</w:t>
      </w:r>
    </w:p>
    <w:p>
      <w:pPr>
        <w:pStyle w:val="ListParagraph"/>
        <w:numPr>
          <w:ilvl w:val="0"/>
          <w:numId w:val="2"/>
        </w:numPr>
        <w:spacing w:after="40" w:before="40"/>
      </w:pPr>
      <w:r>
        <w:rPr>
          <w:rFonts w:ascii="Arial" w:cs="Arial" w:eastAsia="Arial" w:hAnsi="Arial"/>
          <w:b w:val="false"/>
          <w:bCs w:val="false"/>
          <w:sz w:val="22"/>
          <w:szCs w:val="22"/>
        </w:rPr>
        <w:t xml:space="preserve">Supervisor performance analytics (#87)</w:t>
      </w:r>
    </w:p>
    <w:p>
      <w:pPr>
        <w:pStyle w:val="ListParagraph"/>
        <w:numPr>
          <w:ilvl w:val="0"/>
          <w:numId w:val="2"/>
        </w:numPr>
        <w:spacing w:after="40" w:before="40"/>
      </w:pPr>
      <w:r>
        <w:rPr>
          <w:rFonts w:ascii="Arial" w:cs="Arial" w:eastAsia="Arial" w:hAnsi="Arial"/>
          <w:b w:val="false"/>
          <w:bCs w:val="false"/>
          <w:sz w:val="22"/>
          <w:szCs w:val="22"/>
        </w:rPr>
        <w:t xml:space="preserve">Cascade training mode (#92)</w:t>
      </w:r>
    </w:p>
    <w:p>
      <w:pPr>
        <w:pStyle w:val="ListParagraph"/>
        <w:numPr>
          <w:ilvl w:val="0"/>
          <w:numId w:val="2"/>
        </w:numPr>
        <w:spacing w:after="40" w:before="40"/>
      </w:pPr>
      <w:r>
        <w:rPr>
          <w:rFonts w:ascii="Arial" w:cs="Arial" w:eastAsia="Arial" w:hAnsi="Arial"/>
          <w:b w:val="false"/>
          <w:bCs w:val="false"/>
          <w:sz w:val="22"/>
          <w:szCs w:val="22"/>
        </w:rPr>
        <w:t xml:space="preserve">Telemedicine consultation module (#96)</w:t>
      </w:r>
    </w:p>
    <w:p>
      <w:pPr>
        <w:pStyle w:val="ListParagraph"/>
        <w:numPr>
          <w:ilvl w:val="0"/>
          <w:numId w:val="2"/>
        </w:numPr>
        <w:spacing w:after="40" w:before="40"/>
      </w:pPr>
      <w:r>
        <w:rPr>
          <w:rFonts w:ascii="Arial" w:cs="Arial" w:eastAsia="Arial" w:hAnsi="Arial"/>
          <w:b w:val="false"/>
          <w:bCs w:val="false"/>
          <w:sz w:val="22"/>
          <w:szCs w:val="22"/>
        </w:rPr>
        <w:t xml:space="preserve">AI-powered training chatbot (#98)</w:t>
      </w:r>
    </w:p>
    <w:p>
      <w:pPr>
        <w:pStyle w:val="ListParagraph"/>
        <w:numPr>
          <w:ilvl w:val="0"/>
          <w:numId w:val="2"/>
        </w:numPr>
        <w:spacing w:after="40" w:before="40"/>
      </w:pPr>
      <w:r>
        <w:rPr>
          <w:rFonts w:ascii="Arial" w:cs="Arial" w:eastAsia="Arial" w:hAnsi="Arial"/>
          <w:b w:val="false"/>
          <w:bCs w:val="false"/>
          <w:sz w:val="22"/>
          <w:szCs w:val="22"/>
        </w:rPr>
        <w:t xml:space="preserve">Pictogram UI for low-literacy users (#106)</w:t>
      </w:r>
    </w:p>
    <w:p>
      <w:pPr>
        <w:pStyle w:val="ListParagraph"/>
        <w:numPr>
          <w:ilvl w:val="0"/>
          <w:numId w:val="2"/>
        </w:numPr>
        <w:spacing w:after="40" w:before="40"/>
      </w:pPr>
      <w:r>
        <w:rPr>
          <w:rFonts w:ascii="Arial" w:cs="Arial" w:eastAsia="Arial" w:hAnsi="Arial"/>
          <w:b w:val="false"/>
          <w:bCs w:val="false"/>
          <w:sz w:val="22"/>
          <w:szCs w:val="22"/>
        </w:rPr>
        <w:t xml:space="preserve">Child growth module — Z-scores (#109)</w:t>
      </w:r>
    </w:p>
    <w:p>
      <w:pPr>
        <w:pStyle w:val="ListParagraph"/>
        <w:numPr>
          <w:ilvl w:val="0"/>
          <w:numId w:val="2"/>
        </w:numPr>
        <w:spacing w:after="40" w:before="40"/>
      </w:pPr>
      <w:r>
        <w:rPr>
          <w:rFonts w:ascii="Arial" w:cs="Arial" w:eastAsia="Arial" w:hAnsi="Arial"/>
          <w:b w:val="false"/>
          <w:bCs w:val="false"/>
          <w:sz w:val="22"/>
          <w:szCs w:val="22"/>
        </w:rPr>
        <w:t xml:space="preserve">Wearable device integration (#100)</w:t>
      </w:r>
    </w:p>
    <w:p>
      <w:pPr>
        <w:pStyle w:val="ListParagraph"/>
        <w:numPr>
          <w:ilvl w:val="0"/>
          <w:numId w:val="2"/>
        </w:numPr>
        <w:spacing w:after="40" w:before="40"/>
      </w:pPr>
      <w:r>
        <w:rPr>
          <w:rFonts w:ascii="Arial" w:cs="Arial" w:eastAsia="Arial" w:hAnsi="Arial"/>
          <w:b w:val="false"/>
          <w:bCs w:val="false"/>
          <w:sz w:val="22"/>
          <w:szCs w:val="22"/>
        </w:rPr>
        <w:t xml:space="preserve">React Native native app wrapper (#119)</w:t>
      </w:r>
    </w:p>
    <w:p>
      <w:pPr>
        <w:spacing w:after="60" w:before="60"/>
      </w:pPr>
      <w:r>
        <w:t xml:space="preserve"/>
      </w:r>
    </w:p>
    <w:p>
      <w:pPr>
        <w:pStyle w:val="Heading2"/>
        <w:spacing w:after="120" w:before="300"/>
      </w:pPr>
      <w:r>
        <w:rPr>
          <w:rFonts w:ascii="Arial" w:cs="Arial" w:eastAsia="Arial" w:hAnsi="Arial"/>
          <w:b/>
          <w:bCs/>
          <w:color w:val="1A7A82"/>
          <w:sz w:val="28"/>
          <w:szCs w:val="28"/>
        </w:rPr>
        <w:t xml:space="preserve">Phase 4 — Platform &amp; Research (Months 12–24)</w:t>
      </w:r>
    </w:p>
    <w:p>
      <w:pPr>
        <w:pStyle w:val="ListParagraph"/>
        <w:numPr>
          <w:ilvl w:val="0"/>
          <w:numId w:val="2"/>
        </w:numPr>
        <w:spacing w:after="40" w:before="40"/>
      </w:pPr>
      <w:r>
        <w:rPr>
          <w:rFonts w:ascii="Arial" w:cs="Arial" w:eastAsia="Arial" w:hAnsi="Arial"/>
          <w:b w:val="false"/>
          <w:bCs w:val="false"/>
          <w:sz w:val="22"/>
          <w:szCs w:val="22"/>
        </w:rPr>
        <w:t xml:space="preserve">Federated learning for model improvement (#102)</w:t>
      </w:r>
    </w:p>
    <w:p>
      <w:pPr>
        <w:pStyle w:val="ListParagraph"/>
        <w:numPr>
          <w:ilvl w:val="0"/>
          <w:numId w:val="2"/>
        </w:numPr>
        <w:spacing w:after="40" w:before="40"/>
      </w:pPr>
      <w:r>
        <w:rPr>
          <w:rFonts w:ascii="Arial" w:cs="Arial" w:eastAsia="Arial" w:hAnsi="Arial"/>
          <w:b w:val="false"/>
          <w:bCs w:val="false"/>
          <w:sz w:val="22"/>
          <w:szCs w:val="22"/>
        </w:rPr>
        <w:t xml:space="preserve">Community disease surveillance network (#97)</w:t>
      </w:r>
    </w:p>
    <w:p>
      <w:pPr>
        <w:pStyle w:val="ListParagraph"/>
        <w:numPr>
          <w:ilvl w:val="0"/>
          <w:numId w:val="2"/>
        </w:numPr>
        <w:spacing w:after="40" w:before="40"/>
      </w:pPr>
      <w:r>
        <w:rPr>
          <w:rFonts w:ascii="Arial" w:cs="Arial" w:eastAsia="Arial" w:hAnsi="Arial"/>
          <w:b w:val="false"/>
          <w:bCs w:val="false"/>
          <w:sz w:val="22"/>
          <w:szCs w:val="22"/>
        </w:rPr>
        <w:t xml:space="preserve">Digital health passport (#103)</w:t>
      </w:r>
    </w:p>
    <w:p>
      <w:pPr>
        <w:pStyle w:val="ListParagraph"/>
        <w:numPr>
          <w:ilvl w:val="0"/>
          <w:numId w:val="2"/>
        </w:numPr>
        <w:spacing w:after="40" w:before="40"/>
      </w:pPr>
      <w:r>
        <w:rPr>
          <w:rFonts w:ascii="Arial" w:cs="Arial" w:eastAsia="Arial" w:hAnsi="Arial"/>
          <w:b w:val="false"/>
          <w:bCs w:val="false"/>
          <w:sz w:val="22"/>
          <w:szCs w:val="22"/>
        </w:rPr>
        <w:t xml:space="preserve">National health ID integration (#117)</w:t>
      </w:r>
    </w:p>
    <w:p>
      <w:pPr>
        <w:pStyle w:val="ListParagraph"/>
        <w:numPr>
          <w:ilvl w:val="0"/>
          <w:numId w:val="2"/>
        </w:numPr>
        <w:spacing w:after="40" w:before="40"/>
      </w:pPr>
      <w:r>
        <w:rPr>
          <w:rFonts w:ascii="Arial" w:cs="Arial" w:eastAsia="Arial" w:hAnsi="Arial"/>
          <w:b w:val="false"/>
          <w:bCs w:val="false"/>
          <w:sz w:val="22"/>
          <w:szCs w:val="22"/>
        </w:rPr>
        <w:t xml:space="preserve">Predictive demand forecasting (#88)</w:t>
      </w:r>
    </w:p>
    <w:p>
      <w:pPr>
        <w:pStyle w:val="ListParagraph"/>
        <w:numPr>
          <w:ilvl w:val="0"/>
          <w:numId w:val="2"/>
        </w:numPr>
        <w:spacing w:after="40" w:before="40"/>
      </w:pPr>
      <w:r>
        <w:rPr>
          <w:rFonts w:ascii="Arial" w:cs="Arial" w:eastAsia="Arial" w:hAnsi="Arial"/>
          <w:b w:val="false"/>
          <w:bCs w:val="false"/>
          <w:sz w:val="22"/>
          <w:szCs w:val="22"/>
        </w:rPr>
        <w:t xml:space="preserve">SMS fallback for feature phones (#105)</w:t>
      </w:r>
    </w:p>
    <w:p>
      <w:pPr>
        <w:pStyle w:val="ListParagraph"/>
        <w:numPr>
          <w:ilvl w:val="0"/>
          <w:numId w:val="2"/>
        </w:numPr>
        <w:spacing w:after="40" w:before="40"/>
      </w:pPr>
      <w:r>
        <w:rPr>
          <w:rFonts w:ascii="Arial" w:cs="Arial" w:eastAsia="Arial" w:hAnsi="Arial"/>
          <w:b w:val="false"/>
          <w:bCs w:val="false"/>
          <w:sz w:val="22"/>
          <w:szCs w:val="22"/>
        </w:rPr>
        <w:t xml:space="preserve">Impact measurement dashboard (#120)</w:t>
      </w:r>
    </w:p>
    <w:p>
      <w:pPr>
        <w:pStyle w:val="ListParagraph"/>
        <w:numPr>
          <w:ilvl w:val="0"/>
          <w:numId w:val="2"/>
        </w:numPr>
        <w:spacing w:after="40" w:before="40"/>
      </w:pPr>
      <w:r>
        <w:rPr>
          <w:rFonts w:ascii="Arial" w:cs="Arial" w:eastAsia="Arial" w:hAnsi="Arial"/>
          <w:b w:val="false"/>
          <w:bCs w:val="false"/>
          <w:sz w:val="22"/>
          <w:szCs w:val="22"/>
        </w:rPr>
        <w:t xml:space="preserve">Epidemic scenario planning (#110)</w:t>
      </w:r>
    </w:p>
    <w:p>
      <w:r>
        <w:br w:type="page"/>
      </w:r>
    </w:p>
    <w:p>
      <w:pPr>
        <w:pStyle w:val="Heading1"/>
        <w:spacing w:after="180" w:before="360"/>
      </w:pPr>
      <w:r>
        <w:rPr>
          <w:rFonts w:ascii="Arial" w:cs="Arial" w:eastAsia="Arial" w:hAnsi="Arial"/>
          <w:b/>
          <w:bCs/>
          <w:color w:val="0F5D63"/>
          <w:sz w:val="36"/>
          <w:szCs w:val="36"/>
        </w:rPr>
        <w:t xml:space="preserve">Summary of All Improvements</w:t>
      </w:r>
    </w:p>
    <w:p>
      <w:pPr>
        <w:spacing w:after="60" w:before="60"/>
      </w:pPr>
      <w:r>
        <w:rPr>
          <w:rFonts w:ascii="Arial" w:cs="Arial" w:eastAsia="Arial" w:hAnsi="Arial"/>
          <w:sz w:val="22"/>
          <w:szCs w:val="22"/>
        </w:rPr>
        <w:t xml:space="preserve">The following table summarises the 120 improvements by section, with priority distribution.</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000"/>
        <w:gridCol w:w="3360"/>
      </w:tblGrid>
      <w:tr>
        <w:tc>
          <w:tcPr>
            <w:tcW w:type="dxa" w:w="12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36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Breakdown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Clinical Quality &amp; AI Performance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6 Critical, 12 High, 2 Medium</w:t>
            </w:r>
          </w:p>
        </w:tc>
      </w:tr>
      <w:tr>
        <w:tc>
          <w:tcPr>
            <w:tcW w:type="dxa" w:w="12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2</w:t>
            </w:r>
          </w:p>
        </w:tc>
        <w:tc>
          <w:tcPr>
            <w:tcW w:type="dxa" w:w="32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Functional Requirements</w:t>
            </w:r>
          </w:p>
        </w:tc>
        <w:tc>
          <w:tcPr>
            <w:tcW w:type="dxa" w:w="1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20</w:t>
            </w:r>
          </w:p>
        </w:tc>
        <w:tc>
          <w:tcPr>
            <w:tcW w:type="dxa" w:w="336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3 Critical, 12 High, 5 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Non-Functional Requirements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Critical, 14 High, 3 Medium</w:t>
            </w:r>
          </w:p>
        </w:tc>
      </w:tr>
      <w:tr>
        <w:tc>
          <w:tcPr>
            <w:tcW w:type="dxa" w:w="12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4</w:t>
            </w:r>
          </w:p>
        </w:tc>
        <w:tc>
          <w:tcPr>
            <w:tcW w:type="dxa" w:w="32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Security &amp; Regulatory Compliance</w:t>
            </w:r>
          </w:p>
        </w:tc>
        <w:tc>
          <w:tcPr>
            <w:tcW w:type="dxa" w:w="1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12</w:t>
            </w:r>
          </w:p>
        </w:tc>
        <w:tc>
          <w:tcPr>
            <w:tcW w:type="dxa" w:w="336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5 Critical, 6 High, 1 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Experience &amp; Accessibility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 Critical, 9 High, 4 Medium</w:t>
            </w:r>
          </w:p>
        </w:tc>
      </w:tr>
      <w:tr>
        <w:tc>
          <w:tcPr>
            <w:tcW w:type="dxa" w:w="12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6</w:t>
            </w:r>
          </w:p>
        </w:tc>
        <w:tc>
          <w:tcPr>
            <w:tcW w:type="dxa" w:w="32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Supervisor, Analytics &amp; Programme Mgmt</w:t>
            </w:r>
          </w:p>
        </w:tc>
        <w:tc>
          <w:tcPr>
            <w:tcW w:type="dxa" w:w="100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10</w:t>
            </w:r>
          </w:p>
        </w:tc>
        <w:tc>
          <w:tcPr>
            <w:tcW w:type="dxa" w:w="3360"/>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tcPr>
          <w:p>
            <w:r>
              <w:rPr>
                <w:rFonts w:ascii="Arial" w:cs="Arial" w:eastAsia="Arial" w:hAnsi="Arial"/>
                <w:b w:val="false"/>
                <w:bCs w:val="false"/>
                <w:color w:val="222222"/>
                <w:sz w:val="19"/>
                <w:szCs w:val="19"/>
              </w:rPr>
              <w:t xml:space="preserve">2 Critical, 6 High, 2 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Section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Transformative New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 Critical, 13 High, 9 Medium, 3 Low</w:t>
            </w:r>
          </w:p>
        </w:tc>
      </w:tr>
      <w:tr>
        <w:tc>
          <w:tcPr>
            <w:tcW w:type="dxa" w:w="12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32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100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r>
              <w:rPr>
                <w:rFonts w:ascii="Arial" w:cs="Arial" w:eastAsia="Arial" w:hAnsi="Arial"/>
                <w:b/>
                <w:bCs/>
                <w:color w:val="FFFFFF"/>
                <w:sz w:val="19"/>
                <w:szCs w:val="19"/>
              </w:rPr>
              <w:t xml:space="preserve">120</w:t>
            </w:r>
          </w:p>
        </w:tc>
        <w:tc>
          <w:tcPr>
            <w:tcW w:type="dxa" w:w="3360"/>
            <w:tcBorders>
              <w:top w:val="single" w:color="CCCCCC" w:sz="1"/>
              <w:left w:val="single" w:color="CCCCCC" w:sz="1"/>
              <w:bottom w:val="single" w:color="CCCCCC" w:sz="1"/>
              <w:right w:val="single" w:color="CCCCCC" w:sz="1"/>
            </w:tcBorders>
            <w:shd w:fill="0F5D63" w:val="clear"/>
            <w:tcMar>
              <w:top w:type="dxa" w:w="80"/>
              <w:left w:type="dxa" w:w="120"/>
              <w:bottom w:type="dxa" w:w="80"/>
              <w:right w:type="dxa" w:w="120"/>
            </w:tcMar>
          </w:tcPr>
          <w:p>
            <w:r>
              <w:rPr>
                <w:rFonts w:ascii="Arial" w:cs="Arial" w:eastAsia="Arial" w:hAnsi="Arial"/>
                <w:b/>
                <w:bCs/>
                <w:color w:val="FFFFFF"/>
                <w:sz w:val="19"/>
                <w:szCs w:val="19"/>
              </w:rPr>
              <w:t xml:space="preserve">19 Critical, 72 High, 25 Medium, 4 Low</w:t>
            </w:r>
          </w:p>
        </w:tc>
      </w:tr>
    </w:tbl>
    <w:p>
      <w:pPr>
        <w:spacing w:after="60" w:before="60"/>
      </w:pPr>
      <w:r>
        <w:t xml:space="preserve"/>
      </w:r>
    </w:p>
    <w:p>
      <w:pPr>
        <w:spacing w:after="60" w:before="60"/>
      </w:pPr>
      <w:r>
        <w:rPr>
          <w:rFonts w:ascii="Arial" w:cs="Arial" w:eastAsia="Arial" w:hAnsi="Arial"/>
          <w:sz w:val="22"/>
          <w:szCs w:val="22"/>
        </w:rPr>
        <w:t xml:space="preserve">This analysis was prepared based on: (1) live review of the Trij application at trij.vercel.app, (2) analysis of the SRS v1.0 document, (3) review of the GitHub repository (Mosss-OS/trij), and (4) synthesis of current evidence in AI-assisted clinical decision support, community health worker programme design, and global health informatics standards.</w:t>
      </w:r>
    </w:p>
    <w:p>
      <w:pPr>
        <w:spacing w:after="60" w:before="60"/>
      </w:pPr>
      <w:r>
        <w:t xml:space="preserve"/>
      </w:r>
    </w:p>
    <w:p>
      <w:pPr>
        <w:spacing w:after="60" w:before="60"/>
      </w:pPr>
      <w:r>
        <w:rPr>
          <w:rFonts w:ascii="Arial" w:cs="Arial" w:eastAsia="Arial" w:hAnsi="Arial"/>
          <w:sz w:val="22"/>
          <w:szCs w:val="22"/>
        </w:rPr>
        <w:t xml:space="preserve">The 19 Critical-rated improvements represent minimum requirements for safe clinical deployment. No version of this application should be used in active patient care settings until all Critical items have been addressed and independently validated.</w:t>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5D63" w:sz="6" w:space="1"/>
      </w:pBdr>
      <w:tabs>
        <w:tab w:val="right" w:pos="9360"/>
      </w:tabs>
      <w:spacing w:before="120"/>
    </w:pPr>
    <w:r>
      <w:rPr>
        <w:rFonts w:ascii="Arial" w:cs="Arial" w:eastAsia="Arial" w:hAnsi="Arial"/>
        <w:color w:val="666666"/>
        <w:sz w:val="18"/>
        <w:szCs w:val="18"/>
      </w:rPr>
      <w:t xml:space="preserve">© 2026 Trij Analysis Report  |  120 Improvements</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D63" w:sz="6" w:space="1"/>
      </w:pBdr>
      <w:spacing w:after="120"/>
    </w:pPr>
    <w:r>
      <w:rPr>
        <w:rFonts w:ascii="Arial" w:cs="Arial" w:eastAsia="Arial" w:hAnsi="Arial"/>
        <w:color w:val="666666"/>
        <w:sz w:val="18"/>
        <w:szCs w:val="18"/>
      </w:rPr>
      <w:t xml:space="preserve">TRIJ — Comprehensive Improvement Recommendations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5D63"/>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7A8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9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Trij — Comprehensive Improvement Recommendations</dc:title>
  <dc:creator>Trij Improvement Analysis</dc:creator>
  <dc:description>120+ evidence-based improvements for the Trij FieldMed Triage System</dc:description>
  <cp:lastModifiedBy>Un-named</cp:lastModifiedBy>
  <cp:revision>1</cp:revision>
  <dcterms:created xsi:type="dcterms:W3CDTF">2026-05-19T18:07:52.312Z</dcterms:created>
  <dcterms:modified xsi:type="dcterms:W3CDTF">2026-05-19T18:07:52.326Z</dcterms:modified>
</cp:coreProperties>
</file>

<file path=docProps/custom.xml><?xml version="1.0" encoding="utf-8"?>
<Properties xmlns="http://schemas.openxmlformats.org/officeDocument/2006/custom-properties" xmlns:vt="http://schemas.openxmlformats.org/officeDocument/2006/docPropsVTypes"/>
</file>