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04" w:rsidRDefault="00D77C04" w:rsidP="00D77C04">
      <w:pPr>
        <w:pStyle w:val="Heading2"/>
      </w:pPr>
      <w:r>
        <w:t xml:space="preserve">Software </w:t>
      </w:r>
      <w:r w:rsidRPr="00523844">
        <w:t>features</w:t>
      </w:r>
      <w:r>
        <w:t xml:space="preserve"> List</w:t>
      </w:r>
    </w:p>
    <w:p w:rsidR="00D77C04" w:rsidRDefault="00D77C04" w:rsidP="00D77C04">
      <w:pPr>
        <w:spacing w:line="240" w:lineRule="auto"/>
        <w:rPr>
          <w:rFonts w:asciiTheme="majorHAnsi" w:hAnsiTheme="majorHAnsi"/>
          <w:sz w:val="24"/>
          <w:szCs w:val="24"/>
          <w:lang w:bidi="ar-EG"/>
        </w:rPr>
      </w:pPr>
      <w:r>
        <w:rPr>
          <w:rFonts w:asciiTheme="majorHAnsi" w:hAnsiTheme="majorHAnsi"/>
          <w:sz w:val="24"/>
          <w:szCs w:val="24"/>
          <w:lang w:bidi="ar-EG"/>
        </w:rPr>
        <w:t>This section listing the modules and the features of each module.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165" w:type="dxa"/>
        <w:jc w:val="center"/>
        <w:tblInd w:w="0" w:type="dxa"/>
        <w:tblLook w:val="04A0" w:firstRow="1" w:lastRow="0" w:firstColumn="1" w:lastColumn="0" w:noHBand="0" w:noVBand="1"/>
      </w:tblPr>
      <w:tblGrid>
        <w:gridCol w:w="10165"/>
      </w:tblGrid>
      <w:tr w:rsidR="00D77C04" w:rsidTr="0014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vAlign w:val="center"/>
            <w:hideMark/>
          </w:tcPr>
          <w:p w:rsidR="00D77C04" w:rsidRDefault="00D77C04" w:rsidP="00147BF4">
            <w:pPr>
              <w:jc w:val="center"/>
              <w:rPr>
                <w:sz w:val="24"/>
                <w:szCs w:val="24"/>
                <w:lang w:bidi="ar-EG"/>
              </w:rPr>
            </w:pPr>
            <w:r w:rsidRPr="008A42DE">
              <w:rPr>
                <w:rFonts w:cs="Times New Roman"/>
                <w:sz w:val="48"/>
                <w:szCs w:val="48"/>
                <w:rtl/>
                <w:lang w:bidi="ar-EG"/>
              </w:rPr>
              <w:t xml:space="preserve">مكونات </w:t>
            </w:r>
            <w:r>
              <w:rPr>
                <w:rFonts w:cs="Times New Roman"/>
                <w:sz w:val="48"/>
                <w:szCs w:val="48"/>
                <w:rtl/>
                <w:lang w:bidi="ar-EG"/>
              </w:rPr>
              <w:t>و</w:t>
            </w:r>
            <w:r w:rsidRPr="008A42DE">
              <w:rPr>
                <w:rFonts w:cs="Times New Roman"/>
                <w:sz w:val="48"/>
                <w:szCs w:val="48"/>
                <w:rtl/>
                <w:lang w:bidi="ar-EG"/>
              </w:rPr>
              <w:t xml:space="preserve">مزايا النظام </w:t>
            </w:r>
          </w:p>
        </w:tc>
      </w:tr>
      <w:tr w:rsidR="00D77C04" w:rsidTr="0014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77C04" w:rsidRPr="008A42DE" w:rsidRDefault="00D77C04" w:rsidP="00147BF4">
            <w:pPr>
              <w:jc w:val="right"/>
              <w:rPr>
                <w:rStyle w:val="Heading2Char"/>
                <w:rFonts w:eastAsia="Calibri"/>
                <w:sz w:val="48"/>
                <w:szCs w:val="36"/>
                <w:u w:val="single"/>
              </w:rPr>
            </w:pPr>
            <w:r w:rsidRPr="008A42DE"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  <w:lang w:bidi="ar-EG"/>
              </w:rPr>
              <w:t>النظام</w:t>
            </w:r>
            <w:r w:rsidRPr="008A42DE"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</w:rPr>
              <w:t>: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المستخدمين</w:t>
            </w:r>
            <w:r>
              <w:rPr>
                <w:sz w:val="24"/>
                <w:szCs w:val="28"/>
                <w:lang w:bidi="ar-EG"/>
              </w:rPr>
              <w:t xml:space="preserve"> 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/ تعديل / حذف مستخدم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/ تعديل / حذف ادوار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/ تعديل / حذف مجموعات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الصلاحيات للمستخدم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الصلاحيات للدور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صلاحيات لمجموعة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ادوار لمستخدم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مستخدم لمجموعة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DE75F9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اضافة ادوار للمجموعة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الحد الأقصى للصرف 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الفروع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إضافة / تعديل / حذف فرع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التهيئة العامة</w:t>
            </w:r>
            <w:r>
              <w:rPr>
                <w:rFonts w:hint="cs"/>
                <w:sz w:val="24"/>
                <w:szCs w:val="28"/>
                <w:rtl/>
                <w:lang w:bidi="ar-EG"/>
              </w:rPr>
              <w:t>: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الاعدادات العامة للنظام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اعدادات نظام المحاسبة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الفترات المالية 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اعدادات نظام المخازن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سياسة التقييم (متوسط تكلفة </w:t>
            </w:r>
            <w:r w:rsidRPr="00CB2F7A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اخر سعر شراء)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الربط بالأنظمة الأخرى (المشتريات </w:t>
            </w:r>
            <w:r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الحسابات العامة)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الحدود المخزنية 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اعدادات الحركة الماليه</w:t>
            </w:r>
          </w:p>
          <w:p w:rsidR="00D77C04" w:rsidRPr="00CB2F7A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ربط بالحسابات 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استخدام شيكات تحت التحصيل 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اعداد نظام الموردين</w:t>
            </w:r>
          </w:p>
          <w:p w:rsidR="00D77C04" w:rsidRPr="00CB2F7A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إضافة / تعديل / حذف مورد</w:t>
            </w:r>
          </w:p>
          <w:p w:rsidR="00D77C04" w:rsidRPr="00CB2F7A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ربط بالحسابات العامة 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الربط بالحسابات الخاصة بفواتير المشتروات مع الدليل المحاسبي </w:t>
            </w:r>
          </w:p>
          <w:p w:rsidR="00D77C04" w:rsidRPr="00CB2F7A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مستويات الحسابات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CB2F7A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عدد المستويات المستخدمة بالدليل المحاسبي و يتم إدخالها قبل انشاء الدليل </w:t>
            </w:r>
          </w:p>
          <w:p w:rsidR="00D77C04" w:rsidRPr="0040589D" w:rsidRDefault="00D77C04" w:rsidP="00D77C04">
            <w:pPr>
              <w:pStyle w:val="ListParagraph"/>
              <w:numPr>
                <w:ilvl w:val="0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5B4C6D">
              <w:rPr>
                <w:rFonts w:hint="cs"/>
                <w:sz w:val="24"/>
                <w:szCs w:val="28"/>
                <w:rtl/>
                <w:lang w:bidi="ar-EG"/>
              </w:rPr>
              <w:t>اقفال السنة المالية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1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اقفال إمكانية ادخال حركات على السنة </w:t>
            </w:r>
          </w:p>
          <w:p w:rsidR="00D77C04" w:rsidRPr="008A42DE" w:rsidRDefault="00D77C04" w:rsidP="00147BF4">
            <w:pPr>
              <w:bidi/>
              <w:spacing w:after="160"/>
              <w:ind w:left="360"/>
              <w:rPr>
                <w:rStyle w:val="Heading2Char"/>
                <w:sz w:val="24"/>
              </w:rPr>
            </w:pPr>
          </w:p>
        </w:tc>
      </w:tr>
      <w:tr w:rsidR="00D77C04" w:rsidTr="00147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77C04" w:rsidRPr="008A42DE" w:rsidRDefault="00D77C04" w:rsidP="00147BF4">
            <w:pPr>
              <w:jc w:val="right"/>
              <w:rPr>
                <w:rStyle w:val="Heading2Char"/>
                <w:rFonts w:eastAsia="Calibri" w:cs="Times New Roman"/>
                <w:sz w:val="48"/>
                <w:szCs w:val="36"/>
                <w:u w:val="single"/>
                <w:lang w:bidi="ar-EG"/>
              </w:rPr>
            </w:pPr>
            <w:r w:rsidRPr="008A42DE"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  <w:lang w:bidi="ar-EG"/>
              </w:rPr>
              <w:t>اكواد النظام:</w:t>
            </w:r>
          </w:p>
          <w:p w:rsidR="00D77C04" w:rsidRPr="007D7E25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الدليل المحاسبى</w:t>
            </w:r>
          </w:p>
          <w:p w:rsidR="00D77C04" w:rsidRPr="007D7E25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اكواد الخزن ( الخزن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العهد)</w:t>
            </w:r>
          </w:p>
          <w:p w:rsidR="00D77C04" w:rsidRPr="007D7E25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اكواد البنوك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 xml:space="preserve">مراكز التكلفة 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انواع الحالات</w:t>
            </w:r>
          </w:p>
          <w:p w:rsidR="00D77C04" w:rsidRPr="007D7E25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اكواد الحالات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المندوبين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انواع الموردين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اكواد الموردين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وحدات القياس المخزنية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eastAsiaTheme="minorEastAsia" w:hint="cs"/>
                <w:sz w:val="28"/>
                <w:szCs w:val="28"/>
                <w:rtl/>
                <w:lang w:bidi="ar-EG"/>
              </w:rPr>
              <w:t>انواع الاصناف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6"/>
                <w:szCs w:val="24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اكواد الاصناف</w:t>
            </w:r>
          </w:p>
          <w:p w:rsidR="00D77C04" w:rsidRPr="00626EF4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2"/>
                <w:u w:val="single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اكواد المخازن</w:t>
            </w:r>
          </w:p>
          <w:p w:rsidR="00D77C04" w:rsidRPr="00DE75F9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Fonts w:ascii="Cambria" w:hAnsi="Cambria" w:cs="Cambria"/>
                <w:b w:val="0"/>
                <w:color w:val="000000"/>
                <w:sz w:val="32"/>
                <w:u w:val="singl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أسعار العملات </w:t>
            </w:r>
          </w:p>
          <w:p w:rsidR="00D77C04" w:rsidRDefault="00D77C04" w:rsidP="00D77C04">
            <w:pPr>
              <w:pStyle w:val="ListParagraph"/>
              <w:numPr>
                <w:ilvl w:val="0"/>
                <w:numId w:val="2"/>
              </w:numPr>
              <w:bidi/>
              <w:spacing w:after="160" w:line="240" w:lineRule="auto"/>
              <w:rPr>
                <w:rStyle w:val="Heading2Char"/>
                <w:u w:val="single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اكواد الأصول الثابتة</w:t>
            </w:r>
          </w:p>
        </w:tc>
      </w:tr>
      <w:tr w:rsidR="00D77C04" w:rsidRPr="005B4C6D" w:rsidTr="0014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77C04" w:rsidRPr="005B4C6D" w:rsidRDefault="00D77C04" w:rsidP="00147BF4">
            <w:pPr>
              <w:jc w:val="right"/>
              <w:rPr>
                <w:rStyle w:val="Heading2Char"/>
                <w:rFonts w:eastAsia="Calibri" w:cs="Times New Roman"/>
                <w:sz w:val="28"/>
                <w:szCs w:val="28"/>
                <w:u w:val="single"/>
                <w:lang w:bidi="ar-EG"/>
              </w:rPr>
            </w:pPr>
            <w:r w:rsidRPr="005B4C6D">
              <w:rPr>
                <w:rStyle w:val="Heading2Char"/>
                <w:rFonts w:eastAsia="Calibri" w:cs="Times New Roman" w:hint="cs"/>
                <w:sz w:val="28"/>
                <w:szCs w:val="28"/>
                <w:u w:val="single"/>
                <w:rtl/>
                <w:lang w:bidi="ar-EG"/>
              </w:rPr>
              <w:t>الحركات: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فاتورة المشتريات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مرتد مشتريات</w:t>
            </w:r>
          </w:p>
          <w:p w:rsidR="00D77C04" w:rsidRPr="0040589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سن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د</w:t>
            </w: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ات القبض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القبض من عدة جهات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متبرع (مرتبط بحالة </w:t>
            </w:r>
            <w:r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متبرع عام)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مورد 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رقم حساب من الدليل</w:t>
            </w: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تحديد طريقة الدفع (نقدي </w:t>
            </w:r>
            <w:r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حوالة </w:t>
            </w:r>
            <w:r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شيك)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الربط بصرف أصناف من المخزن 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الربط بمراكز التكلفة </w:t>
            </w:r>
          </w:p>
          <w:p w:rsidR="00D77C04" w:rsidRPr="0040589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سندات الصرف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صرف لعدة جهات 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حالة 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مورد </w:t>
            </w:r>
          </w:p>
          <w:p w:rsidR="00D77C04" w:rsidRDefault="00D77C04" w:rsidP="00D77C04">
            <w:pPr>
              <w:pStyle w:val="ListParagraph"/>
              <w:numPr>
                <w:ilvl w:val="2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رقم حساب من الدليل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الربط بمراكز التكلفة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في حالة الموردين (سداد على فواتير </w:t>
            </w:r>
            <w:r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سداد عام ) في الحساب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مراعاة حد الصرف المسموح للمستخدم و دون ذلك يتطلب اعتماد  </w:t>
            </w:r>
          </w:p>
          <w:p w:rsidR="00D77C04" w:rsidRPr="00626EF4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sz w:val="28"/>
                <w:szCs w:val="28"/>
                <w:lang w:bidi="ar-EG"/>
              </w:rPr>
            </w:pPr>
            <w:r w:rsidRPr="00626EF4">
              <w:rPr>
                <w:rFonts w:hint="cs"/>
                <w:sz w:val="28"/>
                <w:szCs w:val="28"/>
                <w:rtl/>
                <w:lang w:bidi="ar-EG"/>
              </w:rPr>
              <w:t xml:space="preserve">حركة بنكية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سحب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إيداع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إمكانية ربط الإيداع مع حالة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مصروفات بنكية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فروق عملات </w:t>
            </w:r>
          </w:p>
          <w:p w:rsidR="00D77C04" w:rsidRPr="00E63E9C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حوالات (صادر -وارد)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القيود اليومية</w:t>
            </w:r>
          </w:p>
          <w:p w:rsidR="00D77C04" w:rsidRPr="0040589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حركة المخزون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وارد مخزن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صادر مخزن 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عينات و هدايا وارد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عينات و هدايا صادر 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تالف </w:t>
            </w:r>
          </w:p>
          <w:p w:rsidR="00D77C04" w:rsidRPr="0040589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حجز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رد حجز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8"/>
                <w:rtl/>
              </w:rPr>
              <w:t xml:space="preserve"> </w:t>
            </w:r>
          </w:p>
          <w:p w:rsidR="00D77C04" w:rsidRPr="00DE75F9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فروق جرد (سالبة </w:t>
            </w:r>
            <w:r w:rsidRPr="0040589D"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4"/>
                <w:rtl/>
              </w:rPr>
              <w:t>–</w:t>
            </w:r>
            <w:r w:rsidRPr="0040589D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 xml:space="preserve"> موجبة)</w:t>
            </w:r>
          </w:p>
          <w:p w:rsidR="00D77C04" w:rsidRPr="005B4C6D" w:rsidRDefault="00D77C04" w:rsidP="00D77C04">
            <w:pPr>
              <w:pStyle w:val="ListParagraph"/>
              <w:numPr>
                <w:ilvl w:val="1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DE75F9"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4"/>
                <w:rtl/>
              </w:rPr>
              <w:t>حركة جرد مخزني</w:t>
            </w:r>
            <w:r>
              <w:rPr>
                <w:rFonts w:asciiTheme="minorHAnsi" w:eastAsiaTheme="minorEastAsia" w:hAnsiTheme="minorHAnsi" w:cstheme="minorBidi" w:hint="cs"/>
                <w:b w:val="0"/>
                <w:color w:val="000000"/>
                <w:sz w:val="28"/>
                <w:szCs w:val="28"/>
                <w:rtl/>
              </w:rPr>
              <w:t xml:space="preserve"> 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Fonts w:asciiTheme="minorHAnsi" w:eastAsiaTheme="minorEastAsia" w:hAnsiTheme="minorHAnsi" w:cstheme="minorBidi"/>
                <w:b w:val="0"/>
                <w:color w:val="000000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التحويلات المخزنية</w:t>
            </w:r>
          </w:p>
          <w:p w:rsidR="00D77C04" w:rsidRPr="005B4C6D" w:rsidRDefault="00D77C04" w:rsidP="00D77C04">
            <w:pPr>
              <w:pStyle w:val="ListParagraph"/>
              <w:numPr>
                <w:ilvl w:val="0"/>
                <w:numId w:val="3"/>
              </w:numPr>
              <w:bidi/>
              <w:spacing w:after="160" w:line="240" w:lineRule="auto"/>
              <w:rPr>
                <w:rStyle w:val="Heading2Char"/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5B4C6D">
              <w:rPr>
                <w:rFonts w:hint="cs"/>
                <w:sz w:val="28"/>
                <w:szCs w:val="28"/>
                <w:rtl/>
                <w:lang w:bidi="ar-EG"/>
              </w:rPr>
              <w:t>ارصدة اول المدة للمخزون</w:t>
            </w:r>
          </w:p>
        </w:tc>
      </w:tr>
      <w:tr w:rsidR="00D77C04" w:rsidTr="00147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77C04" w:rsidRDefault="00D77C04" w:rsidP="00147BF4">
            <w:pPr>
              <w:jc w:val="right"/>
              <w:rPr>
                <w:rStyle w:val="Heading2Char"/>
                <w:rFonts w:eastAsia="Calibri" w:cs="Times New Roman"/>
                <w:sz w:val="48"/>
                <w:szCs w:val="36"/>
                <w:u w:val="single"/>
                <w:rtl/>
                <w:lang w:bidi="ar-EG"/>
              </w:rPr>
            </w:pPr>
            <w:r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  <w:lang w:bidi="ar-EG"/>
              </w:rPr>
              <w:t>التقارير:</w:t>
            </w:r>
          </w:p>
          <w:p w:rsidR="00D77C04" w:rsidRPr="00E93DD4" w:rsidRDefault="00D77C04" w:rsidP="00D77C04">
            <w:pPr>
              <w:pStyle w:val="ListParagraph"/>
              <w:numPr>
                <w:ilvl w:val="0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40"/>
                <w:szCs w:val="28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 xml:space="preserve">تقارير </w:t>
            </w:r>
            <w:r>
              <w:rPr>
                <w:rStyle w:val="Heading2Char"/>
                <w:rFonts w:asciiTheme="minorBidi" w:hAnsiTheme="minorBidi" w:cstheme="minorBidi" w:hint="cs"/>
                <w:sz w:val="40"/>
                <w:szCs w:val="28"/>
                <w:rtl/>
                <w:lang w:bidi="ar-EG"/>
              </w:rPr>
              <w:t xml:space="preserve">الحالات 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كشف حساب حالة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ارصدة الحالات</w:t>
            </w:r>
          </w:p>
          <w:p w:rsidR="00D77C04" w:rsidRPr="00E93DD4" w:rsidRDefault="00D77C04" w:rsidP="00D77C04">
            <w:pPr>
              <w:pStyle w:val="ListParagraph"/>
              <w:numPr>
                <w:ilvl w:val="0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40"/>
                <w:szCs w:val="28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>ت</w:t>
            </w:r>
            <w:r>
              <w:rPr>
                <w:rStyle w:val="Heading2Char"/>
                <w:rFonts w:asciiTheme="minorBidi" w:hAnsiTheme="minorBidi" w:cstheme="minorBidi" w:hint="cs"/>
                <w:sz w:val="40"/>
                <w:szCs w:val="28"/>
                <w:rtl/>
                <w:lang w:bidi="ar-EG"/>
              </w:rPr>
              <w:t>ق</w:t>
            </w: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>ارير المخزون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 xml:space="preserve">ارصدة </w:t>
            </w: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>الأصناف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>ربحية الأصناف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>كارت صنف</w:t>
            </w:r>
          </w:p>
          <w:p w:rsidR="00D77C04" w:rsidRPr="00E93DD4" w:rsidRDefault="00D77C04" w:rsidP="00D77C04">
            <w:pPr>
              <w:pStyle w:val="ListParagraph"/>
              <w:numPr>
                <w:ilvl w:val="0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40"/>
                <w:szCs w:val="28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>تقارير الحسابات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كشف حساب</w:t>
            </w: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 (إمكانية اختيار اكتر من حساب)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ارصدة حسابات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ميزان مراجعة</w:t>
            </w: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 ( بناءا على المستوى المحاسبي)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كشف حساب مركز تكلفة 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ارصدة مراكز التكلفة </w:t>
            </w:r>
          </w:p>
          <w:p w:rsidR="00D77C04" w:rsidRPr="00E93DD4" w:rsidRDefault="00D77C04" w:rsidP="00147BF4">
            <w:pPr>
              <w:pStyle w:val="ListParagraph"/>
              <w:bidi/>
              <w:spacing w:line="240" w:lineRule="auto"/>
              <w:ind w:left="1440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</w:p>
          <w:p w:rsidR="00D77C04" w:rsidRPr="00E93DD4" w:rsidRDefault="00D77C04" w:rsidP="00D77C04">
            <w:pPr>
              <w:pStyle w:val="ListParagraph"/>
              <w:numPr>
                <w:ilvl w:val="0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40"/>
                <w:szCs w:val="28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>تقارير النقدية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كشف حساب خزينة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كشف حساب بنك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كشف حساب عهدة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 xml:space="preserve">ارصدة البنوك </w:t>
            </w:r>
          </w:p>
          <w:p w:rsidR="00D77C0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>ارصدة الخزن</w:t>
            </w:r>
          </w:p>
          <w:p w:rsidR="00D77C04" w:rsidRPr="00626EF4" w:rsidRDefault="00D77C04" w:rsidP="00D77C04">
            <w:pPr>
              <w:pStyle w:val="ListParagraph"/>
              <w:numPr>
                <w:ilvl w:val="1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>
              <w:rPr>
                <w:rStyle w:val="Heading2Char"/>
                <w:rFonts w:asciiTheme="minorBidi" w:hAnsiTheme="minorBidi" w:cstheme="minorBidi" w:hint="cs"/>
                <w:sz w:val="36"/>
                <w:szCs w:val="24"/>
                <w:rtl/>
                <w:lang w:bidi="ar-EG"/>
              </w:rPr>
              <w:t>ارصدة العهد</w:t>
            </w:r>
          </w:p>
          <w:p w:rsidR="00D77C04" w:rsidRPr="00E93DD4" w:rsidRDefault="00D77C04" w:rsidP="00D77C04">
            <w:pPr>
              <w:pStyle w:val="ListParagraph"/>
              <w:numPr>
                <w:ilvl w:val="0"/>
                <w:numId w:val="5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40"/>
                <w:szCs w:val="28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40"/>
                <w:szCs w:val="28"/>
                <w:rtl/>
                <w:lang w:bidi="ar-EG"/>
              </w:rPr>
              <w:t>تقارير الموردين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6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كشف حساب مورد</w:t>
            </w:r>
          </w:p>
          <w:p w:rsidR="00D77C04" w:rsidRPr="00E93DD4" w:rsidRDefault="00D77C04" w:rsidP="00D77C04">
            <w:pPr>
              <w:pStyle w:val="ListParagraph"/>
              <w:numPr>
                <w:ilvl w:val="1"/>
                <w:numId w:val="6"/>
              </w:numPr>
              <w:bidi/>
              <w:spacing w:line="240" w:lineRule="auto"/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</w:pPr>
            <w:r w:rsidRPr="00E93DD4">
              <w:rPr>
                <w:rStyle w:val="Heading2Char"/>
                <w:rFonts w:asciiTheme="minorBidi" w:hAnsiTheme="minorBidi" w:cstheme="minorBidi"/>
                <w:sz w:val="36"/>
                <w:szCs w:val="24"/>
                <w:rtl/>
                <w:lang w:bidi="ar-EG"/>
              </w:rPr>
              <w:t>ارصدة الموردين</w:t>
            </w:r>
          </w:p>
        </w:tc>
      </w:tr>
      <w:tr w:rsidR="00D77C04" w:rsidTr="0014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77C04" w:rsidRPr="00DE75F9" w:rsidRDefault="00D77C04" w:rsidP="00147BF4">
            <w:pPr>
              <w:jc w:val="right"/>
              <w:rPr>
                <w:rStyle w:val="Heading2Char"/>
                <w:rFonts w:eastAsia="Calibri" w:cs="Times New Roman"/>
                <w:sz w:val="48"/>
                <w:szCs w:val="36"/>
                <w:u w:val="single"/>
                <w:lang w:bidi="ar-EG"/>
              </w:rPr>
            </w:pPr>
            <w:r w:rsidRPr="00DE75F9"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  <w:lang w:bidi="ar-EG"/>
              </w:rPr>
              <w:t xml:space="preserve">أدارة </w:t>
            </w:r>
            <w:r w:rsidRPr="00DE75F9">
              <w:rPr>
                <w:rStyle w:val="Heading2Char"/>
                <w:rFonts w:eastAsia="Calibri" w:cs="Times New Roman" w:hint="eastAsia"/>
                <w:sz w:val="48"/>
                <w:szCs w:val="36"/>
                <w:u w:val="single"/>
                <w:rtl/>
                <w:lang w:bidi="ar-EG"/>
              </w:rPr>
              <w:t>الأصول</w:t>
            </w:r>
            <w:r w:rsidRPr="00DE75F9">
              <w:rPr>
                <w:rStyle w:val="Heading2Char"/>
                <w:rFonts w:eastAsia="Calibri" w:cs="Times New Roman" w:hint="cs"/>
                <w:sz w:val="48"/>
                <w:szCs w:val="36"/>
                <w:u w:val="single"/>
                <w:rtl/>
                <w:lang w:bidi="ar-EG"/>
              </w:rPr>
              <w:t xml:space="preserve"> الثابتة:</w:t>
            </w:r>
          </w:p>
          <w:p w:rsidR="00D77C04" w:rsidRDefault="00D77C04" w:rsidP="00D77C04">
            <w:pPr>
              <w:pStyle w:val="ListParagraph"/>
              <w:numPr>
                <w:ilvl w:val="0"/>
                <w:numId w:val="4"/>
              </w:numPr>
              <w:bidi/>
              <w:spacing w:after="160" w:line="240" w:lineRule="auto"/>
              <w:rPr>
                <w:rStyle w:val="Heading2Char"/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الربط بحساب الأصل بالدليل المحاسبي</w:t>
            </w:r>
          </w:p>
        </w:tc>
      </w:tr>
    </w:tbl>
    <w:p w:rsidR="00D77C04" w:rsidRDefault="00D77C04" w:rsidP="00D77C04">
      <w:pPr>
        <w:rPr>
          <w:rtl/>
        </w:rPr>
      </w:pPr>
    </w:p>
    <w:p w:rsidR="00B02E27" w:rsidRDefault="00B02E27"/>
    <w:sectPr w:rsidR="00B0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423D"/>
    <w:multiLevelType w:val="hybridMultilevel"/>
    <w:tmpl w:val="D7545ED4"/>
    <w:lvl w:ilvl="0" w:tplc="698A5236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0B18"/>
    <w:multiLevelType w:val="hybridMultilevel"/>
    <w:tmpl w:val="7C30A312"/>
    <w:lvl w:ilvl="0" w:tplc="5A8C3A4A">
      <w:start w:val="1"/>
      <w:numFmt w:val="decimal"/>
      <w:lvlText w:val="%1-"/>
      <w:lvlJc w:val="left"/>
      <w:pPr>
        <w:ind w:left="720" w:hanging="360"/>
      </w:pPr>
      <w:rPr>
        <w:sz w:val="28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C592C"/>
    <w:multiLevelType w:val="hybridMultilevel"/>
    <w:tmpl w:val="354ADA5E"/>
    <w:lvl w:ilvl="0" w:tplc="3854623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3CF8"/>
    <w:multiLevelType w:val="hybridMultilevel"/>
    <w:tmpl w:val="50CCF288"/>
    <w:lvl w:ilvl="0" w:tplc="698A5236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271A"/>
    <w:multiLevelType w:val="hybridMultilevel"/>
    <w:tmpl w:val="C97C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23041"/>
    <w:multiLevelType w:val="hybridMultilevel"/>
    <w:tmpl w:val="37FC4838"/>
    <w:lvl w:ilvl="0" w:tplc="38546236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04"/>
    <w:rsid w:val="00B02E27"/>
    <w:rsid w:val="00D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9C99E-F5EC-4987-B4BF-068DF46E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C04"/>
  </w:style>
  <w:style w:type="paragraph" w:styleId="Heading2">
    <w:name w:val="heading 2"/>
    <w:next w:val="Normal"/>
    <w:link w:val="Heading2Char"/>
    <w:uiPriority w:val="9"/>
    <w:unhideWhenUsed/>
    <w:qFormat/>
    <w:rsid w:val="00D77C04"/>
    <w:pPr>
      <w:keepNext/>
      <w:keepLines/>
      <w:spacing w:after="35" w:line="240" w:lineRule="auto"/>
      <w:ind w:left="-5" w:right="-15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C04"/>
    <w:rPr>
      <w:rFonts w:ascii="Cambria" w:eastAsia="Cambria" w:hAnsi="Cambria" w:cs="Cambria"/>
      <w:b/>
      <w:color w:val="000000"/>
      <w:sz w:val="32"/>
    </w:rPr>
  </w:style>
  <w:style w:type="character" w:customStyle="1" w:styleId="ListParagraphChar">
    <w:name w:val="List Paragraph Char"/>
    <w:aliases w:val="Bullets Char,Use Case List Paragraph Char,lp1 Char,List Paragraph1 Char,List Paragraph11 Char,List Paragraph1 Char Char Char,YC Bulet Char,numbered Char,FooterText Char,Paragraphe de liste1 Char,Bulletr List Paragraph Char,列出段落 Char"/>
    <w:basedOn w:val="DefaultParagraphFont"/>
    <w:link w:val="ListParagraph"/>
    <w:uiPriority w:val="34"/>
    <w:locked/>
    <w:rsid w:val="00D77C04"/>
    <w:rPr>
      <w:rFonts w:ascii="Calibri" w:eastAsia="Calibri" w:hAnsi="Calibri" w:cs="Arial"/>
    </w:rPr>
  </w:style>
  <w:style w:type="paragraph" w:styleId="ListParagraph">
    <w:name w:val="List Paragraph"/>
    <w:aliases w:val="Bullets,Use Case List Paragraph,lp1,List Paragraph1,List Paragraph11,List Paragraph1 Char Char,YC Bulet,numbered,FooterText,Paragraphe de liste1,Bulletr List Paragraph,列出段落,列出段落1,List Paragraph2,List Paragraph21,lp11"/>
    <w:basedOn w:val="Normal"/>
    <w:link w:val="ListParagraphChar"/>
    <w:uiPriority w:val="34"/>
    <w:qFormat/>
    <w:rsid w:val="00D77C04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GridTable4-Accent1">
    <w:name w:val="Grid Table 4 Accent 1"/>
    <w:basedOn w:val="TableNormal"/>
    <w:uiPriority w:val="49"/>
    <w:rsid w:val="00D77C0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Kamel</dc:creator>
  <cp:keywords/>
  <dc:description/>
  <cp:lastModifiedBy>Wael Kamel</cp:lastModifiedBy>
  <cp:revision>1</cp:revision>
  <dcterms:created xsi:type="dcterms:W3CDTF">2019-02-13T16:49:00Z</dcterms:created>
  <dcterms:modified xsi:type="dcterms:W3CDTF">2019-02-13T16:53:00Z</dcterms:modified>
</cp:coreProperties>
</file>