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left"/>
      </w:pPr>
    </w:p>
    <w:p>
      <w:pPr>
        <w:spacing w:after="120" w:before="0" w:line="276" w:lineRule="auto"/>
        <w:jc w:val="left"/>
      </w:pPr>
    </w:p>
    <w:p>
      <w:pPr>
        <w:spacing w:after="120" w:before="0" w:line="276" w:lineRule="auto"/>
        <w:jc w:val="left"/>
      </w:pPr>
    </w:p>
    <w:p>
      <w:pPr>
        <w:spacing w:after="120" w:before="0" w:line="276" w:lineRule="auto"/>
        <w:jc w:val="center"/>
      </w:pPr>
      <w:r>
        <w:rPr>
          <w:rFonts w:ascii="Arial" w:hAnsi="Arial"/>
          <w:b/>
          <w:i w:val="0"/>
          <w:color w:val="666666"/>
          <w:sz w:val="28"/>
        </w:rPr>
        <w:t>RAPPORT DE STAGE DE FIN D'ÉTUDES</w:t>
      </w:r>
    </w:p>
    <w:p>
      <w:pPr>
        <w:spacing w:after="120" w:before="0" w:line="276" w:lineRule="auto"/>
        <w:jc w:val="left"/>
      </w:pPr>
    </w:p>
    <w:p>
      <w:pPr>
        <w:spacing w:after="120" w:before="0" w:line="276" w:lineRule="auto"/>
        <w:jc w:val="center"/>
      </w:pPr>
      <w:r>
        <w:rPr>
          <w:rFonts w:ascii="Arial" w:hAnsi="Arial"/>
          <w:b/>
          <w:i w:val="0"/>
          <w:color w:val="003366"/>
          <w:sz w:val="48"/>
        </w:rPr>
        <w:t>CONCEPTION ET IMPLÉMENTATION D'UNE SOLUTION SDN MULTI-CONSTRUCTEUR ET MULTI-TENANT POUR RÉSEAUX DATA CENTER</w:t>
      </w:r>
    </w:p>
    <w:p>
      <w:pPr>
        <w:spacing w:after="120" w:before="0" w:line="276" w:lineRule="auto"/>
        <w:jc w:val="left"/>
      </w:pPr>
    </w:p>
    <w:p>
      <w:pPr>
        <w:spacing w:after="120" w:before="0" w:line="276" w:lineRule="auto"/>
        <w:jc w:val="left"/>
      </w:pPr>
    </w:p>
    <w:p>
      <w:pPr>
        <w:spacing w:after="120" w:before="0" w:line="276" w:lineRule="auto"/>
        <w:jc w:val="left"/>
      </w:pPr>
    </w:p>
    <w:p>
      <w:pPr>
        <w:spacing w:after="120" w:before="0" w:line="276" w:lineRule="auto"/>
        <w:jc w:val="left"/>
      </w:pPr>
    </w:p>
    <w:tbl>
      <w:tblPr>
        <w:tblW w:type="auto" w:w="0"/>
        <w:jc w:val="center"/>
        <w:tblLook w:firstColumn="1" w:firstRow="1" w:lastColumn="0" w:lastRow="0" w:noHBand="0" w:noVBand="1" w:val="04A0"/>
      </w:tblPr>
      <w:tblGrid>
        <w:gridCol w:w="4680"/>
        <w:gridCol w:w="4680"/>
      </w:tblGrid>
      <w:tr>
        <w:tc>
          <w:tcPr>
            <w:tcW w:type="dxa" w:w="4680"/>
          </w:tcPr>
          <w:p>
            <w:r>
              <w:rPr>
                <w:rFonts w:ascii="Calibri" w:hAnsi="Calibri"/>
                <w:b/>
                <w:i w:val="0"/>
                <w:color w:val="666666"/>
                <w:sz w:val="22"/>
              </w:rPr>
              <w:t>Réalisé par :</w:t>
            </w:r>
          </w:p>
        </w:tc>
        <w:tc>
          <w:tcPr>
            <w:tcW w:type="dxa" w:w="4680"/>
          </w:tcPr>
          <w:p>
            <w:r>
              <w:rPr>
                <w:rFonts w:ascii="Calibri" w:hAnsi="Calibri"/>
                <w:b/>
                <w:i w:val="0"/>
                <w:color w:val="003366"/>
                <w:sz w:val="22"/>
              </w:rPr>
              <w:t>Mostafa Faouzi</w:t>
            </w:r>
          </w:p>
        </w:tc>
      </w:tr>
      <w:tr>
        <w:tc>
          <w:tcPr>
            <w:tcW w:type="dxa" w:w="4680"/>
          </w:tcPr>
          <w:p>
            <w:r>
              <w:rPr>
                <w:rFonts w:ascii="Calibri" w:hAnsi="Calibri"/>
                <w:b/>
                <w:i w:val="0"/>
                <w:color w:val="666666"/>
                <w:sz w:val="22"/>
              </w:rPr>
              <w:t>Encadré par :</w:t>
            </w:r>
          </w:p>
        </w:tc>
        <w:tc>
          <w:tcPr>
            <w:tcW w:type="dxa" w:w="4680"/>
          </w:tcPr>
          <w:p>
            <w:r>
              <w:rPr>
                <w:rFonts w:ascii="Calibri" w:hAnsi="Calibri"/>
                <w:b/>
                <w:i w:val="0"/>
                <w:color w:val="003366"/>
                <w:sz w:val="22"/>
              </w:rPr>
              <w:t>Mohamed Nabil</w:t>
            </w:r>
          </w:p>
        </w:tc>
      </w:tr>
      <w:tr>
        <w:tc>
          <w:tcPr>
            <w:tcW w:type="dxa" w:w="4680"/>
          </w:tcPr>
          <w:p>
            <w:r>
              <w:rPr>
                <w:rFonts w:ascii="Calibri" w:hAnsi="Calibri"/>
                <w:b/>
                <w:i w:val="0"/>
                <w:color w:val="666666"/>
                <w:sz w:val="22"/>
              </w:rPr>
              <w:t>Sujet du projet :</w:t>
            </w:r>
          </w:p>
        </w:tc>
        <w:tc>
          <w:tcPr>
            <w:tcW w:type="dxa" w:w="4680"/>
          </w:tcPr>
          <w:p>
            <w:r>
              <w:rPr>
                <w:rFonts w:ascii="Calibri" w:hAnsi="Calibri"/>
                <w:b/>
                <w:i w:val="0"/>
                <w:color w:val="003366"/>
                <w:sz w:val="22"/>
              </w:rPr>
              <w:t>Contrôleur SDN &amp; Pipeline de Validation à 4 Étapes</w:t>
            </w:r>
          </w:p>
        </w:tc>
      </w:tr>
      <w:tr>
        <w:tc>
          <w:tcPr>
            <w:tcW w:type="dxa" w:w="4680"/>
          </w:tcPr>
          <w:p>
            <w:r>
              <w:rPr>
                <w:rFonts w:ascii="Calibri" w:hAnsi="Calibri"/>
                <w:b/>
                <w:i w:val="0"/>
                <w:color w:val="666666"/>
                <w:sz w:val="22"/>
              </w:rPr>
              <w:t>Année Universitaire :</w:t>
            </w:r>
          </w:p>
        </w:tc>
        <w:tc>
          <w:tcPr>
            <w:tcW w:type="dxa" w:w="4680"/>
          </w:tcPr>
          <w:p>
            <w:r>
              <w:rPr>
                <w:rFonts w:ascii="Calibri" w:hAnsi="Calibri"/>
                <w:b/>
                <w:i w:val="0"/>
                <w:color w:val="003366"/>
                <w:sz w:val="22"/>
              </w:rPr>
              <w:t>2025 - 2026</w:t>
            </w:r>
          </w:p>
        </w:tc>
      </w:tr>
    </w:tbl>
    <w:p>
      <w:r>
        <w:br w:type="page"/>
      </w:r>
    </w:p>
    <w:p>
      <w:pPr>
        <w:keepNext/>
        <w:spacing w:before="360" w:after="160"/>
      </w:pPr>
      <w:r>
        <w:rPr>
          <w:rFonts w:ascii="Arial" w:hAnsi="Arial"/>
          <w:b/>
          <w:i w:val="0"/>
          <w:color w:val="003366"/>
          <w:sz w:val="36"/>
        </w:rPr>
        <w:t>Résumé Exécutif</w:t>
      </w:r>
    </w:p>
    <w:p>
      <w:pPr>
        <w:spacing w:after="120" w:before="0" w:line="276" w:lineRule="auto"/>
        <w:jc w:val="left"/>
      </w:pPr>
      <w:r>
        <w:rPr>
          <w:rFonts w:ascii="Calibri" w:hAnsi="Calibri"/>
        </w:rPr>
        <w:t xml:space="preserve">Ce rapport présente les travaux réalisés dans le cadre du projet de fin d'études portant sur le développement et le déploiement d'un </w:t>
      </w:r>
      <w:r>
        <w:rPr>
          <w:rFonts w:ascii="Calibri" w:hAnsi="Calibri"/>
          <w:b/>
          <w:i w:val="0"/>
          <w:color w:val="003366"/>
          <w:sz w:val="22"/>
        </w:rPr>
        <w:t>Contrôleur SDN (Software-Defined Networking) Multi-Constructeur et Multi-Tenant</w:t>
      </w:r>
      <w:r>
        <w:t>. L'objectif principal de cette solution est d'automatiser le cycle de vie complet d'un réseau de centre de données, de la phase de provisionnement initial (ZTP) à la surveillance de la conformité de configuration (Configuration Drift), en passant par un pipeline rigoureux de validation en quatre étapes pour les modifications à chaud. Le contrôleur s'interface de manière transparente avec des commutateurs de marques Dell (OS10) et Nokia (SRLinux) émulés via Containerlab, tout en garantissant un cloisonnement strict des ressources réseau entre différents locataires (Tenants).</w:t>
      </w:r>
    </w:p>
    <w:p>
      <w:pPr>
        <w:keepNext/>
        <w:spacing w:before="360" w:after="160"/>
      </w:pPr>
      <w:r>
        <w:rPr>
          <w:rFonts w:ascii="Arial" w:hAnsi="Arial"/>
          <w:b/>
          <w:i w:val="0"/>
          <w:color w:val="003366"/>
          <w:sz w:val="36"/>
        </w:rPr>
        <w:t>Introduction Générale</w:t>
      </w:r>
    </w:p>
    <w:p>
      <w:pPr>
        <w:spacing w:after="120" w:before="0" w:line="276" w:lineRule="auto"/>
        <w:jc w:val="left"/>
      </w:pPr>
      <w:r>
        <w:t>L'évolution rapide des architectures Cloud et la multiplication des environnements multi-locataires imposent de nouveaux défis pour la gestion opérationnelle des réseaux physiques de centres de données. L'approche traditionnelle basée sur l'administration manuelle, switch par switch, présente des risques élevés d'erreurs humaines, un manque d'agilité, et des difficultés de suivi de conformité.</w:t>
        <w:br/>
        <w:br/>
      </w:r>
      <w:r>
        <w:t>C'est dans ce contexte que s'inscrit ce projet, ayant pour but de concevoir une plateforme d'orchestration SDN capable de s'interfacer avec une infrastructure matérielle hétérogène (Dell OS10, Nokia SRLinux). Sous la supervision de M. Mohamed Nabil, les objectifs clés suivants ont été atteints :</w:t>
        <w:br/>
      </w:r>
    </w:p>
    <w:p>
      <w:pPr>
        <w:pStyle w:val="ListBullet"/>
        <w:spacing w:after="80"/>
      </w:pPr>
      <w:r>
        <w:rPr>
          <w:rFonts w:ascii="Calibri" w:hAnsi="Calibri"/>
          <w:b w:val="0"/>
          <w:i w:val="0"/>
          <w:color w:val="333333"/>
          <w:sz w:val="22"/>
        </w:rPr>
        <w:t>Automatisation complète du déploiement initial via un mécanisme de Zero Touch Provisioning (ZTP).</w:t>
      </w:r>
    </w:p>
    <w:p>
      <w:pPr>
        <w:pStyle w:val="ListBullet"/>
        <w:spacing w:after="80"/>
      </w:pPr>
      <w:r>
        <w:rPr>
          <w:rFonts w:ascii="Calibri" w:hAnsi="Calibri"/>
          <w:b w:val="0"/>
          <w:i w:val="0"/>
          <w:color w:val="333333"/>
          <w:sz w:val="22"/>
        </w:rPr>
        <w:t>Création d'un cloisonnement strict des données et des ressources réseau via un modèle multi-locataire (Multi-Tenancy) basé sur les rôles (RBAC).</w:t>
      </w:r>
    </w:p>
    <w:p>
      <w:pPr>
        <w:pStyle w:val="ListBullet"/>
        <w:spacing w:after="80"/>
      </w:pPr>
      <w:r>
        <w:rPr>
          <w:rFonts w:ascii="Calibri" w:hAnsi="Calibri"/>
          <w:b w:val="0"/>
          <w:i w:val="0"/>
          <w:color w:val="333333"/>
          <w:sz w:val="22"/>
        </w:rPr>
        <w:t>Implémentation d'un pipeline de validation robuste à quatre étapes avec calcul de blast radius avant chaque commit.</w:t>
      </w:r>
    </w:p>
    <w:p>
      <w:pPr>
        <w:pStyle w:val="ListBullet"/>
        <w:spacing w:after="80"/>
      </w:pPr>
      <w:r>
        <w:rPr>
          <w:rFonts w:ascii="Calibri" w:hAnsi="Calibri"/>
          <w:b w:val="0"/>
          <w:i w:val="0"/>
          <w:color w:val="333333"/>
          <w:sz w:val="22"/>
        </w:rPr>
        <w:t>Suivi continu de l'état du réseau pour détecter et corriger à la volée tout écart de configuration (Configuration Drift).</w:t>
      </w:r>
    </w:p>
    <w:p>
      <w:pPr>
        <w:keepNext/>
        <w:spacing w:before="360" w:after="160"/>
      </w:pPr>
      <w:r>
        <w:rPr>
          <w:rFonts w:ascii="Arial" w:hAnsi="Arial"/>
          <w:b/>
          <w:i w:val="0"/>
          <w:color w:val="003366"/>
          <w:sz w:val="36"/>
        </w:rPr>
        <w:t>Chapitre 1 : Analyse des Besoins et Architecture Technique</w:t>
      </w:r>
    </w:p>
    <w:p>
      <w:pPr>
        <w:spacing w:after="120" w:before="0" w:line="276" w:lineRule="auto"/>
        <w:jc w:val="left"/>
      </w:pPr>
      <w:r>
        <w:t>Ce chapitre décrit les besoins fonctionnels du système, la pile technologique retenue et l'architecture globale des composants.</w:t>
      </w:r>
    </w:p>
    <w:p>
      <w:pPr>
        <w:keepNext/>
        <w:spacing w:before="240" w:after="80"/>
      </w:pPr>
      <w:r>
        <w:rPr>
          <w:rFonts w:ascii="Arial" w:hAnsi="Arial"/>
          <w:b/>
          <w:i w:val="0"/>
          <w:color w:val="0066CC"/>
          <w:sz w:val="28"/>
        </w:rPr>
        <w:t>1.1 Description des Besoins Fonctionnels</w:t>
      </w:r>
    </w:p>
    <w:p>
      <w:pPr>
        <w:keepNext/>
        <w:spacing w:before="160" w:after="40"/>
      </w:pPr>
      <w:r>
        <w:rPr>
          <w:rFonts w:ascii="Arial" w:hAnsi="Arial"/>
          <w:b/>
          <w:i/>
          <w:color w:val="666666"/>
          <w:sz w:val="24"/>
        </w:rPr>
        <w:t>Gestion Multi-Tenant</w:t>
      </w:r>
    </w:p>
    <w:p>
      <w:pPr>
        <w:spacing w:after="120" w:before="0" w:line="276" w:lineRule="auto"/>
        <w:jc w:val="left"/>
      </w:pPr>
      <w:r>
        <w:rPr>
          <w:rFonts w:ascii="Calibri" w:hAnsi="Calibri"/>
          <w:b w:val="0"/>
          <w:i w:val="0"/>
          <w:color w:val="333333"/>
          <w:sz w:val="22"/>
        </w:rPr>
        <w:t>Le système doit permettre d'isoler logiquement plusieurs locataires (Tenants) se partageant la même infrastructure de switchs. Un opérateur d'un Tenant A ne doit en aucun cas pouvoir configurer ou voir des ressources appartenant au Tenant B.</w:t>
      </w:r>
    </w:p>
    <w:p>
      <w:pPr>
        <w:keepNext/>
        <w:spacing w:before="160" w:after="40"/>
      </w:pPr>
      <w:r>
        <w:rPr>
          <w:rFonts w:ascii="Arial" w:hAnsi="Arial"/>
          <w:b/>
          <w:i/>
          <w:color w:val="666666"/>
          <w:sz w:val="24"/>
        </w:rPr>
        <w:t>Zero Touch Provisioning (ZTP)</w:t>
      </w:r>
    </w:p>
    <w:p>
      <w:pPr>
        <w:spacing w:after="120" w:before="0" w:line="276" w:lineRule="auto"/>
        <w:jc w:val="left"/>
      </w:pPr>
      <w:r>
        <w:rPr>
          <w:rFonts w:ascii="Calibri" w:hAnsi="Calibri"/>
          <w:b w:val="0"/>
          <w:i w:val="0"/>
          <w:color w:val="333333"/>
          <w:sz w:val="22"/>
        </w:rPr>
        <w:t>Lors du démarrage d'un switch vierge, celui-ci doit automatiquement s'enregistrer, obtenir ses adresses IP de loopback et VTEP à partir de pools prédéfinis, et recevoir sa configuration de base sans intervention humaine directe.</w:t>
      </w:r>
    </w:p>
    <w:p>
      <w:pPr>
        <w:keepNext/>
        <w:spacing w:before="160" w:after="40"/>
      </w:pPr>
      <w:r>
        <w:rPr>
          <w:rFonts w:ascii="Arial" w:hAnsi="Arial"/>
          <w:b/>
          <w:i/>
          <w:color w:val="666666"/>
          <w:sz w:val="24"/>
        </w:rPr>
        <w:t>Pipeline de Push Sécurisé</w:t>
      </w:r>
    </w:p>
    <w:p>
      <w:pPr>
        <w:spacing w:after="120" w:before="0" w:line="276" w:lineRule="auto"/>
        <w:jc w:val="left"/>
      </w:pPr>
      <w:r>
        <w:rPr>
          <w:rFonts w:ascii="Calibri" w:hAnsi="Calibri"/>
          <w:b w:val="0"/>
          <w:i w:val="0"/>
          <w:color w:val="333333"/>
          <w:sz w:val="22"/>
        </w:rPr>
        <w:t>Toute configuration soumise manuellement doit passer par quatre étapes strictes de validation : validation syntaxique, contrôle de limites de locataire, détection de collisions IP/VLAN, et génération de diff unifié avant validation.</w:t>
      </w:r>
    </w:p>
    <w:p>
      <w:pPr>
        <w:keepNext/>
        <w:spacing w:before="160" w:after="40"/>
      </w:pPr>
      <w:r>
        <w:rPr>
          <w:rFonts w:ascii="Arial" w:hAnsi="Arial"/>
          <w:b/>
          <w:i/>
          <w:color w:val="666666"/>
          <w:sz w:val="24"/>
        </w:rPr>
        <w:t>Conformité et Auto-Remédiation</w:t>
      </w:r>
    </w:p>
    <w:p>
      <w:pPr>
        <w:spacing w:after="120" w:before="0" w:line="276" w:lineRule="auto"/>
        <w:jc w:val="left"/>
      </w:pPr>
      <w:r>
        <w:rPr>
          <w:rFonts w:ascii="Calibri" w:hAnsi="Calibri"/>
          <w:b w:val="0"/>
          <w:i w:val="0"/>
          <w:color w:val="333333"/>
          <w:sz w:val="22"/>
        </w:rPr>
        <w:t>Le système doit périodiquement comparer la configuration courante des switchs avec leur baseline approuvée pour marquer les switchs comme conformes ou déviés (drifted), et proposer un bouton de remédiation automatique.</w:t>
      </w:r>
    </w:p>
    <w:p>
      <w:pPr>
        <w:keepNext/>
        <w:spacing w:before="240" w:after="80"/>
      </w:pPr>
      <w:r>
        <w:rPr>
          <w:rFonts w:ascii="Arial" w:hAnsi="Arial"/>
          <w:b/>
          <w:i w:val="0"/>
          <w:color w:val="0066CC"/>
          <w:sz w:val="28"/>
        </w:rPr>
        <w:t>1.2 Architecture et Pile Technologique</w:t>
      </w:r>
    </w:p>
    <w:p>
      <w:pPr>
        <w:spacing w:after="120" w:before="0" w:line="276" w:lineRule="auto"/>
        <w:jc w:val="left"/>
      </w:pPr>
      <w:r>
        <w:t>L'architecture globale de la plateforme s'appuie sur des composants conteneurisés en microservices :</w:t>
      </w:r>
    </w:p>
    <w:p>
      <w:pPr>
        <w:spacing w:after="120" w:before="0" w:line="276" w:lineRule="auto"/>
        <w:jc w:val="center"/>
      </w:pPr>
      <w:r>
        <w:rPr>
          <w:rFonts w:ascii="Calibri" w:hAnsi="Calibri"/>
          <w:b w:val="0"/>
          <w:i/>
          <w:color w:val="333333"/>
          <w:sz w:val="22"/>
        </w:rPr>
        <w:t>[Diagramme d'Architecture Système en Mermaid - Voir Rapport de Stage]</w:t>
      </w:r>
    </w:p>
    <w:p>
      <w:pPr>
        <w:spacing w:after="120" w:before="0" w:line="276" w:lineRule="auto"/>
        <w:jc w:val="left"/>
      </w:pPr>
      <w:r>
        <w:rPr>
          <w:rFonts w:ascii="Calibri" w:hAnsi="Calibri"/>
        </w:rPr>
        <w:t>La pile technologique choisie comprend :</w:t>
        <w:br/>
      </w:r>
    </w:p>
    <w:p>
      <w:pPr>
        <w:pStyle w:val="ListBullet"/>
        <w:spacing w:after="80"/>
      </w:pPr>
      <w:r>
        <w:rPr>
          <w:rFonts w:ascii="Calibri" w:hAnsi="Calibri"/>
          <w:b/>
          <w:i w:val="0"/>
          <w:color w:val="333333"/>
          <w:sz w:val="22"/>
        </w:rPr>
        <w:t xml:space="preserve">Backend FastAPI : </w:t>
      </w:r>
      <w:r>
        <w:rPr>
          <w:rFonts w:ascii="Calibri" w:hAnsi="Calibri"/>
          <w:b w:val="0"/>
          <w:i w:val="0"/>
          <w:color w:val="333333"/>
          <w:sz w:val="22"/>
        </w:rPr>
        <w:t>Framework Python moderne et ultra-rapide utilisé pour exposer l'ensemble des 98 routes de l'API REST avec typage Pydantic.</w:t>
      </w:r>
    </w:p>
    <w:p>
      <w:pPr>
        <w:pStyle w:val="ListBullet"/>
        <w:spacing w:after="80"/>
      </w:pPr>
      <w:r>
        <w:rPr>
          <w:rFonts w:ascii="Calibri" w:hAnsi="Calibri"/>
          <w:b/>
          <w:i w:val="0"/>
          <w:color w:val="333333"/>
          <w:sz w:val="22"/>
        </w:rPr>
        <w:t xml:space="preserve">Celery &amp; Redis : </w:t>
      </w:r>
      <w:r>
        <w:rPr>
          <w:rFonts w:ascii="Calibri" w:hAnsi="Calibri"/>
          <w:b w:val="0"/>
          <w:i w:val="0"/>
          <w:color w:val="333333"/>
          <w:sz w:val="22"/>
        </w:rPr>
        <w:t>Moteur de tâches asynchrones permettant de gérer sans bloquer l'API les opérations réseau longues (provisioning, push SSH, gNMI, compliance). Redis Sentinel est utilisé comme broker pour la haute disponibilité.</w:t>
      </w:r>
    </w:p>
    <w:p>
      <w:pPr>
        <w:pStyle w:val="ListBullet"/>
        <w:spacing w:after="80"/>
      </w:pPr>
      <w:r>
        <w:rPr>
          <w:rFonts w:ascii="Calibri" w:hAnsi="Calibri"/>
          <w:b/>
          <w:i w:val="0"/>
          <w:color w:val="333333"/>
          <w:sz w:val="22"/>
        </w:rPr>
        <w:t xml:space="preserve">PostgreSQL : </w:t>
      </w:r>
      <w:r>
        <w:rPr>
          <w:rFonts w:ascii="Calibri" w:hAnsi="Calibri"/>
          <w:b w:val="0"/>
          <w:i w:val="0"/>
          <w:color w:val="333333"/>
          <w:sz w:val="22"/>
        </w:rPr>
        <w:t>Stockage persistant pour les modèles de données (Switchs, Fabrics, Subnets, Snapshots, Users, Logs).</w:t>
      </w:r>
    </w:p>
    <w:p>
      <w:pPr>
        <w:pStyle w:val="ListBullet"/>
        <w:spacing w:after="80"/>
      </w:pPr>
      <w:r>
        <w:rPr>
          <w:rFonts w:ascii="Calibri" w:hAnsi="Calibri"/>
          <w:b/>
          <w:i w:val="0"/>
          <w:color w:val="333333"/>
          <w:sz w:val="22"/>
        </w:rPr>
        <w:t xml:space="preserve">React / TypeScript : </w:t>
      </w:r>
      <w:r>
        <w:rPr>
          <w:rFonts w:ascii="Calibri" w:hAnsi="Calibri"/>
          <w:b w:val="0"/>
          <w:i w:val="0"/>
          <w:color w:val="333333"/>
          <w:sz w:val="22"/>
        </w:rPr>
        <w:t>Interface d'administration moderne permettant de visualiser la topologie, le statut de conformité et d'exécuter le wizard de push de configuration.</w:t>
      </w:r>
    </w:p>
    <w:p>
      <w:pPr>
        <w:keepNext/>
        <w:spacing w:before="240" w:after="80"/>
      </w:pPr>
      <w:r>
        <w:rPr>
          <w:rFonts w:ascii="Arial" w:hAnsi="Arial"/>
          <w:b/>
          <w:i w:val="0"/>
          <w:color w:val="0066CC"/>
          <w:sz w:val="28"/>
        </w:rPr>
        <w:t>1.3 Choix d'Architecture : Développement vs Production</w:t>
      </w:r>
    </w:p>
    <w:p>
      <w:pPr>
        <w:spacing w:after="120" w:before="0" w:line="276" w:lineRule="auto"/>
        <w:jc w:val="left"/>
      </w:pPr>
      <w:r>
        <w:t>Pour rationaliser les cycles de validation et maximiser l'efficacité du projet de stage, deux architectures distinctes ont été définies : l'architecture de développement/recette locale et l'architecture de production Kubernetes.</w:t>
        <w:br/>
        <w:br/>
      </w:r>
      <w:r>
        <w:t>L'architecture de développement utilise Docker Compose et Containerlab hébergés sur une seule machine virtuelle (GCP `sdn-host-vm`). Ce choix répond à plusieurs critères méthodologiques essentiels :</w:t>
        <w:br/>
      </w:r>
    </w:p>
    <w:p>
      <w:pPr>
        <w:pStyle w:val="ListBullet"/>
        <w:spacing w:after="80"/>
      </w:pPr>
      <w:r>
        <w:rPr>
          <w:rFonts w:ascii="Calibri" w:hAnsi="Calibri"/>
          <w:b/>
          <w:i w:val="0"/>
          <w:color w:val="333333"/>
          <w:sz w:val="22"/>
        </w:rPr>
        <w:t xml:space="preserve">Facilité de déploiement et de mise à jour : </w:t>
      </w:r>
      <w:r>
        <w:rPr>
          <w:rFonts w:ascii="Calibri" w:hAnsi="Calibri"/>
          <w:b w:val="0"/>
          <w:i w:val="0"/>
          <w:color w:val="333333"/>
          <w:sz w:val="22"/>
        </w:rPr>
        <w:t>L'utilisation combinée de Docker Compose et du script 'sync_and_launch.ps1' permet de recompiler, transférer le code et relancer l'application complète en une seule commande, sans l'inertie des processus d'orchestration Kubernetes.</w:t>
      </w:r>
    </w:p>
    <w:p>
      <w:pPr>
        <w:pStyle w:val="ListBullet"/>
        <w:spacing w:after="80"/>
      </w:pPr>
      <w:r>
        <w:rPr>
          <w:rFonts w:ascii="Calibri" w:hAnsi="Calibri"/>
          <w:b/>
          <w:i w:val="0"/>
          <w:color w:val="333333"/>
          <w:sz w:val="22"/>
        </w:rPr>
        <w:t xml:space="preserve">Boucle de re-test et de diagnostic ultra-courte : </w:t>
      </w:r>
      <w:r>
        <w:rPr>
          <w:rFonts w:ascii="Calibri" w:hAnsi="Calibri"/>
          <w:b w:val="0"/>
          <w:i w:val="0"/>
          <w:color w:val="333333"/>
          <w:sz w:val="22"/>
        </w:rPr>
        <w:t>En cas d'échec d'une validation ou d'un driver southbound, les logs des conteneurs (FastAPI, Celery, PostgreSQL) sont directement accessibles, et les correctifs de code peuvent être testés et validés en quelques secondes.</w:t>
      </w:r>
    </w:p>
    <w:p>
      <w:pPr>
        <w:pStyle w:val="ListBullet"/>
        <w:spacing w:after="80"/>
      </w:pPr>
      <w:r>
        <w:rPr>
          <w:rFonts w:ascii="Calibri" w:hAnsi="Calibri"/>
          <w:b/>
          <w:i w:val="0"/>
          <w:color w:val="333333"/>
          <w:sz w:val="22"/>
        </w:rPr>
        <w:t xml:space="preserve">Simplicité de l'émulation réseau : </w:t>
      </w:r>
      <w:r>
        <w:rPr>
          <w:rFonts w:ascii="Calibri" w:hAnsi="Calibri"/>
          <w:b w:val="0"/>
          <w:i w:val="0"/>
          <w:color w:val="333333"/>
          <w:sz w:val="22"/>
        </w:rPr>
        <w:t>Containerlab orchestre des commutateurs virtuels (images SRLinux et Dell OS10 émulées avec QEMU) s'exécutant sur le même pont réseau Docker que les conteneurs applicatifs. Cela permet un routage direct et performant des requêtes SSH, SNMP et gNMI à l'échelle locale.</w:t>
      </w:r>
    </w:p>
    <w:p>
      <w:pPr>
        <w:pStyle w:val="ListBullet"/>
        <w:spacing w:after="80"/>
      </w:pPr>
      <w:r>
        <w:rPr>
          <w:rFonts w:ascii="Calibri" w:hAnsi="Calibri"/>
          <w:b/>
          <w:i w:val="0"/>
          <w:color w:val="333333"/>
          <w:sz w:val="22"/>
        </w:rPr>
        <w:t xml:space="preserve">Réduction des coûts : </w:t>
      </w:r>
      <w:r>
        <w:rPr>
          <w:rFonts w:ascii="Calibri" w:hAnsi="Calibri"/>
          <w:b w:val="0"/>
          <w:i w:val="0"/>
          <w:color w:val="333333"/>
          <w:sz w:val="22"/>
        </w:rPr>
        <w:t>L'infrastructure de test fonctionne de manière optimale sur un serveur virtuel unique, évitant de mobiliser un cluster de production coûteux durant les phases de prototypage.</w:t>
      </w:r>
    </w:p>
    <w:p>
      <w:pPr>
        <w:keepNext/>
        <w:spacing w:before="240" w:after="80"/>
      </w:pPr>
      <w:r>
        <w:rPr>
          <w:rFonts w:ascii="Arial" w:hAnsi="Arial"/>
          <w:b/>
          <w:i w:val="0"/>
          <w:color w:val="0066CC"/>
          <w:sz w:val="28"/>
        </w:rPr>
        <w:t>1.4 Plan de Migration vers la Production</w:t>
      </w:r>
    </w:p>
    <w:p>
      <w:pPr>
        <w:spacing w:after="120" w:before="0" w:line="276" w:lineRule="auto"/>
        <w:jc w:val="left"/>
      </w:pPr>
      <w:r>
        <w:t>La transition de l'environnement de développement vers un cluster Kubernetes (RKE2) de production managé par Rancher suit un plan méthodique structuré en cinq étapes :</w:t>
        <w:br/>
      </w:r>
    </w:p>
    <w:p>
      <w:pPr>
        <w:pStyle w:val="ListBullet"/>
        <w:spacing w:after="80"/>
      </w:pPr>
      <w:r>
        <w:rPr>
          <w:rFonts w:ascii="Calibri" w:hAnsi="Calibri"/>
          <w:b/>
          <w:i w:val="0"/>
          <w:color w:val="333333"/>
          <w:sz w:val="22"/>
        </w:rPr>
        <w:t xml:space="preserve">Étape 1 : Conteneurisation et Registre d'Images : </w:t>
      </w:r>
      <w:r>
        <w:rPr>
          <w:rFonts w:ascii="Calibri" w:hAnsi="Calibri"/>
          <w:b w:val="0"/>
          <w:i w:val="0"/>
          <w:color w:val="333333"/>
          <w:sz w:val="22"/>
        </w:rPr>
        <w:t>Les conteneurs de développement sont convertis en images de production stables, taguées et poussées vers un registre privé (Google Artifact Registry ou GitHub Container Registry) relié au cluster RKE2.</w:t>
      </w:r>
    </w:p>
    <w:p>
      <w:pPr>
        <w:pStyle w:val="ListBullet"/>
        <w:spacing w:after="80"/>
      </w:pPr>
      <w:r>
        <w:rPr>
          <w:rFonts w:ascii="Calibri" w:hAnsi="Calibri"/>
          <w:b/>
          <w:i w:val="0"/>
          <w:color w:val="333333"/>
          <w:sz w:val="22"/>
        </w:rPr>
        <w:t xml:space="preserve">Étape 2 : Déploiement des Manifestes Helm et Kubernetes : </w:t>
      </w:r>
      <w:r>
        <w:rPr>
          <w:rFonts w:ascii="Calibri" w:hAnsi="Calibri"/>
          <w:b w:val="0"/>
          <w:i w:val="0"/>
          <w:color w:val="333333"/>
          <w:sz w:val="22"/>
        </w:rPr>
        <w:t>Traduction du fichier docker-compose.yml en fichiers YAML Kubernetes. Les services applicatifs stateless sont configurés sous forme de 'Deployments' avec autoscaling horizontal (HPA), tandis que PostgreSQL et Redis Sentinel sont gérés via des 'StatefulSets' associés à Longhorn pour le stockage persistant (PVC).</w:t>
      </w:r>
    </w:p>
    <w:p>
      <w:pPr>
        <w:pStyle w:val="ListBullet"/>
        <w:spacing w:after="80"/>
      </w:pPr>
      <w:r>
        <w:rPr>
          <w:rFonts w:ascii="Calibri" w:hAnsi="Calibri"/>
          <w:b/>
          <w:i w:val="0"/>
          <w:color w:val="333333"/>
          <w:sz w:val="22"/>
        </w:rPr>
        <w:t xml:space="preserve">Étape 3 : Migration des Bases de Données et Sauvegarde : </w:t>
      </w:r>
      <w:r>
        <w:rPr>
          <w:rFonts w:ascii="Calibri" w:hAnsi="Calibri"/>
          <w:b w:val="0"/>
          <w:i w:val="0"/>
          <w:color w:val="333333"/>
          <w:sz w:val="22"/>
        </w:rPr>
        <w:t>Restauration des données de staging (schémas SQL, comptes utilisateurs et données IPAM) dans le cluster PostgreSQL de production. Déploiement de Velero pour planifier des sauvegardes automatiques des manifests et des volumes vers un stockage S3 MinIO.</w:t>
      </w:r>
    </w:p>
    <w:p>
      <w:pPr>
        <w:pStyle w:val="ListBullet"/>
        <w:spacing w:after="80"/>
      </w:pPr>
      <w:r>
        <w:rPr>
          <w:rFonts w:ascii="Calibri" w:hAnsi="Calibri"/>
          <w:b/>
          <w:i w:val="0"/>
          <w:color w:val="333333"/>
          <w:sz w:val="22"/>
        </w:rPr>
        <w:t xml:space="preserve">Étape 4 : Configuration des Ingress et Terminaison TLS : </w:t>
      </w:r>
      <w:r>
        <w:rPr>
          <w:rFonts w:ascii="Calibri" w:hAnsi="Calibri"/>
          <w:b w:val="0"/>
          <w:i w:val="0"/>
          <w:color w:val="333333"/>
          <w:sz w:val="22"/>
        </w:rPr>
        <w:t>Mise en place de MetalLB pour exposer une IP virtuelle externe (VIP). Configuration d'un contrôleur Ingress NGINX pour assurer le routage HTTPS externe vers les API du backend (port 8000) et l'interface React frontend (port 8080).</w:t>
      </w:r>
    </w:p>
    <w:p>
      <w:pPr>
        <w:pStyle w:val="ListBullet"/>
        <w:spacing w:after="80"/>
      </w:pPr>
      <w:r>
        <w:rPr>
          <w:rFonts w:ascii="Calibri" w:hAnsi="Calibri"/>
          <w:b/>
          <w:i w:val="0"/>
          <w:color w:val="333333"/>
          <w:sz w:val="22"/>
        </w:rPr>
        <w:t xml:space="preserve">Étape 5 : Raccordement de la Topologie Réseau PNETLab : </w:t>
      </w:r>
      <w:r>
        <w:rPr>
          <w:rFonts w:ascii="Calibri" w:hAnsi="Calibri"/>
          <w:b w:val="0"/>
          <w:i w:val="0"/>
          <w:color w:val="333333"/>
          <w:sz w:val="22"/>
        </w:rPr>
        <w:t>Migration des switchs d'émulation locaux (Containerlab) vers une plateforme PNETLab de production hébergée sur un serveur physique dédié (activant la virtualisation imbriquée pour les 20 commutateurs Dell OS10). Les Celery workers et le gNMI collector sont alors reconfigurés pour interroger les switchs à travers le réseau d'administration routé du cluster.</w:t>
      </w:r>
    </w:p>
    <w:p>
      <w:pPr>
        <w:keepNext/>
        <w:spacing w:before="360" w:after="160"/>
      </w:pPr>
      <w:r>
        <w:rPr>
          <w:rFonts w:ascii="Arial" w:hAnsi="Arial"/>
          <w:b/>
          <w:i w:val="0"/>
          <w:color w:val="003366"/>
          <w:sz w:val="36"/>
        </w:rPr>
        <w:t>Chapitre 2 : Implémentation du Workflow ZTP et Provisioning</w:t>
      </w:r>
    </w:p>
    <w:p>
      <w:pPr>
        <w:spacing w:after="120" w:before="0" w:line="276" w:lineRule="auto"/>
        <w:jc w:val="left"/>
      </w:pPr>
      <w:r>
        <w:t>L'intégration d'un switch vierge dans le réseau suit un processus automatisé précis allant de la découverte DHCP au chargement de la configuration réseau de base.</w:t>
      </w:r>
    </w:p>
    <w:p>
      <w:pPr>
        <w:keepNext/>
        <w:spacing w:before="240" w:after="80"/>
      </w:pPr>
      <w:r>
        <w:rPr>
          <w:rFonts w:ascii="Arial" w:hAnsi="Arial"/>
          <w:b/>
          <w:i w:val="0"/>
          <w:color w:val="0066CC"/>
          <w:sz w:val="28"/>
        </w:rPr>
        <w:t>2.1 Cycle de Découverte (ZTP Ingestion)</w:t>
      </w:r>
    </w:p>
    <w:p>
      <w:pPr>
        <w:spacing w:after="120" w:before="0" w:line="276" w:lineRule="auto"/>
        <w:jc w:val="left"/>
      </w:pPr>
      <w:r>
        <w:t>Le cycle commence à la mise sous tension d'un équipement vierge. Les étapes techniques sont les suivantes :</w:t>
        <w:br/>
      </w:r>
    </w:p>
    <w:p>
      <w:pPr>
        <w:spacing w:after="80"/>
        <w:ind w:left="360"/>
      </w:pPr>
      <w:r>
        <w:rPr>
          <w:rFonts w:ascii="Calibri" w:hAnsi="Calibri"/>
          <w:b/>
          <w:i w:val="0"/>
          <w:color w:val="333333"/>
          <w:sz w:val="22"/>
        </w:rPr>
        <w:t xml:space="preserve">1. </w:t>
      </w:r>
      <w:r>
        <w:rPr>
          <w:rFonts w:ascii="Calibri" w:hAnsi="Calibri"/>
          <w:b w:val="0"/>
          <w:i w:val="0"/>
          <w:color w:val="333333"/>
          <w:sz w:val="22"/>
        </w:rPr>
        <w:t>Le commutateur récupère une adresse temporaire par DHCP.</w:t>
      </w:r>
    </w:p>
    <w:p>
      <w:pPr>
        <w:spacing w:after="80"/>
        <w:ind w:left="360"/>
      </w:pPr>
      <w:r>
        <w:rPr>
          <w:rFonts w:ascii="Calibri" w:hAnsi="Calibri"/>
          <w:b/>
          <w:i w:val="0"/>
          <w:color w:val="333333"/>
          <w:sz w:val="22"/>
        </w:rPr>
        <w:t xml:space="preserve">2. </w:t>
      </w:r>
      <w:r>
        <w:rPr>
          <w:rFonts w:ascii="Calibri" w:hAnsi="Calibri"/>
          <w:b w:val="0"/>
          <w:i w:val="0"/>
          <w:color w:val="333333"/>
          <w:sz w:val="22"/>
        </w:rPr>
        <w:t>Il exécute son script de démarrage interne qui envoie une requête POST vers le point d'accès '/api/v5/discovery/on-boarding-ingestion' du contrôleur en transmettant ses informations de base (MAC, Numéro de série, Constructeur, Version d'OS).</w:t>
      </w:r>
    </w:p>
    <w:p>
      <w:pPr>
        <w:spacing w:after="80"/>
        <w:ind w:left="360"/>
      </w:pPr>
      <w:r>
        <w:rPr>
          <w:rFonts w:ascii="Calibri" w:hAnsi="Calibri"/>
          <w:b/>
          <w:i w:val="0"/>
          <w:color w:val="333333"/>
          <w:sz w:val="22"/>
        </w:rPr>
        <w:t xml:space="preserve">3. </w:t>
      </w:r>
      <w:r>
        <w:rPr>
          <w:rFonts w:ascii="Calibri" w:hAnsi="Calibri"/>
          <w:b w:val="0"/>
          <w:i w:val="0"/>
          <w:color w:val="333333"/>
          <w:sz w:val="22"/>
        </w:rPr>
        <w:t>Le contrôleur enregistre l'équipement dans le ZtpDiscoveryPool et crée une ligne Switch dans l'état de cycle de vie 'discovered_raw'.</w:t>
      </w:r>
    </w:p>
    <w:p>
      <w:pPr>
        <w:spacing w:after="80"/>
        <w:ind w:left="360"/>
      </w:pPr>
      <w:r>
        <w:rPr>
          <w:rFonts w:ascii="Calibri" w:hAnsi="Calibri"/>
          <w:b/>
          <w:i w:val="0"/>
          <w:color w:val="333333"/>
          <w:sz w:val="22"/>
        </w:rPr>
        <w:t xml:space="preserve">4. </w:t>
      </w:r>
      <w:r>
        <w:rPr>
          <w:rFonts w:ascii="Calibri" w:hAnsi="Calibri"/>
          <w:b w:val="0"/>
          <w:i w:val="0"/>
          <w:color w:val="333333"/>
          <w:sz w:val="22"/>
        </w:rPr>
        <w:t>L'équipement reste en attente de l'affectation à un Fabric par l'administrateur.</w:t>
      </w:r>
    </w:p>
    <w:p>
      <w:pPr>
        <w:keepNext/>
        <w:spacing w:before="240" w:after="80"/>
      </w:pPr>
      <w:r>
        <w:rPr>
          <w:rFonts w:ascii="Arial" w:hAnsi="Arial"/>
          <w:b/>
          <w:i w:val="0"/>
          <w:color w:val="0066CC"/>
          <w:sz w:val="28"/>
        </w:rPr>
        <w:t>2.2 Affectation et Allocation Dynamique (IPAM &amp; BGP)</w:t>
      </w:r>
    </w:p>
    <w:p>
      <w:pPr>
        <w:spacing w:after="120" w:before="0" w:line="276" w:lineRule="auto"/>
        <w:jc w:val="left"/>
      </w:pPr>
      <w:r>
        <w:t>Lorsque l'administrateur affecte le switch découvert à un Fabric :</w:t>
        <w:br/>
      </w:r>
    </w:p>
    <w:p>
      <w:pPr>
        <w:pStyle w:val="ListBullet"/>
        <w:spacing w:after="80"/>
      </w:pPr>
      <w:r>
        <w:rPr>
          <w:rFonts w:ascii="Calibri" w:hAnsi="Calibri"/>
          <w:b/>
          <w:i w:val="0"/>
          <w:color w:val="333333"/>
          <w:sz w:val="22"/>
        </w:rPr>
        <w:t xml:space="preserve">Allocation d'ASN BGP : </w:t>
      </w:r>
      <w:r>
        <w:rPr>
          <w:rFonts w:ascii="Calibri" w:hAnsi="Calibri"/>
          <w:b w:val="0"/>
          <w:i w:val="0"/>
          <w:color w:val="333333"/>
          <w:sz w:val="22"/>
        </w:rPr>
        <w:t>Si le commutateur est configuré comme Spine, il reçoit l'ASN global du Fabric. S'il s'agit d'un Leaf, le contrôleur calcule dynamiquement un ASN privé unique en incrémentant le plus grand ASN actuellement utilisé par les autres Leafs du Fabric.</w:t>
      </w:r>
    </w:p>
    <w:p>
      <w:pPr>
        <w:pStyle w:val="ListBullet"/>
        <w:spacing w:after="80"/>
      </w:pPr>
      <w:r>
        <w:rPr>
          <w:rFonts w:ascii="Calibri" w:hAnsi="Calibri"/>
          <w:b/>
          <w:i w:val="0"/>
          <w:color w:val="333333"/>
          <w:sz w:val="22"/>
        </w:rPr>
        <w:t xml:space="preserve">Allocation Loopback 0 : </w:t>
      </w:r>
      <w:r>
        <w:rPr>
          <w:rFonts w:ascii="Calibri" w:hAnsi="Calibri"/>
          <w:b w:val="0"/>
          <w:i w:val="0"/>
          <w:color w:val="333333"/>
          <w:sz w:val="22"/>
        </w:rPr>
        <w:t>Le contrôleur extrait le pool d'adresses Loopback configuré sur le Fabric (ex: '10.200.1.0/24') et attribue au commutateur la première adresse IP disponible (ex: '10.200.1.1').</w:t>
      </w:r>
    </w:p>
    <w:p>
      <w:pPr>
        <w:pStyle w:val="ListBullet"/>
        <w:spacing w:after="80"/>
      </w:pPr>
      <w:r>
        <w:rPr>
          <w:rFonts w:ascii="Calibri" w:hAnsi="Calibri"/>
          <w:b/>
          <w:i w:val="0"/>
          <w:color w:val="333333"/>
          <w:sz w:val="22"/>
        </w:rPr>
        <w:t xml:space="preserve">Allocation d'IP VTEP : </w:t>
      </w:r>
      <w:r>
        <w:rPr>
          <w:rFonts w:ascii="Calibri" w:hAnsi="Calibri"/>
          <w:b w:val="0"/>
          <w:i w:val="0"/>
          <w:color w:val="333333"/>
          <w:sz w:val="22"/>
        </w:rPr>
        <w:t>Le contrôleur alloue une IP VTEP unique pour la gestion du tunnel VXLAN à partir du pool VTEP du Fabric (ex: '10.250.1.0/24').</w:t>
      </w:r>
    </w:p>
    <w:p>
      <w:pPr>
        <w:keepNext/>
        <w:spacing w:before="240" w:after="80"/>
      </w:pPr>
      <w:r>
        <w:rPr>
          <w:rFonts w:ascii="Arial" w:hAnsi="Arial"/>
          <w:b/>
          <w:i w:val="0"/>
          <w:color w:val="0066CC"/>
          <w:sz w:val="28"/>
        </w:rPr>
        <w:t>2.3 Génération et Déploiement de la Configuration</w:t>
      </w:r>
    </w:p>
    <w:p>
      <w:pPr>
        <w:spacing w:after="120" w:before="0" w:line="276" w:lineRule="auto"/>
        <w:jc w:val="left"/>
      </w:pPr>
      <w:r>
        <w:t>Une fois les adresses allouées, la tâche asynchrone Celery 'apply_baseline_template' est déclenchée. Elle génère une configuration initiale via des gabarits Jinja2 adaptés (Nokia SRLinux ou Dell OS10). Elle instancie les connexions SSH ou gNMI, applique la configuration, prend un premier snapshot ('ConfigSnapshot' avec 'is_baseline=True') et change l'état du switch en 'compliant'.</w:t>
      </w:r>
    </w:p>
    <w:p>
      <w:pPr>
        <w:keepNext/>
        <w:spacing w:before="360" w:after="160"/>
      </w:pPr>
      <w:r>
        <w:rPr>
          <w:rFonts w:ascii="Arial" w:hAnsi="Arial"/>
          <w:b/>
          <w:i w:val="0"/>
          <w:color w:val="003366"/>
          <w:sz w:val="36"/>
        </w:rPr>
        <w:t>Chapitre 3 : Pipeline de Validation et Push de Configuration à Chaud</w:t>
      </w:r>
    </w:p>
    <w:p>
      <w:pPr>
        <w:spacing w:after="120" w:before="0" w:line="276" w:lineRule="auto"/>
        <w:jc w:val="left"/>
      </w:pPr>
      <w:r>
        <w:t>L'un des défis majeurs dans les réseaux multi-tenants est d'éviter qu'une modification apportée par un utilisateur n'impacte les autres ou ne perturbe le routage global du centre de données. Pour cela, un pipeline à 4 étapes a été mis en œuvre.</w:t>
      </w:r>
    </w:p>
    <w:p>
      <w:pPr>
        <w:keepNext/>
        <w:spacing w:before="240" w:after="80"/>
      </w:pPr>
      <w:r>
        <w:rPr>
          <w:rFonts w:ascii="Arial" w:hAnsi="Arial"/>
          <w:b/>
          <w:i w:val="0"/>
          <w:color w:val="0066CC"/>
          <w:sz w:val="28"/>
        </w:rPr>
        <w:t>3.1 Fonctionnement détaillé du Pipeline à 4 Étapes</w:t>
      </w:r>
    </w:p>
    <w:p>
      <w:pPr>
        <w:keepNext/>
        <w:spacing w:before="160" w:after="40"/>
      </w:pPr>
      <w:r>
        <w:rPr>
          <w:rFonts w:ascii="Arial" w:hAnsi="Arial"/>
          <w:b/>
          <w:i/>
          <w:color w:val="666666"/>
          <w:sz w:val="24"/>
        </w:rPr>
        <w:t>Stage 1 - Étape 1 : Validation Syntaxique</w:t>
      </w:r>
    </w:p>
    <w:p>
      <w:pPr>
        <w:spacing w:after="120" w:before="0" w:line="276" w:lineRule="auto"/>
        <w:jc w:val="left"/>
      </w:pPr>
      <w:r>
        <w:rPr>
          <w:rFonts w:ascii="Calibri" w:hAnsi="Calibri"/>
          <w:b w:val="0"/>
          <w:i w:val="0"/>
          <w:color w:val="333333"/>
          <w:sz w:val="22"/>
        </w:rPr>
        <w:t>Le contrôleur intercepte le payload de commandes CLI soumis et le valide via des schémas Pydantic. Si les commandes comportent des erreurs structurelles ou des caractères invalides, le push est rejeté avec un code HTTP 422.</w:t>
      </w:r>
    </w:p>
    <w:p>
      <w:pPr>
        <w:keepNext/>
        <w:spacing w:before="160" w:after="40"/>
      </w:pPr>
      <w:r>
        <w:rPr>
          <w:rFonts w:ascii="Arial" w:hAnsi="Arial"/>
          <w:b/>
          <w:i/>
          <w:color w:val="666666"/>
          <w:sz w:val="24"/>
        </w:rPr>
        <w:t>Stage 2 - Étape 2 : Cloisonnement Multi-Tenant (Boundary Check)</w:t>
      </w:r>
    </w:p>
    <w:p>
      <w:pPr>
        <w:spacing w:after="120" w:before="0" w:line="276" w:lineRule="auto"/>
        <w:jc w:val="left"/>
      </w:pPr>
      <w:r>
        <w:rPr>
          <w:rFonts w:ascii="Calibri" w:hAnsi="Calibri"/>
          <w:b w:val="0"/>
          <w:i w:val="0"/>
          <w:color w:val="333333"/>
          <w:sz w:val="22"/>
        </w:rPr>
        <w:t>Pour les utilisateurs possédant le rôle d'opérateur de tenant, le contrôleur extrait toutes les adresses IP et réseaux déclarés dans le script. Il vérifie que chaque adresse appartient bien au sous-réseau alloué à ce tenant dans la table IPAM. Tout écart lève immédiatement une erreur HTTP 403.</w:t>
      </w:r>
    </w:p>
    <w:p>
      <w:pPr>
        <w:keepNext/>
        <w:spacing w:before="160" w:after="40"/>
      </w:pPr>
      <w:r>
        <w:rPr>
          <w:rFonts w:ascii="Arial" w:hAnsi="Arial"/>
          <w:b/>
          <w:i/>
          <w:color w:val="666666"/>
          <w:sz w:val="24"/>
        </w:rPr>
        <w:t>Stage 3 - Étape 3 : Détection de Collisions &amp; Blast Radius</w:t>
      </w:r>
    </w:p>
    <w:p>
      <w:pPr>
        <w:spacing w:after="120" w:before="0" w:line="276" w:lineRule="auto"/>
        <w:jc w:val="left"/>
      </w:pPr>
      <w:r>
        <w:rPr>
          <w:rFonts w:ascii="Calibri" w:hAnsi="Calibri"/>
          <w:b w:val="0"/>
          <w:i w:val="0"/>
          <w:color w:val="333333"/>
          <w:sz w:val="22"/>
        </w:rPr>
        <w:t>Le contrôleur analyse si les VLANs, VRFs ou adresses IP déclarés entrent en conflit avec des configurations existantes sur d'autres ports de la fabric. Il évalue également le 'Blast Radius' (nombre de ports impactés). Si un opérateur tente de modifier une configuration impactant plus de 5 interfaces, le push est bloqué en attente d'approbation par un administrateur.</w:t>
      </w:r>
    </w:p>
    <w:p>
      <w:pPr>
        <w:keepNext/>
        <w:spacing w:before="160" w:after="40"/>
      </w:pPr>
      <w:r>
        <w:rPr>
          <w:rFonts w:ascii="Arial" w:hAnsi="Arial"/>
          <w:b/>
          <w:i/>
          <w:color w:val="666666"/>
          <w:sz w:val="24"/>
        </w:rPr>
        <w:t>Stage 4 - Étape 4 : Snapshot Pré-Commit et Diff</w:t>
      </w:r>
    </w:p>
    <w:p>
      <w:pPr>
        <w:spacing w:after="120" w:before="0" w:line="276" w:lineRule="auto"/>
        <w:jc w:val="left"/>
      </w:pPr>
      <w:r>
        <w:rPr>
          <w:rFonts w:ascii="Calibri" w:hAnsi="Calibri"/>
          <w:b w:val="0"/>
          <w:i w:val="0"/>
          <w:color w:val="333333"/>
          <w:sz w:val="22"/>
        </w:rPr>
        <w:t>Le contrôleur se connecte de manière sécurisée au switch, effectue un push en mode 'Dry-run' (simulation) et génère un diff textuel standardisé (unified diff) comparant la configuration simulée et la configuration courante. L'utilisateur doit valider visuellement ce diff dans l'interface avant l'application définitive.</w:t>
      </w:r>
    </w:p>
    <w:p>
      <w:pPr>
        <w:keepNext/>
        <w:spacing w:before="240" w:after="80"/>
      </w:pPr>
      <w:r>
        <w:rPr>
          <w:rFonts w:ascii="Arial" w:hAnsi="Arial"/>
          <w:b/>
          <w:i w:val="0"/>
          <w:color w:val="0066CC"/>
          <w:sz w:val="28"/>
        </w:rPr>
        <w:t>3.2 Mécanisme de Calcul du Diff de Configuration</w:t>
      </w:r>
    </w:p>
    <w:p>
      <w:pPr>
        <w:spacing w:after="120" w:before="0" w:line="276" w:lineRule="auto"/>
        <w:jc w:val="left"/>
      </w:pPr>
      <w:r>
        <w:t>Lors de l'application définitive, la configuration courante est archivée sous forme de snapshot. En cas d'erreur ou d'échec réseau lors de l'application, le contrôleur lance automatiquement un rollback en ré-appliquant le dernier snapshot fonctionnel de la base de données, assurant une résilience maximale de l'infrastructure.</w:t>
      </w:r>
    </w:p>
    <w:p>
      <w:pPr>
        <w:keepNext/>
        <w:spacing w:before="360" w:after="160"/>
      </w:pPr>
      <w:r>
        <w:rPr>
          <w:rFonts w:ascii="Arial" w:hAnsi="Arial"/>
          <w:b/>
          <w:i w:val="0"/>
          <w:color w:val="003366"/>
          <w:sz w:val="36"/>
        </w:rPr>
        <w:t>Chapitre 4 : État de Conformité et Auto-Remédiation</w:t>
      </w:r>
    </w:p>
    <w:p>
      <w:pPr>
        <w:spacing w:after="120" w:before="0" w:line="276" w:lineRule="auto"/>
        <w:jc w:val="left"/>
      </w:pPr>
      <w:r>
        <w:t>Afin de s'assurer que les commutateurs ne subissent pas de modifications sauvages (Configuration Drift) hors du contrôleur SDN, un système de contrôle continu a été développé.</w:t>
      </w:r>
    </w:p>
    <w:p>
      <w:pPr>
        <w:keepNext/>
        <w:spacing w:before="240" w:after="80"/>
      </w:pPr>
      <w:r>
        <w:rPr>
          <w:rFonts w:ascii="Arial" w:hAnsi="Arial"/>
          <w:b/>
          <w:i w:val="0"/>
          <w:color w:val="0066CC"/>
          <w:sz w:val="28"/>
        </w:rPr>
        <w:t>4.1 Détection du Drift de Configuration</w:t>
      </w:r>
    </w:p>
    <w:p>
      <w:pPr>
        <w:spacing w:after="120" w:before="0" w:line="276" w:lineRule="auto"/>
        <w:jc w:val="left"/>
      </w:pPr>
      <w:r>
        <w:t>Le gestionnaire de conformité ('config_compliance_mgr') est un agent Celery s'exécutant périodiquement. Il récupère la configuration en temps réel de chaque commutateur et effectue une comparaison ligne par ligne avec le snapshot baseline enregistré. Si une modification non autorisée (ex: ajout manuel d'un VLAN via la console locale du switch) est détectée, le statut de l'appareil passe à 'drifted' (dévié) et les anomalies sont enregistrées dans la table 'ComplianceFinding'.</w:t>
      </w:r>
    </w:p>
    <w:p>
      <w:pPr>
        <w:keepNext/>
        <w:spacing w:before="240" w:after="80"/>
      </w:pPr>
      <w:r>
        <w:rPr>
          <w:rFonts w:ascii="Arial" w:hAnsi="Arial"/>
          <w:b/>
          <w:i w:val="0"/>
          <w:color w:val="0066CC"/>
          <w:sz w:val="28"/>
        </w:rPr>
        <w:t>4.2 Processus de Remédiation Automatique</w:t>
      </w:r>
    </w:p>
    <w:p>
      <w:pPr>
        <w:spacing w:after="120" w:before="0" w:line="276" w:lineRule="auto"/>
        <w:jc w:val="left"/>
      </w:pPr>
      <w:r>
        <w:t>Lorsqu'un drift est identifié, l'administrateur dispose d'une option de remédiation. Le contrôleur calcule les commandes inverses requises pour supprimer les configurations intruses ou restaurer les lignes manquantes, envoie ces commandes au switch, effectue une nouvelle vérification de conformité, et repasse le switch dans l'état 'compliant'.</w:t>
      </w:r>
    </w:p>
    <w:p>
      <w:pPr>
        <w:keepNext/>
        <w:spacing w:before="360" w:after="160"/>
      </w:pPr>
      <w:r>
        <w:rPr>
          <w:rFonts w:ascii="Arial" w:hAnsi="Arial"/>
          <w:b/>
          <w:i w:val="0"/>
          <w:color w:val="003366"/>
          <w:sz w:val="36"/>
        </w:rPr>
        <w:t>Conclusion Générale</w:t>
      </w:r>
    </w:p>
    <w:p>
      <w:pPr>
        <w:spacing w:after="120" w:before="0" w:line="276" w:lineRule="auto"/>
        <w:jc w:val="left"/>
      </w:pPr>
      <w:r>
        <w:t>Ce projet de stage de fin d'études a permis de concevoir et de réaliser une solution d'orchestration réseau SDN complète, sécurisée et adaptée aux environnements hétérogènes des centres de données modernes. En combinant un moteur d'automatisation puissant basé sur FastAPI et Celery avec une interface utilisateur intuitive en React, la plateforme résout des problématiques critiques d'administration réseau.</w:t>
        <w:br/>
        <w:br/>
      </w:r>
      <w:r>
        <w:t>Sous l'encadrement technique de M. Mohamed Nabil, l'architecture logicielle a été optimisée avec succès (séparation des routeurs logiques du backend, modularité de l'API client front-end, et restoration fonctionnelle après redimensionnement matériel de la VM de production). Les perspectives d'évolution de ce projet intègrent l'ajout de protocoles de routage dynamiques complexes (comme EVPN-VXLAN avancé) et le support de nouveaux constructeurs réseau via des pilotes SDN normalisés.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