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Coursack UI/UX Design Document</w:t>
      </w:r>
    </w:p>
    <w:p>
      <w:pPr>
        <w:pStyle w:val="Heading2"/>
      </w:pPr>
      <w:r>
        <w:t>1. Branding &amp; Identity</w:t>
      </w:r>
    </w:p>
    <w:p>
      <w:r>
        <w:t>This document outlines the planned UI/UX design system for Coursack, combining a professional, modern, and friendly visual identity.</w:t>
      </w:r>
    </w:p>
    <w:p>
      <w:pPr>
        <w:pStyle w:val="Heading3"/>
      </w:pPr>
      <w:r>
        <w:t>Color Palette</w:t>
      </w:r>
    </w:p>
    <w:p>
      <w:r>
        <w:t>Primary: #5B21B6</w:t>
        <w:br/>
        <w:t>Secondary: #2563EB</w:t>
        <w:br/>
        <w:t>Accent: #22C55E</w:t>
        <w:br/>
        <w:t>Neutral: #F3F4F6 / #1F2937</w:t>
      </w:r>
    </w:p>
    <w:p>
      <w:pPr>
        <w:pStyle w:val="Heading3"/>
      </w:pPr>
      <w:r>
        <w:t>Typography</w:t>
      </w:r>
    </w:p>
    <w:p>
      <w:r>
        <w:t>Headings: 32px/24px bold</w:t>
        <w:br/>
        <w:t>Body: 16px regular</w:t>
        <w:br/>
        <w:t>Small text: 14px</w:t>
      </w:r>
    </w:p>
    <w:p>
      <w:pPr>
        <w:pStyle w:val="Heading2"/>
      </w:pPr>
      <w:r>
        <w:t>2. Layout System</w:t>
      </w:r>
    </w:p>
    <w:p>
      <w:r>
        <w:t>Grid width: 1200px</w:t>
        <w:br/>
        <w:t>Spacing system: 8px grid</w:t>
        <w:br/>
        <w:t>Border-radius: 12px</w:t>
        <w:br/>
        <w:t>Card padding: 24px</w:t>
        <w:br/>
        <w:t>Consistent shadows: 0 4px 20px rgba(0,0,0,0.06)</w:t>
      </w:r>
    </w:p>
    <w:p>
      <w:pPr>
        <w:pStyle w:val="Heading2"/>
      </w:pPr>
      <w:r>
        <w:t>3. Component Library Overview</w:t>
      </w:r>
    </w:p>
    <w:p>
      <w:r>
        <w:t>This section defines universal UI components: buttons, cards, inputs, navigation bars, tables, and dashboards.</w:t>
      </w:r>
    </w:p>
    <w:p>
      <w:pPr>
        <w:pStyle w:val="Heading2"/>
      </w:pPr>
      <w:r>
        <w:t>4. Current UI Screenshots</w:t>
      </w:r>
    </w:p>
    <w:p>
      <w:r>
        <w:t>The following screenshots represent the current state of the platform before applying the new design system.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057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-11-2025_212710_localhost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Screenshot_17-11-2025_212710_localhost.jpeg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3432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-11-2025_21270_localhost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Screenshot_17-11-2025_21270_localhost.jpeg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3845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-11-2025_212651_localhost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Screenshot_17-11-2025_212651_localhost.jpeg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3845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-11-2025_212624_localhost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Screenshot_17-11-2025_212624_localhost.jpeg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58240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-11-2025_212613_localhost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4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Screenshot_17-11-2025_212613_localhost.jpeg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50549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-11-2025_21262_localhost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Screenshot_17-11-2025_21262_localhost.jpeg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42359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-11-2025_212548_localhost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Screenshot_17-11-2025_212548_localhost.jpeg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76074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-11-2025_212537_localhost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0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Screenshot_17-11-2025_212537_localhost.jpeg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81896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-11-2025_212524_localhost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89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Screenshot_17-11-2025_212524_localhost.jpeg</w:t>
      </w:r>
    </w:p>
    <w:p>
      <w:pPr>
        <w:pStyle w:val="Heading2"/>
      </w:pPr>
      <w:r>
        <w:t>5. Wireframe &amp; Redesign Principles</w:t>
      </w:r>
    </w:p>
    <w:p>
      <w:r>
        <w:t>1. Cleaner navigation bar with fewer items.</w:t>
        <w:br/>
        <w:t>2. Consistent card style across admin, teacher, and student dashboards.</w:t>
        <w:br/>
        <w:t>3. Reduced footer height and unified color usage.</w:t>
        <w:br/>
        <w:t>4. Standardized spacing and typography.</w:t>
        <w:br/>
        <w:t>5. Improved contrast for forms, buttons, and inputs.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