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B3D62"/>
          <w:sz w:val="52"/>
          <w:szCs w:val="52"/>
        </w:rPr>
        <w:t xml:space="preserve">ARCHITECTURE BLUEPRINT</w:t>
      </w:r>
    </w:p>
    <w:p>
      <w:pPr>
        <w:spacing w:after="800" w:before="120"/>
        <w:jc w:val="center"/>
      </w:pPr>
      <w:r>
        <w:rPr>
          <w:b/>
          <w:bCs/>
          <w:color w:val="155E8A"/>
          <w:sz w:val="30"/>
          <w:szCs w:val="30"/>
        </w:rPr>
        <w:t xml:space="preserve">ENTERPRISE / SOLUTION ARCHITECTURE</w:t>
      </w:r>
    </w:p>
    <w:p>
      <w:pPr>
        <w:spacing w:after="60"/>
        <w:jc w:val="center"/>
      </w:pPr>
      <w:r>
        <w:rPr>
          <w:i/>
          <w:iCs/>
          <w:color w:val="595959"/>
          <w:sz w:val="30"/>
          <w:szCs w:val="30"/>
        </w:rPr>
        <w:t xml:space="preserve">[Program / Initiative Name]</w:t>
      </w:r>
    </w:p>
    <w:p>
      <w:pPr>
        <w:pBdr>
          <w:bottom w:val="single" w:color="2CA6C9" w:sz="8" w:space="8"/>
        </w:pBdr>
        <w:spacing w:after="1000"/>
        <w:jc w:val="center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[Program Name] – Architecture Blueprint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Horizon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2026–2028]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[v0.1]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[Draft / In Review / Approved]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[Internal / Confidential]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Author(s)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Enterprise/Solution Architect]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[Related HLA / LLD document references]</w:t>
            </w:r>
          </w:p>
        </w:tc>
      </w:tr>
    </w:tbl>
    <w:p>
      <w:pPr>
        <w:spacing w:after="120" w:before="400"/>
      </w:pPr>
      <w:r>
        <w:rPr>
          <w:b/>
          <w:bCs/>
          <w:color w:val="0B3D62"/>
          <w:sz w:val="22"/>
          <w:szCs w:val="22"/>
        </w:rPr>
        <w:t xml:space="preserve">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4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[YYYY-MM-DD]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 w:before="400"/>
      </w:pPr>
      <w:r>
        <w:rPr>
          <w:b/>
          <w:bCs/>
          <w:color w:val="0B3D62"/>
          <w:sz w:val="22"/>
          <w:szCs w:val="22"/>
        </w:rPr>
        <w:t xml:space="preserve">Reviewers &amp; Approvers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[Chief / Enterprise Architect]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[Business Sponsor]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[Security / Risk Officer]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[Org / Vendor]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[Pending / Approved]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t xml:space="preserve">1. Executive Summary</w:t>
      </w:r>
    </w:p>
    <w:p>
      <w:pPr>
        <w:spacing w:after="160" w:line="276"/>
      </w:pPr>
      <w:r>
        <w:t xml:space="preserve">A one-page, board-readable summary: why this blueprint exists, what it commits the organization to, and what decisions it is asking leadership to make or ratify.</w:t>
      </w:r>
    </w:p>
    <w:p>
      <w:pPr>
        <w:spacing w:after="200"/>
      </w:pPr>
      <w:r>
        <w:rPr>
          <w:i/>
          <w:iCs/>
          <w:color w:val="808080"/>
        </w:rPr>
        <w:t xml:space="preserve">[2–4 short paragraphs: business context, the target-state vision in one sentence, expected value/outcomes, and the investment/timeframe being requested.]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2. Architecture Vision</w:t>
      </w:r>
    </w:p>
    <w:p>
      <w:pPr>
        <w:pStyle w:val="Heading2"/>
        <w:spacing w:after="120" w:before="300"/>
      </w:pPr>
      <w:r>
        <w:t xml:space="preserve">2.1 Business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[e.g., Regulatory mandate, digital transformation, cost reduction, customer experience]</w:t>
      </w:r>
    </w:p>
    <w:p>
      <w:pPr>
        <w:pStyle w:val="Heading2"/>
        <w:spacing w:after="120" w:before="300"/>
      </w:pPr>
      <w:r>
        <w:t xml:space="preserve">2.2 Strategic Objectives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5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Reduce time-to-market for new products]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[Cycle time]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[-40% by Q4 2027]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Consolidate vendor platforms]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[# of platforms]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[From 6 to 2]</w:t>
            </w:r>
          </w:p>
        </w:tc>
      </w:tr>
    </w:tbl>
    <w:p>
      <w:pPr>
        <w:pStyle w:val="Heading2"/>
        <w:spacing w:after="120" w:before="300"/>
      </w:pPr>
      <w:r>
        <w:t xml:space="preserve">2.3 Scope and Boundaries</w:t>
      </w:r>
    </w:p>
    <w:p>
      <w:pPr>
        <w:spacing w:after="200"/>
      </w:pPr>
      <w:r>
        <w:rPr>
          <w:i/>
          <w:iCs/>
          <w:color w:val="808080"/>
        </w:rPr>
        <w:t xml:space="preserve">[What is in scope for this blueprint (business domains, systems, geographies) and what is explicitly excluded.]</w:t>
      </w:r>
    </w:p>
    <w:p>
      <w:pPr>
        <w:pStyle w:val="Heading2"/>
        <w:spacing w:after="120" w:before="300"/>
      </w:pPr>
      <w:r>
        <w:t xml:space="preserve">2.4 Value Proposition</w:t>
      </w:r>
    </w:p>
    <w:p>
      <w:pPr>
        <w:spacing w:after="200"/>
      </w:pPr>
      <w:r>
        <w:rPr>
          <w:i/>
          <w:iCs/>
          <w:color w:val="808080"/>
        </w:rPr>
        <w:t xml:space="preserve">[The business case in architectural terms: what capability gaps this closes and why the target state is worth the transition cost.]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3. Architecture Principles</w:t>
      </w:r>
    </w:p>
    <w:p>
      <w:pPr>
        <w:spacing w:after="160" w:line="276"/>
      </w:pPr>
      <w:r>
        <w:t xml:space="preserve">Foundational rules that guide every downstream architecture decision (HLA/LLD). Each principle should be testable — a reviewer should be able to check a design against it.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API-first]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[Enables reuse and decoupling]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[All integrations expose versioned REST/event contracts]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Cloud-ready, on-prem capable]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[Regulatory / data residency constraints]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[No cloud-only managed services in critical path]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Buy before build]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[Faster time to market]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[Custom build requires documented gap analysis]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4. Baseline (Current State) Architecture</w:t>
      </w:r>
    </w:p>
    <w:p>
      <w:pPr>
        <w:spacing w:after="160" w:line="276"/>
      </w:pPr>
      <w:r>
        <w:t xml:space="preserve">Snapshot of today's architecture across the four TOGAF-style domains, establishing the starting point for the gap analysis in Section 8.</w:t>
      </w:r>
    </w:p>
    <w:p>
      <w:pPr>
        <w:pStyle w:val="Heading2"/>
        <w:spacing w:after="120" w:before="300"/>
      </w:pPr>
      <w:r>
        <w:t xml:space="preserve">4.1 Business Architecture (As-Is)</w:t>
      </w:r>
    </w:p>
    <w:p>
      <w:pPr>
        <w:spacing w:after="200"/>
      </w:pPr>
      <w:r>
        <w:rPr>
          <w:i/>
          <w:iCs/>
          <w:color w:val="808080"/>
        </w:rPr>
        <w:t xml:space="preserve">[Current business capabilities, organizational structure, and value streams relevant to this initiative.]</w:t>
      </w:r>
    </w:p>
    <w:p>
      <w:pPr>
        <w:pStyle w:val="Heading2"/>
        <w:spacing w:after="120" w:before="300"/>
      </w:pPr>
      <w:r>
        <w:t xml:space="preserve">4.2 Application Architecture (As-Is)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E8A"/>
                <w:sz w:val="22"/>
                <w:szCs w:val="22"/>
              </w:rPr>
              <w:t xml:space="preserve">◇  Current-State Application Landscape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diagram: existing applications/platforms and their major integrations.</w:t>
            </w:r>
          </w:p>
        </w:tc>
      </w:tr>
    </w:tbl>
    <w:p>
      <w:pPr>
        <w:pStyle w:val="Heading2"/>
        <w:spacing w:after="120" w:before="300"/>
      </w:pPr>
      <w:r>
        <w:t xml:space="preserve">4.3 Data Architecture (As-Is)</w:t>
      </w:r>
    </w:p>
    <w:p>
      <w:pPr>
        <w:spacing w:after="200"/>
      </w:pPr>
      <w:r>
        <w:rPr>
          <w:i/>
          <w:iCs/>
          <w:color w:val="808080"/>
        </w:rPr>
        <w:t xml:space="preserve">[Key data domains, systems of record, and known data quality or duplication issues today.]</w:t>
      </w:r>
    </w:p>
    <w:p>
      <w:pPr>
        <w:pStyle w:val="Heading2"/>
        <w:spacing w:after="120" w:before="300"/>
      </w:pPr>
      <w:r>
        <w:t xml:space="preserve">4.4 Technology Architecture (As-Is)</w:t>
      </w:r>
    </w:p>
    <w:p>
      <w:pPr>
        <w:spacing w:after="200"/>
      </w:pPr>
      <w:r>
        <w:rPr>
          <w:i/>
          <w:iCs/>
          <w:color w:val="808080"/>
        </w:rPr>
        <w:t xml:space="preserve">[Current infrastructure, hosting model, and major technology platforms in use.]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5. Business Capability Map</w:t>
      </w:r>
    </w:p>
    <w:p>
      <w:pPr>
        <w:spacing w:after="160" w:line="276"/>
      </w:pPr>
      <w:r>
        <w:t xml:space="preserve">Capabilities the organization needs (or has), independent of how they are currently implemented — used to identify where target architecture investment should focus.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E8A"/>
                <w:sz w:val="22"/>
                <w:szCs w:val="22"/>
              </w:rPr>
              <w:t xml:space="preserve">◇  Capability Map (Heat-Mapped)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capability map; heat-map by maturity or investment priority (e.g., red/amber/green).</w:t>
            </w:r>
          </w:p>
        </w:tc>
      </w:tr>
    </w:tbl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Maturity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Maturity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Order Management]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[Basic]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[Advanced]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Customer 360]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[Ad hoc]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[Managed]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6. Target State Architecture</w:t>
      </w:r>
    </w:p>
    <w:p>
      <w:pPr>
        <w:pStyle w:val="Heading2"/>
        <w:spacing w:after="120" w:before="300"/>
      </w:pPr>
      <w:r>
        <w:t xml:space="preserve">6.1 Business Architecture (To-Be)</w:t>
      </w:r>
    </w:p>
    <w:p>
      <w:pPr>
        <w:spacing w:after="200"/>
      </w:pPr>
      <w:r>
        <w:rPr>
          <w:i/>
          <w:iCs/>
          <w:color w:val="808080"/>
        </w:rPr>
        <w:t xml:space="preserve">[Future business capabilities and value streams enabled by the target architecture.]</w:t>
      </w:r>
    </w:p>
    <w:p>
      <w:pPr>
        <w:pStyle w:val="Heading2"/>
        <w:spacing w:after="120" w:before="300"/>
      </w:pPr>
      <w:r>
        <w:t xml:space="preserve">6.2 Application Architecture (To-Be)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E8A"/>
                <w:sz w:val="22"/>
                <w:szCs w:val="22"/>
              </w:rPr>
              <w:t xml:space="preserve">◇  C4 Level 1 — Target-State System Landscape / Context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diagram: target application landscape, major systems, and integration flows. Detailed C4 Level 2/3 views belong in the corresponding HLA documents.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Application / Platform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Target State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[Platform A]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[Core system of record]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[Retain / Retire / Replace / New]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[Platform B]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[Integration layer]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[Retain / Retire / Replace / New]</w:t>
            </w:r>
          </w:p>
        </w:tc>
      </w:tr>
    </w:tbl>
    <w:p>
      <w:pPr>
        <w:pStyle w:val="Heading2"/>
        <w:spacing w:after="120" w:before="300"/>
      </w:pPr>
      <w:r>
        <w:t xml:space="preserve">6.3 Data Architecture (To-Be)</w:t>
      </w:r>
    </w:p>
    <w:p>
      <w:pPr>
        <w:spacing w:after="200"/>
      </w:pPr>
      <w:r>
        <w:rPr>
          <w:i/>
          <w:iCs/>
          <w:color w:val="808080"/>
        </w:rPr>
        <w:t xml:space="preserve">[Target data domains, master data strategy, canonical data models, and governance approach.]</w:t>
      </w:r>
    </w:p>
    <w:p>
      <w:pPr>
        <w:pStyle w:val="Heading2"/>
        <w:spacing w:after="120" w:before="300"/>
      </w:pPr>
      <w:r>
        <w:t xml:space="preserve">6.4 Technology Architecture (To-Be)</w:t>
      </w:r>
    </w:p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E8A"/>
                <w:sz w:val="22"/>
                <w:szCs w:val="22"/>
              </w:rPr>
              <w:t xml:space="preserve">◇  Target-State Technology / Deployment Overview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diagram: target infrastructure, hosting model, network zones, and major technology platforms.</w:t>
            </w:r>
          </w:p>
        </w:tc>
      </w:tr>
    </w:tbl>
    <w:p>
      <w:pPr>
        <w:pStyle w:val="Heading2"/>
        <w:spacing w:after="120" w:before="300"/>
      </w:pPr>
      <w:r>
        <w:t xml:space="preserve">6.5 Reference Architecture &amp; Standards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/ Technology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REST + OpenAPI 3.1, TMF Open APIs]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Messaging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Kafka, AsyncAPI]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Store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PostgreSQL, Qdrant, MinIO]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Identity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OAuth2 / OIDC]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OpenTelemetry, Prometheus, Grafana]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7. Architecture Roadmap</w:t>
      </w:r>
    </w:p>
    <w:p>
      <w:pPr>
        <w:spacing w:after="160" w:line="276"/>
      </w:pPr>
      <w:r>
        <w:t xml:space="preserve">Phased transition plan from baseline to target state. Each phase should map to concrete, fundable work packages that downstream HLA/LLD documents will detail.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00"/>
        <w:gridCol w:w="1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Initiatives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[Q1–Q2 2027]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Platform consolidation, API gateway rollout]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[Budget approval]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 — Expansion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[Q3–Q4 2027]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New capability rollout]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[Phase 1 completion]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 — Optimization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[2028]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Decommission legacy, scale]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[Phase 2 completion]</w:t>
            </w:r>
          </w:p>
        </w:tc>
      </w:tr>
    </w:tbl>
    <w:tbl>
      <w:tblPr>
        <w:tblW w:type="pct" w:w="100%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500"/>
              <w:left w:type="dxa" w:w="300"/>
              <w:bottom w:type="dxa" w:w="500"/>
              <w:right w:type="dxa" w:w="3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155E8A"/>
                <w:sz w:val="22"/>
                <w:szCs w:val="22"/>
              </w:rPr>
              <w:t xml:space="preserve">◇  Roadmap Timeline (Gantt / Swimlane View)  ◇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Insert timeline visual showing phases, milestones, and dependencies across workstreams.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8. Gap Analysis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200"/>
        <w:gridCol w:w="24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Identified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if Unaddressed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Response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[Application]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No unified customer view]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[Fragmented CX, duplicate effort]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[Build Customer 360 platform]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[Technology]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No event backbone]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[Point-to-point integration sprawl]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[Introduce Kafka-based backbone]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9. Architecture Governance</w:t>
      </w:r>
    </w:p>
    <w:p>
      <w:pPr>
        <w:pStyle w:val="Heading2"/>
        <w:spacing w:after="120" w:before="300"/>
      </w:pPr>
      <w:r>
        <w:t xml:space="preserve">9.1 Governance Structure</w:t>
      </w:r>
    </w:p>
    <w:p>
      <w:pPr>
        <w:spacing w:after="200"/>
      </w:pPr>
      <w:r>
        <w:rPr>
          <w:i/>
          <w:iCs/>
          <w:color w:val="808080"/>
        </w:rPr>
        <w:t xml:space="preserve">[Architecture Review Board (ARB) composition, decision rights, and escalation path.]</w:t>
      </w:r>
    </w:p>
    <w:p>
      <w:pPr>
        <w:pStyle w:val="Heading2"/>
        <w:spacing w:after="120" w:before="300"/>
      </w:pPr>
      <w:r>
        <w:t xml:space="preserve">9.2 Compliance Process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All new solution designs (HLA) must be reviewed against the principles in Section 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Deviations require a documented waiver approved by the ARB.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LLDs are reviewed for conformance to their parent HLA before implementation begins.</w:t>
      </w:r>
    </w:p>
    <w:p>
      <w:pPr>
        <w:pStyle w:val="Heading2"/>
        <w:spacing w:after="120" w:before="300"/>
      </w:pPr>
      <w:r>
        <w:t xml:space="preserve">9.3 Architecture Decision Records (ADR) Policy</w:t>
      </w:r>
    </w:p>
    <w:p>
      <w:pPr>
        <w:spacing w:after="200"/>
      </w:pPr>
      <w:r>
        <w:rPr>
          <w:i/>
          <w:iCs/>
          <w:color w:val="808080"/>
        </w:rPr>
        <w:t xml:space="preserve">[Where and how architecture decisions are logged, and the required format (reference the ADR section in the HLA template).]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10. Risks, Assumptions, and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/ Owner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Vendor lock-in]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[Mitigation plan / owner]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Budget approved by Q1]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[Medium]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[Tracked by PMO]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[e.g., Upstream regulatory approval]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[Compliance team]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11. Glossary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3D6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[Term]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[Acronym]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[Expanded form and meaning]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2CA6C9" w:sz="4"/>
          <w:left w:val="single" w:color="2CA6C9" w:sz="4"/>
          <w:bottom w:val="single" w:color="2CA6C9" w:sz="4"/>
          <w:right w:val="single" w:color="2CA6C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B3D62"/>
                <w:sz w:val="20"/>
                <w:szCs w:val="20"/>
              </w:rPr>
              <w:t xml:space="preserve">How to use this template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Replace all bracketed [placeholder] text. This Blueprint sits above the HLA and LLD templates in the document hierarchy: it sets vision, principles, target state, and roadmap; each initiative in the roadmap is then detailed in its own HLA, which in turn is detailed by one or more LLDs per component. Right-click the Table of Contents and select 'Update Field' after editing headings. Delete this note before publishing.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Enterprise Architecture Blueprint — top-level of the HLA / LLD document set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[Program Name] — Architecture Blueprint</w:t>
    </w:r>
    <w:r>
      <w:rPr>
        <w:color w:val="59595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A6C9" w:sz="6" w:space="4"/>
      </w:pBdr>
      <w:spacing w:after="200" w:before="480"/>
    </w:pPr>
    <w:rPr>
      <w:rFonts w:ascii="Calibri" w:cs="Calibri" w:eastAsia="Calibri" w:hAnsi="Calibri"/>
      <w:b/>
      <w:bCs/>
      <w:color w:val="0B3D6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55E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A6C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Blueprint</dc:title>
  <dc:creator>Enterprise / Solution Architecture Team</dc:creator>
  <dc:description>Architecture Blueprint template — enterprise/solution-level vision, principles, target-state architecture, and roadmap; the top-level document above the HLA and LLD templates</dc:description>
  <cp:lastModifiedBy>Un-named</cp:lastModifiedBy>
  <cp:revision>1</cp:revision>
  <dcterms:created xsi:type="dcterms:W3CDTF">2026-08-15T22:14:55.267Z</dcterms:created>
  <dcterms:modified xsi:type="dcterms:W3CDTF">2026-08-15T22:14:55.278Z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