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B3B36"/>
          <w:sz w:val="52"/>
          <w:szCs w:val="52"/>
        </w:rPr>
        <w:t xml:space="preserve">LOW-LEVEL DESIGN</w:t>
      </w:r>
    </w:p>
    <w:p>
      <w:pPr>
        <w:spacing w:after="800" w:before="120"/>
        <w:jc w:val="center"/>
      </w:pPr>
      <w:r>
        <w:rPr>
          <w:b/>
          <w:bCs/>
          <w:color w:val="2E6E62"/>
          <w:sz w:val="32"/>
          <w:szCs w:val="32"/>
        </w:rPr>
        <w:t xml:space="preserve">DOCUMENT (LLD)</w:t>
      </w:r>
    </w:p>
    <w:p>
      <w:pPr>
        <w:spacing w:after="60"/>
        <w:jc w:val="center"/>
      </w:pPr>
      <w:r>
        <w:rPr>
          <w:i/>
          <w:iCs/>
          <w:color w:val="595959"/>
          <w:sz w:val="30"/>
          <w:szCs w:val="30"/>
        </w:rPr>
        <w:t xml:space="preserve">[Module / Component / Service Name]</w:t>
      </w:r>
    </w:p>
    <w:p>
      <w:pPr>
        <w:pBdr>
          <w:bottom w:val="single" w:color="3E9C8A" w:sz="8" w:space="8"/>
        </w:pBdr>
        <w:spacing w:after="1000"/>
        <w:jc w:val="center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[Module Name] – Low-Level Design (LLD)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Related HLA Document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[System Name] – High-Level Architecture, v[x.x]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[v0.1]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[Draft / In Review / Approved]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[Internal / Confidential]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Author(s)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[Name, Role]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 / Approver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[Name, Role]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 / Track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Digital Transformation – Track Name]</w:t>
            </w:r>
          </w:p>
        </w:tc>
      </w:tr>
    </w:tbl>
    <w:p>
      <w:pPr>
        <w:spacing w:after="120" w:before="400"/>
      </w:pPr>
      <w:r>
        <w:rPr>
          <w:b/>
          <w:bCs/>
          <w:color w:val="1B3B36"/>
          <w:sz w:val="22"/>
          <w:szCs w:val="22"/>
        </w:rPr>
        <w:t xml:space="preserve">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[YYYY-MM-DD]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draft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120" w:before="400"/>
      </w:pPr>
      <w:r>
        <w:rPr>
          <w:b/>
          <w:bCs/>
          <w:color w:val="1B3B36"/>
          <w:sz w:val="22"/>
          <w:szCs w:val="22"/>
        </w:rPr>
        <w:t xml:space="preserve">Reviewers &amp; Approvers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Approval 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[Lead Developer]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[Org / Vendor]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[Pending / Approved]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[Solution Architect]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[Org / Vendor]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[Pending / Approved]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t xml:space="preserve">1. Introduction and Purpose</w:t>
      </w:r>
    </w:p>
    <w:p>
      <w:pPr>
        <w:spacing w:after="160" w:line="276"/>
      </w:pPr>
      <w:r>
        <w:t xml:space="preserve">Describe the purpose of this LLD: it translates the relevant High-Level Architecture (HLA) building block(s) into implementation-ready detail — internal structure, interfaces, data, and logic — for the development team to build against.</w:t>
      </w:r>
    </w:p>
    <w:p>
      <w:pPr>
        <w:pStyle w:val="Heading2"/>
        <w:spacing w:after="120" w:before="300"/>
      </w:pPr>
      <w:r>
        <w:t xml:space="preserve">1.1 Related Documents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 / Reference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High-Level Architecture (HLA)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[v1.0]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[Link / repo path]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Functional Requirements Spec (FRS)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[v1.0]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[Link / repo path]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Governance Standard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[v1.0]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[Link / repo path]</w:t>
            </w:r>
          </w:p>
        </w:tc>
      </w:tr>
    </w:tbl>
    <w:p>
      <w:pPr>
        <w:pStyle w:val="Heading2"/>
        <w:spacing w:after="120" w:before="300"/>
      </w:pPr>
      <w:r>
        <w:t xml:space="preserve">1.2 Audience</w:t>
      </w:r>
    </w:p>
    <w:p>
      <w:pPr>
        <w:spacing w:after="200"/>
      </w:pPr>
      <w:r>
        <w:rPr>
          <w:i/>
          <w:iCs/>
          <w:color w:val="808080"/>
        </w:rPr>
        <w:t xml:space="preserve">[e.g., Developers, QA engineers, DevOps, and reviewers implementing or validating this module.]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2. Scope</w:t>
      </w:r>
    </w:p>
    <w:p>
      <w:pPr>
        <w:pStyle w:val="Heading2"/>
        <w:spacing w:after="120" w:before="30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[Module / service / component covered by this LLD]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[Specific endpoints, jobs, or workflows covered]</w:t>
      </w:r>
    </w:p>
    <w:p>
      <w:pPr>
        <w:pStyle w:val="Heading2"/>
        <w:spacing w:after="120" w:before="300"/>
      </w:pPr>
      <w:r>
        <w:t xml:space="preserve">2.2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[Explicitly excluded items and where they are covered instead]</w:t>
      </w:r>
    </w:p>
    <w:p>
      <w:pPr>
        <w:pStyle w:val="Heading2"/>
        <w:spacing w:after="120" w:before="300"/>
      </w:pPr>
      <w:r>
        <w:t xml:space="preserve">2.3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[e.g., Upstream service X is available via Kafka topic Y]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3. Component Overview</w:t>
      </w:r>
    </w:p>
    <w:p>
      <w:pPr>
        <w:spacing w:after="160" w:line="276"/>
      </w:pPr>
      <w:r>
        <w:t xml:space="preserve">Position this component within the wider system — maps to C4 Level 3 (Component) for the container this module belongs to.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6E62"/>
                <w:sz w:val="22"/>
                <w:szCs w:val="22"/>
              </w:rPr>
              <w:t xml:space="preserve">◇  C4 Level 3 — Component Diagram (this container)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 showing this component's internal sub-components and their collaborators.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 / Class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OrderValidator]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[Validates incoming order payloads]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[SchemaRegistry, RuleEngine]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OrderRepository]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[Persists and retrieves order aggregates]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[PostgreSQL, CacheClient]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4. Detailed Design</w:t>
      </w:r>
    </w:p>
    <w:p>
      <w:pPr>
        <w:pStyle w:val="Heading2"/>
        <w:spacing w:after="120" w:before="300"/>
      </w:pPr>
      <w:r>
        <w:t xml:space="preserve">4.1 Module: [Module Name]</w:t>
      </w:r>
    </w:p>
    <w:p>
      <w:pPr>
        <w:spacing w:after="200"/>
      </w:pPr>
      <w:r>
        <w:rPr>
          <w:i/>
          <w:iCs/>
          <w:color w:val="808080"/>
        </w:rPr>
        <w:t xml:space="preserve">[Purpose and responsibility of this module within the component.]</w:t>
      </w:r>
    </w:p>
    <w:p>
      <w:pPr>
        <w:pStyle w:val="Heading3"/>
        <w:spacing w:after="100" w:before="220"/>
      </w:pPr>
      <w:r>
        <w:t xml:space="preserve">4.1.1 Class / Object Design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6E62"/>
                <w:sz w:val="22"/>
                <w:szCs w:val="22"/>
              </w:rPr>
              <w:t xml:space="preserve">◇  C4 Level 4 — Class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UML class diagram: attributes, methods, relationships, and key design patterns applied.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Methods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Design Pattern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[ClassName]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[attr: type, …]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[method(args): returnType]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Strategy, Factory]</w:t>
            </w:r>
          </w:p>
        </w:tc>
      </w:tr>
    </w:tbl>
    <w:p>
      <w:pPr>
        <w:pStyle w:val="Heading3"/>
        <w:spacing w:after="100" w:before="220"/>
      </w:pPr>
      <w:r>
        <w:t xml:space="preserve">4.1.2 Sequence Diagram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6E62"/>
                <w:sz w:val="22"/>
                <w:szCs w:val="22"/>
              </w:rPr>
              <w:t xml:space="preserve">◇  Sequence Diagram — [Use Case / Method Flow]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sequence diagram showing object interactions, call order, and return values for the primary flow.</w:t>
            </w:r>
          </w:p>
        </w:tc>
      </w:tr>
    </w:tbl>
    <w:p>
      <w:pPr>
        <w:pStyle w:val="Heading3"/>
        <w:spacing w:after="100" w:before="220"/>
      </w:pPr>
      <w:r>
        <w:t xml:space="preserve">4.1.3 State Diagram (if applicable)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6E62"/>
                <w:sz w:val="22"/>
                <w:szCs w:val="22"/>
              </w:rPr>
              <w:t xml:space="preserve">◇  State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state diagram if this module manages a non-trivial lifecycle (e.g., order status transitions).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5. Data Design</w:t>
      </w:r>
    </w:p>
    <w:p>
      <w:pPr>
        <w:pStyle w:val="Heading2"/>
        <w:spacing w:after="120" w:before="300"/>
      </w:pPr>
      <w:r>
        <w:t xml:space="preserve">5.1 Entity-Relationship Diagram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6E62"/>
                <w:sz w:val="22"/>
                <w:szCs w:val="22"/>
              </w:rPr>
              <w:t xml:space="preserve">◇  ER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ER diagram for entities owned or primarily used by this component.</w:t>
            </w:r>
          </w:p>
        </w:tc>
      </w:tr>
    </w:tbl>
    <w:p>
      <w:pPr>
        <w:pStyle w:val="Heading2"/>
        <w:spacing w:after="120" w:before="300"/>
      </w:pPr>
      <w:r>
        <w:t xml:space="preserve">5.2 Table / Schema Definitions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500"/>
        <w:gridCol w:w="22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[orders]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[id]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[UUID]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[PK, NOT NULL]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[Primary identifier]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[orders]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[status]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[VARCHAR(20)]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[NOT NULL, FK→status_lkp]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[Current lifecycle state]</w:t>
            </w:r>
          </w:p>
        </w:tc>
      </w:tr>
    </w:tbl>
    <w:p>
      <w:pPr>
        <w:pStyle w:val="Heading2"/>
        <w:spacing w:after="120" w:before="300"/>
      </w:pPr>
      <w:r>
        <w:t xml:space="preserve">5.3 Data Dictionary / DTOs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// Example DTO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 OrderRequestDTO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String orderId;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String customerId;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List&lt;OrderLineDTO&gt; lines;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BigDecimal totalAmount;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6. API Specification</w:t>
      </w:r>
    </w:p>
    <w:p>
      <w:pPr>
        <w:spacing w:after="160" w:line="276"/>
      </w:pPr>
      <w:r>
        <w:t xml:space="preserve">Detailed contract for each endpoint or interface exposed or consumed by this component.</w:t>
      </w:r>
    </w:p>
    <w:p>
      <w:pPr>
        <w:pStyle w:val="Heading2"/>
        <w:spacing w:after="120" w:before="300"/>
      </w:pPr>
      <w:r>
        <w:t xml:space="preserve">6.1 Endpoint: [POST /api/v1/orders]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Method / Path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[POST /api/v1/orders]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[OAuth2 Bearer / mTLS / API Key]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 Content-Type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[application/json]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Idempotency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[Idempotency-Key header required]</w:t>
            </w:r>
          </w:p>
        </w:tc>
      </w:tr>
    </w:tbl>
    <w:p>
      <w:pPr>
        <w:pStyle w:val="Heading3"/>
        <w:spacing w:after="100" w:before="220"/>
      </w:pPr>
      <w:r>
        <w:t xml:space="preserve">Request Body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"customerId":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"lines": [ { "sku": "string", "qty": 0 }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00" w:before="220"/>
      </w:pPr>
      <w:r>
        <w:t xml:space="preserve">Response — 201 Created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"orderId":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"status": "CREATED",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"createdAt": "ISO-8601"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[Invalid payload / validation failure]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[VALIDATION_ERROR]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[Duplicate idempotency key]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[DUPLICATE_REQUEST]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[Unhandled server error]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[INTERNAL_ERROR]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7. Algorithms and Business Logic</w:t>
      </w:r>
    </w:p>
    <w:p>
      <w:pPr>
        <w:pStyle w:val="Heading2"/>
        <w:spacing w:after="120" w:before="300"/>
      </w:pPr>
      <w:r>
        <w:t xml:space="preserve">7.1 [Algorithm / Rule Name]</w:t>
      </w:r>
    </w:p>
    <w:p>
      <w:pPr>
        <w:spacing w:after="200"/>
      </w:pPr>
      <w:r>
        <w:rPr>
          <w:i/>
          <w:iCs/>
          <w:color w:val="808080"/>
        </w:rPr>
        <w:t xml:space="preserve">[Describe the logic in plain language: inputs, processing steps, outputs, and edge cases.]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function calculateDiscount(order):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if order.total &gt; THRESHOLD: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order.total * TIER1_RATE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return order.total * TIER2_RATE</w:t>
            </w:r>
          </w:p>
        </w:tc>
      </w:tr>
    </w:tbl>
    <w:p>
      <w:pPr>
        <w:pStyle w:val="Heading2"/>
        <w:spacing w:after="120" w:before="300"/>
      </w:pPr>
      <w:r>
        <w:t xml:space="preserve">7.2 Complexity &amp; Performance Notes</w:t>
      </w:r>
    </w:p>
    <w:p>
      <w:pPr>
        <w:spacing w:after="200"/>
      </w:pPr>
      <w:r>
        <w:rPr>
          <w:i/>
          <w:iCs/>
          <w:color w:val="808080"/>
        </w:rPr>
        <w:t xml:space="preserve">[Time/space complexity, expected data volumes, and any performance-sensitive considerations.]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8. Error Handling and Exceptions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Exception / Failure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 Strategy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Retryable?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[TimeoutException]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[Downstream call exceeds SLA]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[Circuit breaker + fallback]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[Yes, 3x exponential backoff]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[ValidationException]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[Schema/business rule violation]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[Return 400 with error detail]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[No]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9. Configuration and Environment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500"/>
        <w:gridCol w:w="19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[db.pool.size]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[Connection pool size]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[20]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[All]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[feature.flag.newFlow]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[Enables new processing flow]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[false]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[Staging]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10. Security Design</w:t>
      </w:r>
    </w:p>
    <w:p>
      <w:pPr>
        <w:pStyle w:val="Heading2"/>
        <w:spacing w:after="120" w:before="300"/>
      </w:pPr>
      <w:r>
        <w:t xml:space="preserve">10.1 AuthN / AuthZ</w:t>
      </w:r>
    </w:p>
    <w:p>
      <w:pPr>
        <w:spacing w:after="200"/>
      </w:pPr>
      <w:r>
        <w:rPr>
          <w:i/>
          <w:iCs/>
          <w:color w:val="808080"/>
        </w:rPr>
        <w:t xml:space="preserve">[Token validation, scopes/roles required, service-to-service auth mechanism.]</w:t>
      </w:r>
    </w:p>
    <w:p>
      <w:pPr>
        <w:pStyle w:val="Heading2"/>
        <w:spacing w:after="120" w:before="300"/>
      </w:pPr>
      <w:r>
        <w:t xml:space="preserve">10.2 Data Protection</w:t>
      </w:r>
    </w:p>
    <w:p>
      <w:pPr>
        <w:spacing w:after="200"/>
      </w:pPr>
      <w:r>
        <w:rPr>
          <w:i/>
          <w:iCs/>
          <w:color w:val="808080"/>
        </w:rPr>
        <w:t xml:space="preserve">[Encryption at rest/in transit, PII field handling, masking rules.]</w:t>
      </w:r>
    </w:p>
    <w:p>
      <w:pPr>
        <w:pStyle w:val="Heading2"/>
        <w:spacing w:after="120" w:before="300"/>
      </w:pPr>
      <w:r>
        <w:t xml:space="preserve">10.3 Input Validation &amp; Threat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[e.g., Injection prevention, rate limiting, payload size limits]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11. Non-Functional Implementation Details</w:t>
      </w:r>
    </w:p>
    <w:p>
      <w:pPr>
        <w:pStyle w:val="Heading2"/>
        <w:spacing w:after="120" w:before="300"/>
      </w:pPr>
      <w:r>
        <w:t xml:space="preserve">11.1 Logging</w:t>
      </w:r>
    </w:p>
    <w:p>
      <w:pPr>
        <w:spacing w:after="200"/>
      </w:pPr>
      <w:r>
        <w:rPr>
          <w:i/>
          <w:iCs/>
          <w:color w:val="808080"/>
        </w:rPr>
        <w:t xml:space="preserve">[Log levels, structured logging fields, correlation ID propagation.]</w:t>
      </w:r>
    </w:p>
    <w:p>
      <w:pPr>
        <w:pStyle w:val="Heading2"/>
        <w:spacing w:after="120" w:before="300"/>
      </w:pPr>
      <w:r>
        <w:t xml:space="preserve">11.2 Monitoring &amp; Metrics</w:t>
      </w:r>
    </w:p>
    <w:p>
      <w:pPr>
        <w:spacing w:after="200"/>
      </w:pPr>
      <w:r>
        <w:rPr>
          <w:i/>
          <w:iCs/>
          <w:color w:val="808080"/>
        </w:rPr>
        <w:t xml:space="preserve">[Key metrics exposed (latency, error rate, throughput), dashboards, alert thresholds.]</w:t>
      </w:r>
    </w:p>
    <w:p>
      <w:pPr>
        <w:pStyle w:val="Heading2"/>
        <w:spacing w:after="120" w:before="300"/>
      </w:pPr>
      <w:r>
        <w:t xml:space="preserve">11.3 Performance Targets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[p95 latency]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[&lt; 300ms]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[Throughput]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[&gt; 500 req/s]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12. Test Considerations</w:t>
      </w:r>
    </w:p>
    <w:p>
      <w:pPr>
        <w:pStyle w:val="Heading2"/>
        <w:spacing w:after="120" w:before="300"/>
      </w:pPr>
      <w:r>
        <w:t xml:space="preserve">12.1 Unit Test Coverage</w:t>
      </w:r>
    </w:p>
    <w:p>
      <w:pPr>
        <w:spacing w:after="200"/>
      </w:pPr>
      <w:r>
        <w:rPr>
          <w:i/>
          <w:iCs/>
          <w:color w:val="808080"/>
        </w:rPr>
        <w:t xml:space="preserve">[Key classes/methods requiring coverage and target coverage %.]</w:t>
      </w:r>
    </w:p>
    <w:p>
      <w:pPr>
        <w:pStyle w:val="Heading2"/>
        <w:spacing w:after="120" w:before="300"/>
      </w:pPr>
      <w:r>
        <w:t xml:space="preserve">12.2 Test Cases Summary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TC-001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[Valid order submitted]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[201 Created, order persisted]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TC-002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[Duplicate idempotency key]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[409 Conflict returned]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13. Glossary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B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[Term]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[Definition]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[Acronym]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[Expanded form and meaning]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3E9C8A" w:sz="4"/>
          <w:left w:val="single" w:color="3E9C8A" w:sz="4"/>
          <w:bottom w:val="single" w:color="3E9C8A" w:sz="4"/>
          <w:right w:val="single" w:color="3E9C8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3B36"/>
                <w:sz w:val="20"/>
                <w:szCs w:val="20"/>
              </w:rPr>
              <w:t xml:space="preserve">How to use this template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Replace all bracketed [placeholder] text. Insert real class/sequence/ER diagrams in place of the dashed frames (e.g., PlantUML, Mermaid, draw.io, Structurizr). One LLD is typically written per component/container from the HLA's Building Block View. Right-click the Table of Contents and select 'Update Field' after editing headings. Delete this note before publishing.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Companion to the arc42 / C4 HLA document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[Module Name] — Low-Level Design</w:t>
    </w:r>
    <w:r>
      <w:rPr>
        <w:color w:val="59595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E9C8A" w:sz="6" w:space="4"/>
      </w:pBdr>
      <w:spacing w:after="200" w:before="480"/>
    </w:pPr>
    <w:rPr>
      <w:rFonts w:ascii="Calibri" w:cs="Calibri" w:eastAsia="Calibri" w:hAnsi="Calibri"/>
      <w:b/>
      <w:bCs/>
      <w:color w:val="1B3B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2E6E6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3E9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Low-Level Design Document</dc:title>
  <dc:creator>Solution Architecture Team</dc:creator>
  <dc:description>Low-Level Design (LLD) template — component/module-level detailed design, companion to the arc42/C4 HLA template</dc:description>
  <cp:lastModifiedBy>Un-named</cp:lastModifiedBy>
  <cp:revision>1</cp:revision>
  <dcterms:created xsi:type="dcterms:W3CDTF">2026-08-15T21:27:29.663Z</dcterms:created>
  <dcterms:modified xsi:type="dcterms:W3CDTF">2026-08-15T21:27:29.674Z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