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pPr>
      <w:r>
        <w:rPr>
          <w:rFonts w:ascii="Calibri" w:cs="Calibri" w:eastAsia="Calibri" w:hAnsi="Calibri"/>
          <w:b/>
          <w:bCs/>
          <w:color w:val="7C5CD9"/>
          <w:spacing w:val="10"/>
          <w:sz w:val="18"/>
          <w:szCs w:val="18"/>
        </w:rPr>
        <w:t xml:space="preserve">AI-ASSISTED DATA ANALYTICS — FINAL PROJECT</w:t>
      </w:r>
    </w:p>
    <w:p>
      <w:pPr>
        <w:spacing w:after="60"/>
      </w:pPr>
      <w:r>
        <w:rPr>
          <w:rFonts w:ascii="Cambria" w:cs="Cambria" w:eastAsia="Cambria" w:hAnsi="Cambria"/>
          <w:b/>
          <w:bCs/>
          <w:color w:val="1B1330"/>
          <w:sz w:val="44"/>
          <w:szCs w:val="44"/>
        </w:rPr>
        <w:t xml:space="preserve">AI-Generated Insights &amp; Summary</w:t>
      </w:r>
    </w:p>
    <w:p>
      <w:pPr>
        <w:spacing w:after="260"/>
      </w:pPr>
      <w:r>
        <w:rPr>
          <w:rFonts w:ascii="Calibri" w:cs="Calibri" w:eastAsia="Calibri" w:hAnsi="Calibri"/>
          <w:i/>
          <w:iCs/>
          <w:color w:val="6B6482"/>
          <w:sz w:val="22"/>
          <w:szCs w:val="22"/>
        </w:rPr>
        <w:t xml:space="preserve">Melbourne Real Estate Market — Data Cleaning, Modeling &amp; Dashboard Findings</w:t>
      </w:r>
    </w:p>
    <w:tbl>
      <w:tblPr>
        <w:tblW w:type="pct" w:w="100%"/>
        <w:tblBorders>
          <w:top w:val="none"/>
          <w:left w:val="none"/>
          <w:bottom w:val="none"/>
          <w:right w:val="none"/>
          <w:insideH w:val="none"/>
          <w:insideV w:val="none"/>
        </w:tblBorders>
      </w:tblPr>
      <w:tblGrid>
        <w:gridCol w:w="2256"/>
        <w:gridCol w:w="2256"/>
        <w:gridCol w:w="2256"/>
        <w:gridCol w:w="2256"/>
      </w:tblGrid>
      <w:tr>
        <w:tc>
          <w:tcPr>
            <w:tcW w:type="dxa" w:w="2256"/>
            <w:shd w:fill="1B1330" w:val="clear"/>
            <w:tcMar>
              <w:top w:type="dxa" w:w="200"/>
              <w:left w:type="dxa" w:w="120"/>
              <w:bottom w:type="dxa" w:w="200"/>
              <w:right w:type="dxa" w:w="120"/>
            </w:tcMar>
          </w:tcPr>
          <w:p>
            <w:pPr>
              <w:spacing w:after="40"/>
              <w:jc w:val="center"/>
            </w:pPr>
            <w:r>
              <w:rPr>
                <w:rFonts w:ascii="Cambria" w:cs="Cambria" w:eastAsia="Cambria" w:hAnsi="Cambria"/>
                <w:b/>
                <w:bCs/>
                <w:color w:val="F2C879"/>
                <w:sz w:val="32"/>
                <w:szCs w:val="32"/>
              </w:rPr>
              <w:t xml:space="preserve">12,627</w:t>
            </w:r>
          </w:p>
          <w:p>
            <w:pPr>
              <w:spacing w:after="0"/>
              <w:jc w:val="center"/>
            </w:pPr>
            <w:r>
              <w:rPr>
                <w:rFonts w:ascii="Calibri" w:cs="Calibri" w:eastAsia="Calibri" w:hAnsi="Calibri"/>
                <w:color w:val="D8D0EF"/>
                <w:spacing w:val="8"/>
                <w:sz w:val="15"/>
                <w:szCs w:val="15"/>
              </w:rPr>
              <w:t xml:space="preserve">PROPERTIES ANALYZED</w:t>
            </w:r>
          </w:p>
        </w:tc>
        <w:tc>
          <w:tcPr>
            <w:tcW w:type="dxa" w:w="2256"/>
            <w:shd w:fill="1B1330" w:val="clear"/>
            <w:tcMar>
              <w:top w:type="dxa" w:w="200"/>
              <w:left w:type="dxa" w:w="120"/>
              <w:bottom w:type="dxa" w:w="200"/>
              <w:right w:type="dxa" w:w="120"/>
            </w:tcMar>
          </w:tcPr>
          <w:p>
            <w:pPr>
              <w:spacing w:after="40"/>
              <w:jc w:val="center"/>
            </w:pPr>
            <w:r>
              <w:rPr>
                <w:rFonts w:ascii="Cambria" w:cs="Cambria" w:eastAsia="Cambria" w:hAnsi="Cambria"/>
                <w:b/>
                <w:bCs/>
                <w:color w:val="F2C879"/>
                <w:sz w:val="32"/>
                <w:szCs w:val="32"/>
              </w:rPr>
              <w:t xml:space="preserve">5</w:t>
            </w:r>
          </w:p>
          <w:p>
            <w:pPr>
              <w:spacing w:after="0"/>
              <w:jc w:val="center"/>
            </w:pPr>
            <w:r>
              <w:rPr>
                <w:rFonts w:ascii="Calibri" w:cs="Calibri" w:eastAsia="Calibri" w:hAnsi="Calibri"/>
                <w:color w:val="D8D0EF"/>
                <w:spacing w:val="8"/>
                <w:sz w:val="15"/>
                <w:szCs w:val="15"/>
              </w:rPr>
              <w:t xml:space="preserve">MODELS COMPARED</w:t>
            </w:r>
          </w:p>
        </w:tc>
        <w:tc>
          <w:tcPr>
            <w:tcW w:type="dxa" w:w="2256"/>
            <w:shd w:fill="1B1330" w:val="clear"/>
            <w:tcMar>
              <w:top w:type="dxa" w:w="200"/>
              <w:left w:type="dxa" w:w="120"/>
              <w:bottom w:type="dxa" w:w="200"/>
              <w:right w:type="dxa" w:w="120"/>
            </w:tcMar>
          </w:tcPr>
          <w:p>
            <w:pPr>
              <w:spacing w:after="40"/>
              <w:jc w:val="center"/>
            </w:pPr>
            <w:r>
              <w:rPr>
                <w:rFonts w:ascii="Cambria" w:cs="Cambria" w:eastAsia="Cambria" w:hAnsi="Cambria"/>
                <w:b/>
                <w:bCs/>
                <w:color w:val="F2C879"/>
                <w:sz w:val="32"/>
                <w:szCs w:val="32"/>
              </w:rPr>
              <w:t xml:space="preserve">89.9%</w:t>
            </w:r>
          </w:p>
          <w:p>
            <w:pPr>
              <w:spacing w:after="0"/>
              <w:jc w:val="center"/>
            </w:pPr>
            <w:r>
              <w:rPr>
                <w:rFonts w:ascii="Calibri" w:cs="Calibri" w:eastAsia="Calibri" w:hAnsi="Calibri"/>
                <w:color w:val="D8D0EF"/>
                <w:spacing w:val="8"/>
                <w:sz w:val="15"/>
                <w:szCs w:val="15"/>
              </w:rPr>
              <w:t xml:space="preserve">BEST ACCURACY</w:t>
            </w:r>
          </w:p>
        </w:tc>
        <w:tc>
          <w:tcPr>
            <w:tcW w:type="dxa" w:w="2256"/>
            <w:shd w:fill="1B1330" w:val="clear"/>
            <w:tcMar>
              <w:top w:type="dxa" w:w="200"/>
              <w:left w:type="dxa" w:w="120"/>
              <w:bottom w:type="dxa" w:w="200"/>
              <w:right w:type="dxa" w:w="120"/>
            </w:tcMar>
          </w:tcPr>
          <w:p>
            <w:pPr>
              <w:spacing w:after="40"/>
              <w:jc w:val="center"/>
            </w:pPr>
            <w:r>
              <w:rPr>
                <w:rFonts w:ascii="Cambria" w:cs="Cambria" w:eastAsia="Cambria" w:hAnsi="Cambria"/>
                <w:b/>
                <w:bCs/>
                <w:color w:val="F2C879"/>
                <w:sz w:val="32"/>
                <w:szCs w:val="32"/>
              </w:rPr>
              <w:t xml:space="preserve">3</w:t>
            </w:r>
          </w:p>
          <w:p>
            <w:pPr>
              <w:spacing w:after="0"/>
              <w:jc w:val="center"/>
            </w:pPr>
            <w:r>
              <w:rPr>
                <w:rFonts w:ascii="Calibri" w:cs="Calibri" w:eastAsia="Calibri" w:hAnsi="Calibri"/>
                <w:color w:val="D8D0EF"/>
                <w:spacing w:val="8"/>
                <w:sz w:val="15"/>
                <w:szCs w:val="15"/>
              </w:rPr>
              <w:t xml:space="preserve">TOP PRICE DRIVERS</w:t>
            </w:r>
          </w:p>
        </w:tc>
      </w:tr>
    </w:tbl>
    <w:p>
      <w:pPr>
        <w:spacing w:after="280"/>
      </w:pPr>
    </w:p>
    <w:p>
      <w:pPr>
        <w:pStyle w:val="Heading1"/>
        <w:pBdr>
          <w:bottom w:val="single" w:color="7C5CD9" w:sz="6" w:space="4"/>
        </w:pBdr>
        <w:spacing w:after="160" w:before="320"/>
      </w:pPr>
      <w:r>
        <w:rPr>
          <w:rFonts w:ascii="Cambria" w:cs="Cambria" w:eastAsia="Cambria" w:hAnsi="Cambria"/>
          <w:b/>
          <w:bCs/>
          <w:color w:val="1B1330"/>
          <w:sz w:val="30"/>
          <w:szCs w:val="30"/>
        </w:rPr>
        <w:t xml:space="preserve">1. Executive Summary</w:t>
      </w:r>
    </w:p>
    <w:p>
      <w:pPr>
        <w:spacing w:after="140" w:line="300"/>
      </w:pPr>
      <w:r>
        <w:rPr>
          <w:rFonts w:ascii="Calibri" w:cs="Calibri" w:eastAsia="Calibri" w:hAnsi="Calibri"/>
          <w:i w:val="false"/>
          <w:iCs w:val="false"/>
          <w:color w:val="2A2140"/>
          <w:sz w:val="22"/>
          <w:szCs w:val="22"/>
        </w:rPr>
        <w:t xml:space="preserve">This document summarizes the automatically surfaced patterns, model outcomes, and business-oriented recommendations produced during the analysis of the Melbourne Housing dataset (13,580 raw records; 12,627 after cleaning). It complements the Jupyter notebook (data cleaning and modeling), the Power BI dashboard, and the face-cam walkthrough by translating the technical results into plain-language findings a non-technical stakeholder can act on.</w:t>
      </w:r>
    </w:p>
    <w:p>
      <w:pPr>
        <w:spacing w:after="140" w:line="300"/>
      </w:pPr>
      <w:r>
        <w:rPr>
          <w:rFonts w:ascii="Calibri" w:cs="Calibri" w:eastAsia="Calibri" w:hAnsi="Calibri"/>
          <w:i w:val="false"/>
          <w:iCs w:val="false"/>
          <w:color w:val="2A2140"/>
          <w:sz w:val="22"/>
          <w:szCs w:val="22"/>
        </w:rPr>
        <w:t xml:space="preserve">Generative AI assistance was used throughout the workflow — to recommend an appropriate outlier-detection method (IQR) for skewed price data, to flag logically inconsistent records for review (for example, listings with more bathrooms than rooms), to help interpret exploratory patterns, and to draft the natural-language summary and recommendations presented below.</w:t>
      </w:r>
    </w:p>
    <w:p>
      <w:pPr>
        <w:pStyle w:val="Heading1"/>
        <w:pBdr>
          <w:bottom w:val="single" w:color="7C5CD9" w:sz="6" w:space="4"/>
        </w:pBdr>
        <w:spacing w:after="160" w:before="320"/>
      </w:pPr>
      <w:r>
        <w:rPr>
          <w:rFonts w:ascii="Cambria" w:cs="Cambria" w:eastAsia="Cambria" w:hAnsi="Cambria"/>
          <w:b/>
          <w:bCs/>
          <w:color w:val="1B1330"/>
          <w:sz w:val="30"/>
          <w:szCs w:val="30"/>
        </w:rPr>
        <w:t xml:space="preserve">2. Data Quality — What the Cleaning Process Revealed</w:t>
      </w:r>
    </w:p>
    <w:p>
      <w:pPr>
        <w:pStyle w:val="ListParagraph"/>
        <w:numPr>
          <w:ilvl w:val="0"/>
          <w:numId w:val="2"/>
        </w:numPr>
        <w:spacing w:after="100" w:line="280"/>
      </w:pPr>
      <w:r>
        <w:rPr>
          <w:rFonts w:ascii="Calibri" w:cs="Calibri" w:eastAsia="Calibri" w:hAnsi="Calibri"/>
          <w:b/>
          <w:bCs/>
          <w:color w:val="2A2140"/>
          <w:sz w:val="22"/>
          <w:szCs w:val="22"/>
        </w:rPr>
        <w:t xml:space="preserve">Structural, not random, gaps:</w:t>
      </w:r>
      <w:r>
        <w:rPr>
          <w:rFonts w:ascii="Calibri" w:cs="Calibri" w:eastAsia="Calibri" w:hAnsi="Calibri"/>
          <w:color w:val="2A2140"/>
          <w:sz w:val="22"/>
          <w:szCs w:val="22"/>
        </w:rPr>
        <w:t xml:space="preserve"> Missing data was concentrated in three columns — BuildingArea, YearBuilt and CouncilArea — consistent with fields real-estate agents often skip at listing time rather than random data loss.</w:t>
      </w:r>
    </w:p>
    <w:p>
      <w:pPr>
        <w:pStyle w:val="ListParagraph"/>
        <w:numPr>
          <w:ilvl w:val="0"/>
          <w:numId w:val="2"/>
        </w:numPr>
        <w:spacing w:after="100" w:line="280"/>
      </w:pPr>
      <w:r>
        <w:rPr>
          <w:rFonts w:ascii="Calibri" w:cs="Calibri" w:eastAsia="Calibri" w:hAnsi="Calibri"/>
          <w:b/>
          <w:bCs/>
          <w:color w:val="2A2140"/>
          <w:sz w:val="22"/>
          <w:szCs w:val="22"/>
        </w:rPr>
        <w:t xml:space="preserve">A small share of listings distorts the market average:</w:t>
      </w:r>
      <w:r>
        <w:rPr>
          <w:rFonts w:ascii="Calibri" w:cs="Calibri" w:eastAsia="Calibri" w:hAnsi="Calibri"/>
          <w:color w:val="2A2140"/>
          <w:sz w:val="22"/>
          <w:szCs w:val="22"/>
        </w:rPr>
        <w:t xml:space="preserve"> Statistical outlier detection (IQR) on price and land size removed 953 extreme records (7% of the data) — mostly ultra-luxury outliers that would otherwise distort average price estimates for typical buyers.</w:t>
      </w:r>
    </w:p>
    <w:p>
      <w:pPr>
        <w:pStyle w:val="ListParagraph"/>
        <w:numPr>
          <w:ilvl w:val="0"/>
          <w:numId w:val="2"/>
        </w:numPr>
        <w:spacing w:after="100" w:line="280"/>
      </w:pPr>
      <w:r>
        <w:rPr>
          <w:rFonts w:ascii="Calibri" w:cs="Calibri" w:eastAsia="Calibri" w:hAnsi="Calibri"/>
          <w:b/>
          <w:bCs/>
          <w:color w:val="2A2140"/>
          <w:sz w:val="22"/>
          <w:szCs w:val="22"/>
        </w:rPr>
        <w:t xml:space="preserve">Logical, not just statistical, errors exist:</w:t>
      </w:r>
      <w:r>
        <w:rPr>
          <w:rFonts w:ascii="Calibri" w:cs="Calibri" w:eastAsia="Calibri" w:hAnsi="Calibri"/>
          <w:color w:val="2A2140"/>
          <w:sz w:val="22"/>
          <w:szCs w:val="22"/>
        </w:rPr>
        <w:t xml:space="preserve"> A handful of records showed impossible combinations (e.g., a 4-room property with 8 bathrooms), which AI-assisted review flagged as likely data-entry errors rather than genuine luxury properties — a distinction pure statistical filtering alone would have missed.</w:t>
      </w:r>
    </w:p>
    <w:p>
      <w:pPr>
        <w:spacing w:after="80"/>
      </w:pPr>
    </w:p>
    <w:p>
      <w:pPr>
        <w:pStyle w:val="Heading1"/>
        <w:pBdr>
          <w:bottom w:val="single" w:color="7C5CD9" w:sz="6" w:space="4"/>
        </w:pBdr>
        <w:spacing w:after="160" w:before="320"/>
      </w:pPr>
      <w:r>
        <w:rPr>
          <w:rFonts w:ascii="Cambria" w:cs="Cambria" w:eastAsia="Cambria" w:hAnsi="Cambria"/>
          <w:b/>
          <w:bCs/>
          <w:color w:val="1B1330"/>
          <w:sz w:val="30"/>
          <w:szCs w:val="30"/>
        </w:rPr>
        <w:t xml:space="preserve">3. Exploratory Data Analysis — Key Patterns</w:t>
      </w:r>
    </w:p>
    <w:p>
      <w:pPr>
        <w:pStyle w:val="ListParagraph"/>
        <w:numPr>
          <w:ilvl w:val="0"/>
          <w:numId w:val="2"/>
        </w:numPr>
        <w:spacing w:after="100" w:line="280"/>
      </w:pPr>
      <w:r>
        <w:rPr>
          <w:rFonts w:ascii="Calibri" w:cs="Calibri" w:eastAsia="Calibri" w:hAnsi="Calibri"/>
          <w:b/>
          <w:bCs/>
          <w:color w:val="2A2140"/>
          <w:sz w:val="22"/>
          <w:szCs w:val="22"/>
        </w:rPr>
        <w:t xml:space="preserve">Price distribution:</w:t>
      </w:r>
      <w:r>
        <w:rPr>
          <w:rFonts w:ascii="Calibri" w:cs="Calibri" w:eastAsia="Calibri" w:hAnsi="Calibri"/>
          <w:color w:val="2A2140"/>
          <w:sz w:val="22"/>
          <w:szCs w:val="22"/>
        </w:rPr>
        <w:t xml:space="preserve"> Prices are right-skewed: most homes sell between $645K and $1.28M, while a small luxury segment pulls the average above the median — the median ($890K) is a more representative “typical price” than the mean ($989K).</w:t>
      </w:r>
    </w:p>
    <w:p>
      <w:pPr>
        <w:pStyle w:val="ListParagraph"/>
        <w:numPr>
          <w:ilvl w:val="0"/>
          <w:numId w:val="2"/>
        </w:numPr>
        <w:spacing w:after="100" w:line="280"/>
      </w:pPr>
      <w:r>
        <w:rPr>
          <w:rFonts w:ascii="Calibri" w:cs="Calibri" w:eastAsia="Calibri" w:hAnsi="Calibri"/>
          <w:b/>
          <w:bCs/>
          <w:color w:val="2A2140"/>
          <w:sz w:val="22"/>
          <w:szCs w:val="22"/>
        </w:rPr>
        <w:t xml:space="preserve">Regional divide:</w:t>
      </w:r>
      <w:r>
        <w:rPr>
          <w:rFonts w:ascii="Calibri" w:cs="Calibri" w:eastAsia="Calibri" w:hAnsi="Calibri"/>
          <w:color w:val="2A2140"/>
          <w:sz w:val="22"/>
          <w:szCs w:val="22"/>
        </w:rPr>
        <w:t xml:space="preserve"> Southern and Eastern Metropolitan regions command the highest average prices — nearly double those of Western and outer Victoria regions, confirming a strong east–west price divide across the city.</w:t>
      </w:r>
    </w:p>
    <w:p>
      <w:pPr>
        <w:pStyle w:val="ListParagraph"/>
        <w:numPr>
          <w:ilvl w:val="0"/>
          <w:numId w:val="2"/>
        </w:numPr>
        <w:spacing w:after="100" w:line="280"/>
      </w:pPr>
      <w:r>
        <w:rPr>
          <w:rFonts w:ascii="Calibri" w:cs="Calibri" w:eastAsia="Calibri" w:hAnsi="Calibri"/>
          <w:b/>
          <w:bCs/>
          <w:color w:val="2A2140"/>
          <w:sz w:val="22"/>
          <w:szCs w:val="22"/>
        </w:rPr>
        <w:t xml:space="preserve">Distance from the CBD:</w:t>
      </w:r>
      <w:r>
        <w:rPr>
          <w:rFonts w:ascii="Calibri" w:cs="Calibri" w:eastAsia="Calibri" w:hAnsi="Calibri"/>
          <w:color w:val="2A2140"/>
          <w:sz w:val="22"/>
          <w:szCs w:val="22"/>
        </w:rPr>
        <w:t xml:space="preserve"> Price falls consistently as distance from the Central Business District increases — a clear, near-linear inverse relationship visible across every property type.</w:t>
      </w:r>
    </w:p>
    <w:p>
      <w:pPr>
        <w:pStyle w:val="ListParagraph"/>
        <w:numPr>
          <w:ilvl w:val="0"/>
          <w:numId w:val="2"/>
        </w:numPr>
        <w:spacing w:after="100" w:line="280"/>
      </w:pPr>
      <w:r>
        <w:rPr>
          <w:rFonts w:ascii="Calibri" w:cs="Calibri" w:eastAsia="Calibri" w:hAnsi="Calibri"/>
          <w:b/>
          <w:bCs/>
          <w:color w:val="2A2140"/>
          <w:sz w:val="22"/>
          <w:szCs w:val="22"/>
        </w:rPr>
        <w:t xml:space="preserve">Property type and size:</w:t>
      </w:r>
      <w:r>
        <w:rPr>
          <w:rFonts w:ascii="Calibri" w:cs="Calibri" w:eastAsia="Calibri" w:hAnsi="Calibri"/>
          <w:color w:val="2A2140"/>
          <w:sz w:val="22"/>
          <w:szCs w:val="22"/>
        </w:rPr>
        <w:t xml:space="preserve"> Houses command a clear premium over townhouses and units; price scales with building area and room count up to a point, after which small-sample categories (e.g., 7–10-room properties) become statistically unreliable.</w:t>
      </w:r>
    </w:p>
    <w:p>
      <w:pPr>
        <w:spacing w:after="80"/>
      </w:pPr>
    </w:p>
    <w:p>
      <w:pPr>
        <w:pStyle w:val="Heading1"/>
        <w:pBdr>
          <w:bottom w:val="single" w:color="7C5CD9" w:sz="6" w:space="4"/>
        </w:pBdr>
        <w:spacing w:after="160" w:before="320"/>
      </w:pPr>
      <w:r>
        <w:rPr>
          <w:rFonts w:ascii="Cambria" w:cs="Cambria" w:eastAsia="Cambria" w:hAnsi="Cambria"/>
          <w:b/>
          <w:bCs/>
          <w:color w:val="1B1330"/>
          <w:sz w:val="30"/>
          <w:szCs w:val="30"/>
        </w:rPr>
        <w:t xml:space="preserve">4. Predictive Modeling — Results &amp; Interpretation</w:t>
      </w:r>
    </w:p>
    <w:p>
      <w:pPr>
        <w:spacing w:after="140" w:line="300"/>
      </w:pPr>
      <w:r>
        <w:rPr>
          <w:rFonts w:ascii="Calibri" w:cs="Calibri" w:eastAsia="Calibri" w:hAnsi="Calibri"/>
          <w:i w:val="false"/>
          <w:iCs w:val="false"/>
          <w:color w:val="2A2140"/>
          <w:sz w:val="22"/>
          <w:szCs w:val="22"/>
        </w:rPr>
        <w:t xml:space="preserve">All five required models — Logistic Regression, Decision Tree, Random Forest, Linear Regression, and SVM — were evaluated on a single, consistent target: whether a property is “Expensive” or “Affordable” relative to the market median (Price_Category), using Accuracy and a Confusion Matrix as specified.</w:t>
      </w:r>
    </w:p>
    <w:tbl>
      <w:tblPr>
        <w:tblW w:type="pct" w:w="100%"/>
        <w:tblBorders>
          <w:top w:val="single" w:color="E3DEF2" w:sz="2"/>
          <w:left w:val="single" w:color="E3DEF2" w:sz="2"/>
          <w:bottom w:val="single" w:color="E3DEF2" w:sz="2"/>
          <w:right w:val="single" w:color="E3DEF2" w:sz="2"/>
          <w:insideH w:val="single" w:color="E3DEF2" w:sz="2"/>
          <w:insideV w:val="single" w:color="E3DEF2" w:sz="2"/>
        </w:tblBorders>
      </w:tblPr>
      <w:tblGrid>
        <w:gridCol w:w="2800"/>
        <w:gridCol w:w="1600"/>
        <w:gridCol w:w="4626"/>
      </w:tblGrid>
      <w:tr>
        <w:tc>
          <w:tcPr>
            <w:shd w:fill="1B1330" w:val="clear"/>
            <w:tcMar>
              <w:top w:type="dxa" w:w="120"/>
              <w:left w:type="dxa" w:w="140"/>
              <w:bottom w:type="dxa" w:w="120"/>
              <w:right w:type="dxa" w:w="140"/>
            </w:tcMar>
          </w:tcPr>
          <w:p>
            <w:r>
              <w:rPr>
                <w:rFonts w:ascii="Calibri" w:cs="Calibri" w:eastAsia="Calibri" w:hAnsi="Calibri"/>
                <w:b/>
                <w:bCs/>
                <w:color w:val="FFFFFF"/>
                <w:sz w:val="20"/>
                <w:szCs w:val="20"/>
              </w:rPr>
              <w:t xml:space="preserve">Model</w:t>
            </w:r>
          </w:p>
        </w:tc>
        <w:tc>
          <w:tcPr>
            <w:shd w:fill="1B1330" w:val="clear"/>
            <w:tcMar>
              <w:top w:type="dxa" w:w="120"/>
              <w:left w:type="dxa" w:w="140"/>
              <w:bottom w:type="dxa" w:w="120"/>
              <w:right w:type="dxa" w:w="140"/>
            </w:tcMar>
          </w:tcPr>
          <w:p>
            <w:r>
              <w:rPr>
                <w:rFonts w:ascii="Calibri" w:cs="Calibri" w:eastAsia="Calibri" w:hAnsi="Calibri"/>
                <w:b/>
                <w:bCs/>
                <w:color w:val="FFFFFF"/>
                <w:sz w:val="20"/>
                <w:szCs w:val="20"/>
              </w:rPr>
              <w:t xml:space="preserve">Accuracy</w:t>
            </w:r>
          </w:p>
        </w:tc>
        <w:tc>
          <w:tcPr>
            <w:shd w:fill="1B1330" w:val="clear"/>
            <w:tcMar>
              <w:top w:type="dxa" w:w="120"/>
              <w:left w:type="dxa" w:w="140"/>
              <w:bottom w:type="dxa" w:w="120"/>
              <w:right w:type="dxa" w:w="140"/>
            </w:tcMar>
          </w:tcPr>
          <w:p>
            <w:r>
              <w:rPr>
                <w:rFonts w:ascii="Calibri" w:cs="Calibri" w:eastAsia="Calibri" w:hAnsi="Calibri"/>
                <w:b/>
                <w:bCs/>
                <w:color w:val="FFFFFF"/>
                <w:sz w:val="20"/>
                <w:szCs w:val="20"/>
              </w:rPr>
              <w:t xml:space="preserve">Notes</w:t>
            </w:r>
          </w:p>
        </w:tc>
      </w:tr>
      <w:tr>
        <w:tc>
          <w:tcPr>
            <w:shd w:fill="FFFFFF" w:val="clear"/>
            <w:tcMar>
              <w:top w:type="dxa" w:w="100"/>
              <w:left w:type="dxa" w:w="140"/>
              <w:bottom w:type="dxa" w:w="100"/>
              <w:right w:type="dxa" w:w="140"/>
            </w:tcMar>
          </w:tcPr>
          <w:p>
            <w:r>
              <w:rPr>
                <w:rFonts w:ascii="Calibri" w:cs="Calibri" w:eastAsia="Calibri" w:hAnsi="Calibri"/>
                <w:b/>
                <w:bCs/>
                <w:color w:val="2A2140"/>
                <w:sz w:val="20"/>
                <w:szCs w:val="20"/>
              </w:rPr>
              <w:t xml:space="preserve">Random Forest</w:t>
            </w:r>
          </w:p>
        </w:tc>
        <w:tc>
          <w:tcPr>
            <w:shd w:fill="FFFFFF" w:val="clear"/>
            <w:tcMar>
              <w:top w:type="dxa" w:w="100"/>
              <w:left w:type="dxa" w:w="140"/>
              <w:bottom w:type="dxa" w:w="100"/>
              <w:right w:type="dxa" w:w="140"/>
            </w:tcMar>
          </w:tcPr>
          <w:p>
            <w:r>
              <w:rPr>
                <w:rFonts w:ascii="Calibri" w:cs="Calibri" w:eastAsia="Calibri" w:hAnsi="Calibri"/>
                <w:b/>
                <w:bCs/>
                <w:color w:val="7C5CD9"/>
                <w:sz w:val="20"/>
                <w:szCs w:val="20"/>
              </w:rPr>
              <w:t xml:space="preserve">89.9%</w:t>
            </w:r>
          </w:p>
        </w:tc>
        <w:tc>
          <w:tcPr>
            <w:shd w:fill="FFFFFF" w:val="clear"/>
            <w:tcMar>
              <w:top w:type="dxa" w:w="100"/>
              <w:left w:type="dxa" w:w="140"/>
              <w:bottom w:type="dxa" w:w="100"/>
              <w:right w:type="dxa" w:w="140"/>
            </w:tcMar>
          </w:tcPr>
          <w:p>
            <w:r>
              <w:rPr>
                <w:rFonts w:ascii="Calibri" w:cs="Calibri" w:eastAsia="Calibri" w:hAnsi="Calibri"/>
                <w:color w:val="6B6482"/>
                <w:sz w:val="19"/>
                <w:szCs w:val="19"/>
              </w:rPr>
              <w:t xml:space="preserve">Best performer — captures non-linear location and size effects</w:t>
            </w:r>
          </w:p>
        </w:tc>
      </w:tr>
      <w:tr>
        <w:tc>
          <w:tcPr>
            <w:shd w:fill="F4F1FA" w:val="clear"/>
            <w:tcMar>
              <w:top w:type="dxa" w:w="100"/>
              <w:left w:type="dxa" w:w="140"/>
              <w:bottom w:type="dxa" w:w="100"/>
              <w:right w:type="dxa" w:w="140"/>
            </w:tcMar>
          </w:tcPr>
          <w:p>
            <w:r>
              <w:rPr>
                <w:rFonts w:ascii="Calibri" w:cs="Calibri" w:eastAsia="Calibri" w:hAnsi="Calibri"/>
                <w:b/>
                <w:bCs/>
                <w:color w:val="2A2140"/>
                <w:sz w:val="20"/>
                <w:szCs w:val="20"/>
              </w:rPr>
              <w:t xml:space="preserve">SVM</w:t>
            </w:r>
          </w:p>
        </w:tc>
        <w:tc>
          <w:tcPr>
            <w:shd w:fill="F4F1FA" w:val="clear"/>
            <w:tcMar>
              <w:top w:type="dxa" w:w="100"/>
              <w:left w:type="dxa" w:w="140"/>
              <w:bottom w:type="dxa" w:w="100"/>
              <w:right w:type="dxa" w:w="140"/>
            </w:tcMar>
          </w:tcPr>
          <w:p>
            <w:r>
              <w:rPr>
                <w:rFonts w:ascii="Calibri" w:cs="Calibri" w:eastAsia="Calibri" w:hAnsi="Calibri"/>
                <w:b/>
                <w:bCs/>
                <w:color w:val="7C5CD9"/>
                <w:sz w:val="20"/>
                <w:szCs w:val="20"/>
              </w:rPr>
              <w:t xml:space="preserve">88.7%</w:t>
            </w:r>
          </w:p>
        </w:tc>
        <w:tc>
          <w:tcPr>
            <w:shd w:fill="F4F1FA" w:val="clear"/>
            <w:tcMar>
              <w:top w:type="dxa" w:w="100"/>
              <w:left w:type="dxa" w:w="140"/>
              <w:bottom w:type="dxa" w:w="100"/>
              <w:right w:type="dxa" w:w="140"/>
            </w:tcMar>
          </w:tcPr>
          <w:p>
            <w:r>
              <w:rPr>
                <w:rFonts w:ascii="Calibri" w:cs="Calibri" w:eastAsia="Calibri" w:hAnsi="Calibri"/>
                <w:color w:val="6B6482"/>
                <w:sz w:val="19"/>
                <w:szCs w:val="19"/>
              </w:rPr>
              <w:t xml:space="preserve">Strong margin-based separation of price classes</w:t>
            </w:r>
          </w:p>
        </w:tc>
      </w:tr>
      <w:tr>
        <w:tc>
          <w:tcPr>
            <w:shd w:fill="FFFFFF" w:val="clear"/>
            <w:tcMar>
              <w:top w:type="dxa" w:w="100"/>
              <w:left w:type="dxa" w:w="140"/>
              <w:bottom w:type="dxa" w:w="100"/>
              <w:right w:type="dxa" w:w="140"/>
            </w:tcMar>
          </w:tcPr>
          <w:p>
            <w:r>
              <w:rPr>
                <w:rFonts w:ascii="Calibri" w:cs="Calibri" w:eastAsia="Calibri" w:hAnsi="Calibri"/>
                <w:b/>
                <w:bCs/>
                <w:color w:val="2A2140"/>
                <w:sz w:val="20"/>
                <w:szCs w:val="20"/>
              </w:rPr>
              <w:t xml:space="preserve">Logistic Regression</w:t>
            </w:r>
          </w:p>
        </w:tc>
        <w:tc>
          <w:tcPr>
            <w:shd w:fill="FFFFFF" w:val="clear"/>
            <w:tcMar>
              <w:top w:type="dxa" w:w="100"/>
              <w:left w:type="dxa" w:w="140"/>
              <w:bottom w:type="dxa" w:w="100"/>
              <w:right w:type="dxa" w:w="140"/>
            </w:tcMar>
          </w:tcPr>
          <w:p>
            <w:r>
              <w:rPr>
                <w:rFonts w:ascii="Calibri" w:cs="Calibri" w:eastAsia="Calibri" w:hAnsi="Calibri"/>
                <w:b/>
                <w:bCs/>
                <w:color w:val="7C5CD9"/>
                <w:sz w:val="20"/>
                <w:szCs w:val="20"/>
              </w:rPr>
              <w:t xml:space="preserve">87.1%</w:t>
            </w:r>
          </w:p>
        </w:tc>
        <w:tc>
          <w:tcPr>
            <w:shd w:fill="FFFFFF" w:val="clear"/>
            <w:tcMar>
              <w:top w:type="dxa" w:w="100"/>
              <w:left w:type="dxa" w:w="140"/>
              <w:bottom w:type="dxa" w:w="100"/>
              <w:right w:type="dxa" w:w="140"/>
            </w:tcMar>
          </w:tcPr>
          <w:p>
            <w:r>
              <w:rPr>
                <w:rFonts w:ascii="Calibri" w:cs="Calibri" w:eastAsia="Calibri" w:hAnsi="Calibri"/>
                <w:color w:val="6B6482"/>
                <w:sz w:val="19"/>
                <w:szCs w:val="19"/>
              </w:rPr>
              <w:t xml:space="preserve">Solid linear baseline for classification</w:t>
            </w:r>
          </w:p>
        </w:tc>
      </w:tr>
      <w:tr>
        <w:tc>
          <w:tcPr>
            <w:shd w:fill="F4F1FA" w:val="clear"/>
            <w:tcMar>
              <w:top w:type="dxa" w:w="100"/>
              <w:left w:type="dxa" w:w="140"/>
              <w:bottom w:type="dxa" w:w="100"/>
              <w:right w:type="dxa" w:w="140"/>
            </w:tcMar>
          </w:tcPr>
          <w:p>
            <w:r>
              <w:rPr>
                <w:rFonts w:ascii="Calibri" w:cs="Calibri" w:eastAsia="Calibri" w:hAnsi="Calibri"/>
                <w:b/>
                <w:bCs/>
                <w:color w:val="2A2140"/>
                <w:sz w:val="20"/>
                <w:szCs w:val="20"/>
              </w:rPr>
              <w:t xml:space="preserve">Linear Regression</w:t>
            </w:r>
          </w:p>
        </w:tc>
        <w:tc>
          <w:tcPr>
            <w:shd w:fill="F4F1FA" w:val="clear"/>
            <w:tcMar>
              <w:top w:type="dxa" w:w="100"/>
              <w:left w:type="dxa" w:w="140"/>
              <w:bottom w:type="dxa" w:w="100"/>
              <w:right w:type="dxa" w:w="140"/>
            </w:tcMar>
          </w:tcPr>
          <w:p>
            <w:r>
              <w:rPr>
                <w:rFonts w:ascii="Calibri" w:cs="Calibri" w:eastAsia="Calibri" w:hAnsi="Calibri"/>
                <w:b/>
                <w:bCs/>
                <w:color w:val="7C5CD9"/>
                <w:sz w:val="20"/>
                <w:szCs w:val="20"/>
              </w:rPr>
              <w:t xml:space="preserve">86.4%</w:t>
            </w:r>
          </w:p>
        </w:tc>
        <w:tc>
          <w:tcPr>
            <w:shd w:fill="F4F1FA" w:val="clear"/>
            <w:tcMar>
              <w:top w:type="dxa" w:w="100"/>
              <w:left w:type="dxa" w:w="140"/>
              <w:bottom w:type="dxa" w:w="100"/>
              <w:right w:type="dxa" w:w="140"/>
            </w:tcMar>
          </w:tcPr>
          <w:p>
            <w:r>
              <w:rPr>
                <w:rFonts w:ascii="Calibri" w:cs="Calibri" w:eastAsia="Calibri" w:hAnsi="Calibri"/>
                <w:color w:val="6B6482"/>
                <w:sz w:val="19"/>
                <w:szCs w:val="19"/>
              </w:rPr>
              <w:t xml:space="preserve">Adapted from continuous output via a 0.5 threshold</w:t>
            </w:r>
          </w:p>
        </w:tc>
      </w:tr>
      <w:tr>
        <w:tc>
          <w:tcPr>
            <w:shd w:fill="FFFFFF" w:val="clear"/>
            <w:tcMar>
              <w:top w:type="dxa" w:w="100"/>
              <w:left w:type="dxa" w:w="140"/>
              <w:bottom w:type="dxa" w:w="100"/>
              <w:right w:type="dxa" w:w="140"/>
            </w:tcMar>
          </w:tcPr>
          <w:p>
            <w:r>
              <w:rPr>
                <w:rFonts w:ascii="Calibri" w:cs="Calibri" w:eastAsia="Calibri" w:hAnsi="Calibri"/>
                <w:b/>
                <w:bCs/>
                <w:color w:val="2A2140"/>
                <w:sz w:val="20"/>
                <w:szCs w:val="20"/>
              </w:rPr>
              <w:t xml:space="preserve">Decision Tree</w:t>
            </w:r>
          </w:p>
        </w:tc>
        <w:tc>
          <w:tcPr>
            <w:shd w:fill="FFFFFF" w:val="clear"/>
            <w:tcMar>
              <w:top w:type="dxa" w:w="100"/>
              <w:left w:type="dxa" w:w="140"/>
              <w:bottom w:type="dxa" w:w="100"/>
              <w:right w:type="dxa" w:w="140"/>
            </w:tcMar>
          </w:tcPr>
          <w:p>
            <w:r>
              <w:rPr>
                <w:rFonts w:ascii="Calibri" w:cs="Calibri" w:eastAsia="Calibri" w:hAnsi="Calibri"/>
                <w:b/>
                <w:bCs/>
                <w:color w:val="7C5CD9"/>
                <w:sz w:val="20"/>
                <w:szCs w:val="20"/>
              </w:rPr>
              <w:t xml:space="preserve">85.3%</w:t>
            </w:r>
          </w:p>
        </w:tc>
        <w:tc>
          <w:tcPr>
            <w:shd w:fill="FFFFFF" w:val="clear"/>
            <w:tcMar>
              <w:top w:type="dxa" w:w="100"/>
              <w:left w:type="dxa" w:w="140"/>
              <w:bottom w:type="dxa" w:w="100"/>
              <w:right w:type="dxa" w:w="140"/>
            </w:tcMar>
          </w:tcPr>
          <w:p>
            <w:r>
              <w:rPr>
                <w:rFonts w:ascii="Calibri" w:cs="Calibri" w:eastAsia="Calibri" w:hAnsi="Calibri"/>
                <w:color w:val="6B6482"/>
                <w:sz w:val="19"/>
                <w:szCs w:val="19"/>
              </w:rPr>
              <w:t xml:space="preserve">Most interpretable, but prone to overfitting</w:t>
            </w:r>
          </w:p>
        </w:tc>
      </w:tr>
    </w:tbl>
    <w:p>
      <w:pPr>
        <w:spacing w:after="160"/>
      </w:pPr>
    </w:p>
    <w:p>
      <w:pPr>
        <w:spacing w:after="140" w:line="300"/>
      </w:pPr>
      <w:r>
        <w:rPr>
          <w:rFonts w:ascii="Calibri" w:cs="Calibri" w:eastAsia="Calibri" w:hAnsi="Calibri"/>
          <w:i w:val="false"/>
          <w:iCs w:val="false"/>
          <w:color w:val="2A2140"/>
          <w:sz w:val="22"/>
          <w:szCs w:val="22"/>
        </w:rPr>
        <w:t xml:space="preserve">Random Forest was the strongest model. As an ensemble of many decision trees, it captures non-linear interactions — such as how location and property type jointly affect price — that a single linear model cannot represent. Its feature-importance ranking is a natural, automatically generated explanation of the price drivers below.</w:t>
      </w:r>
    </w:p>
    <w:p>
      <w:pPr>
        <w:pStyle w:val="Heading2"/>
        <w:spacing w:after="100" w:before="240"/>
      </w:pPr>
      <w:r>
        <w:rPr>
          <w:rFonts w:ascii="Cambria" w:cs="Cambria" w:eastAsia="Cambria" w:hAnsi="Cambria"/>
          <w:b/>
          <w:bCs/>
          <w:color w:val="7C5CD9"/>
          <w:sz w:val="24"/>
          <w:szCs w:val="24"/>
        </w:rPr>
        <w:t xml:space="preserve">Top price drivers identified by the model</w:t>
      </w:r>
    </w:p>
    <w:p>
      <w:pPr>
        <w:spacing w:after="100" w:line="280"/>
        <w:ind w:left="420"/>
      </w:pPr>
      <w:r>
        <w:rPr>
          <w:rFonts w:ascii="Calibri" w:cs="Calibri" w:eastAsia="Calibri" w:hAnsi="Calibri"/>
          <w:b/>
          <w:bCs/>
          <w:color w:val="7C5CD9"/>
          <w:sz w:val="22"/>
          <w:szCs w:val="22"/>
        </w:rPr>
        <w:t xml:space="preserve">1.  </w:t>
      </w:r>
      <w:r>
        <w:rPr>
          <w:rFonts w:ascii="Calibri" w:cs="Calibri" w:eastAsia="Calibri" w:hAnsi="Calibri"/>
          <w:color w:val="2A2140"/>
          <w:sz w:val="22"/>
          <w:szCs w:val="22"/>
        </w:rPr>
        <w:t xml:space="preserve">Latitude &amp; Longitude (precise geographic location)</w:t>
      </w:r>
    </w:p>
    <w:p>
      <w:pPr>
        <w:spacing w:after="100" w:line="280"/>
        <w:ind w:left="420"/>
      </w:pPr>
      <w:r>
        <w:rPr>
          <w:rFonts w:ascii="Calibri" w:cs="Calibri" w:eastAsia="Calibri" w:hAnsi="Calibri"/>
          <w:b/>
          <w:bCs/>
          <w:color w:val="7C5CD9"/>
          <w:sz w:val="22"/>
          <w:szCs w:val="22"/>
        </w:rPr>
        <w:t xml:space="preserve">2.  </w:t>
      </w:r>
      <w:r>
        <w:rPr>
          <w:rFonts w:ascii="Calibri" w:cs="Calibri" w:eastAsia="Calibri" w:hAnsi="Calibri"/>
          <w:color w:val="2A2140"/>
          <w:sz w:val="22"/>
          <w:szCs w:val="22"/>
        </w:rPr>
        <w:t xml:space="preserve">Property Type (house, unit, or townhouse)</w:t>
      </w:r>
    </w:p>
    <w:p>
      <w:pPr>
        <w:spacing w:after="100" w:line="280"/>
        <w:ind w:left="420"/>
      </w:pPr>
      <w:r>
        <w:rPr>
          <w:rFonts w:ascii="Calibri" w:cs="Calibri" w:eastAsia="Calibri" w:hAnsi="Calibri"/>
          <w:b/>
          <w:bCs/>
          <w:color w:val="7C5CD9"/>
          <w:sz w:val="22"/>
          <w:szCs w:val="22"/>
        </w:rPr>
        <w:t xml:space="preserve">3.  </w:t>
      </w:r>
      <w:r>
        <w:rPr>
          <w:rFonts w:ascii="Calibri" w:cs="Calibri" w:eastAsia="Calibri" w:hAnsi="Calibri"/>
          <w:color w:val="2A2140"/>
          <w:sz w:val="22"/>
          <w:szCs w:val="22"/>
        </w:rPr>
        <w:t xml:space="preserve">Distance from the CBD</w:t>
      </w:r>
    </w:p>
    <w:p>
      <w:pPr>
        <w:spacing w:after="100" w:line="280"/>
        <w:ind w:left="420"/>
      </w:pPr>
      <w:r>
        <w:rPr>
          <w:rFonts w:ascii="Calibri" w:cs="Calibri" w:eastAsia="Calibri" w:hAnsi="Calibri"/>
          <w:b/>
          <w:bCs/>
          <w:color w:val="7C5CD9"/>
          <w:sz w:val="22"/>
          <w:szCs w:val="22"/>
        </w:rPr>
        <w:t xml:space="preserve">4.  </w:t>
      </w:r>
      <w:r>
        <w:rPr>
          <w:rFonts w:ascii="Calibri" w:cs="Calibri" w:eastAsia="Calibri" w:hAnsi="Calibri"/>
          <w:color w:val="2A2140"/>
          <w:sz w:val="22"/>
          <w:szCs w:val="22"/>
        </w:rPr>
        <w:t xml:space="preserve">Land size and building area</w:t>
      </w:r>
    </w:p>
    <w:p>
      <w:pPr>
        <w:spacing w:after="80"/>
      </w:pPr>
    </w:p>
    <w:p>
      <w:pPr>
        <w:pStyle w:val="Heading1"/>
        <w:pBdr>
          <w:bottom w:val="single" w:color="7C5CD9" w:sz="6" w:space="4"/>
        </w:pBdr>
        <w:spacing w:after="160" w:before="320"/>
      </w:pPr>
      <w:r>
        <w:rPr>
          <w:rFonts w:ascii="Cambria" w:cs="Cambria" w:eastAsia="Cambria" w:hAnsi="Cambria"/>
          <w:b/>
          <w:bCs/>
          <w:color w:val="1B1330"/>
          <w:sz w:val="30"/>
          <w:szCs w:val="30"/>
        </w:rPr>
        <w:t xml:space="preserve">5. Business-Oriented Recommendations</w:t>
      </w:r>
    </w:p>
    <w:tbl>
      <w:tblPr>
        <w:tblW w:type="pct" w:w="100%"/>
        <w:tblBorders>
          <w:top w:val="single" w:color="7C5CD9" w:sz="4"/>
          <w:left w:val="single" w:color="7C5CD9" w:sz="4"/>
          <w:bottom w:val="single" w:color="7C5CD9" w:sz="4"/>
          <w:right w:val="single" w:color="7C5CD9" w:sz="4"/>
          <w:insideH w:val="none"/>
          <w:insideV w:val="none"/>
        </w:tblBorders>
      </w:tblPr>
      <w:tblGrid>
        <w:gridCol w:w="100"/>
      </w:tblGrid>
      <w:tr>
        <w:tc>
          <w:tcPr>
            <w:tcW w:type="pct" w:w="100%"/>
            <w:shd w:fill="F4F1FA" w:val="clear"/>
            <w:tcMar>
              <w:top w:type="dxa" w:w="160"/>
              <w:left w:type="dxa" w:w="220"/>
              <w:bottom w:type="dxa" w:w="160"/>
              <w:right w:type="dxa" w:w="220"/>
            </w:tcMar>
          </w:tcPr>
          <w:p>
            <w:pPr>
              <w:spacing w:after="60"/>
            </w:pPr>
            <w:r>
              <w:rPr>
                <w:rFonts w:ascii="Calibri" w:cs="Calibri" w:eastAsia="Calibri" w:hAnsi="Calibri"/>
                <w:b/>
                <w:bCs/>
                <w:color w:val="7C5CD9"/>
                <w:spacing w:val="12"/>
                <w:sz w:val="18"/>
                <w:szCs w:val="18"/>
              </w:rPr>
              <w:t xml:space="preserve">FOR BUYERS &amp; INVESTORS</w:t>
            </w:r>
          </w:p>
          <w:p>
            <w:pPr>
              <w:spacing w:after="0" w:line="280"/>
            </w:pPr>
            <w:r>
              <w:rPr>
                <w:rFonts w:ascii="Calibri" w:cs="Calibri" w:eastAsia="Calibri" w:hAnsi="Calibri"/>
                <w:color w:val="2A2140"/>
                <w:sz w:val="21"/>
                <w:szCs w:val="21"/>
              </w:rPr>
              <w:t xml:space="preserve">Prioritize location and CBD proximity over size when comparing properties — these two factors outweigh room count or land size in determining price, and mispriced listings are more likely to appear in less-central suburbs where competition is thinner.</w:t>
            </w:r>
          </w:p>
        </w:tc>
      </w:tr>
    </w:tbl>
    <w:p>
      <w:pPr>
        <w:spacing w:after="120"/>
      </w:pPr>
    </w:p>
    <w:tbl>
      <w:tblPr>
        <w:tblW w:type="pct" w:w="100%"/>
        <w:tblBorders>
          <w:top w:val="single" w:color="7C5CD9" w:sz="4"/>
          <w:left w:val="single" w:color="7C5CD9" w:sz="4"/>
          <w:bottom w:val="single" w:color="7C5CD9" w:sz="4"/>
          <w:right w:val="single" w:color="7C5CD9" w:sz="4"/>
          <w:insideH w:val="none"/>
          <w:insideV w:val="none"/>
        </w:tblBorders>
      </w:tblPr>
      <w:tblGrid>
        <w:gridCol w:w="100"/>
      </w:tblGrid>
      <w:tr>
        <w:tc>
          <w:tcPr>
            <w:tcW w:type="pct" w:w="100%"/>
            <w:shd w:fill="F4F1FA" w:val="clear"/>
            <w:tcMar>
              <w:top w:type="dxa" w:w="160"/>
              <w:left w:type="dxa" w:w="220"/>
              <w:bottom w:type="dxa" w:w="160"/>
              <w:right w:type="dxa" w:w="220"/>
            </w:tcMar>
          </w:tcPr>
          <w:p>
            <w:pPr>
              <w:spacing w:after="60"/>
            </w:pPr>
            <w:r>
              <w:rPr>
                <w:rFonts w:ascii="Calibri" w:cs="Calibri" w:eastAsia="Calibri" w:hAnsi="Calibri"/>
                <w:b/>
                <w:bCs/>
                <w:color w:val="7C5CD9"/>
                <w:spacing w:val="12"/>
                <w:sz w:val="18"/>
                <w:szCs w:val="18"/>
              </w:rPr>
              <w:t xml:space="preserve">FOR REAL-ESTATE AGENTS</w:t>
            </w:r>
          </w:p>
          <w:p>
            <w:pPr>
              <w:spacing w:after="0" w:line="280"/>
            </w:pPr>
            <w:r>
              <w:rPr>
                <w:rFonts w:ascii="Calibri" w:cs="Calibri" w:eastAsia="Calibri" w:hAnsi="Calibri"/>
                <w:color w:val="2A2140"/>
                <w:sz w:val="21"/>
                <w:szCs w:val="21"/>
              </w:rPr>
              <w:t xml:space="preserve">The trained classification model (Random Forest, 89.9% accuracy) can be used as a fast first-pass screening tool to flag whether a new listing is priced above or below the market median before a full appraisal is completed.</w:t>
            </w:r>
          </w:p>
        </w:tc>
      </w:tr>
    </w:tbl>
    <w:p>
      <w:pPr>
        <w:spacing w:after="120"/>
      </w:pPr>
    </w:p>
    <w:tbl>
      <w:tblPr>
        <w:tblW w:type="pct" w:w="100%"/>
        <w:tblBorders>
          <w:top w:val="single" w:color="7C5CD9" w:sz="4"/>
          <w:left w:val="single" w:color="7C5CD9" w:sz="4"/>
          <w:bottom w:val="single" w:color="7C5CD9" w:sz="4"/>
          <w:right w:val="single" w:color="7C5CD9" w:sz="4"/>
          <w:insideH w:val="none"/>
          <w:insideV w:val="none"/>
        </w:tblBorders>
      </w:tblPr>
      <w:tblGrid>
        <w:gridCol w:w="100"/>
      </w:tblGrid>
      <w:tr>
        <w:tc>
          <w:tcPr>
            <w:tcW w:type="pct" w:w="100%"/>
            <w:shd w:fill="F4F1FA" w:val="clear"/>
            <w:tcMar>
              <w:top w:type="dxa" w:w="160"/>
              <w:left w:type="dxa" w:w="220"/>
              <w:bottom w:type="dxa" w:w="160"/>
              <w:right w:type="dxa" w:w="220"/>
            </w:tcMar>
          </w:tcPr>
          <w:p>
            <w:pPr>
              <w:spacing w:after="60"/>
            </w:pPr>
            <w:r>
              <w:rPr>
                <w:rFonts w:ascii="Calibri" w:cs="Calibri" w:eastAsia="Calibri" w:hAnsi="Calibri"/>
                <w:b/>
                <w:bCs/>
                <w:color w:val="7C5CD9"/>
                <w:spacing w:val="12"/>
                <w:sz w:val="18"/>
                <w:szCs w:val="18"/>
              </w:rPr>
              <w:t xml:space="preserve">FOR MARKET ANALYSTS</w:t>
            </w:r>
          </w:p>
          <w:p>
            <w:pPr>
              <w:spacing w:after="0" w:line="280"/>
            </w:pPr>
            <w:r>
              <w:rPr>
                <w:rFonts w:ascii="Calibri" w:cs="Calibri" w:eastAsia="Calibri" w:hAnsi="Calibri"/>
                <w:color w:val="2A2140"/>
                <w:sz w:val="21"/>
                <w:szCs w:val="21"/>
              </w:rPr>
              <w:t xml:space="preserve">Treat small-sample categories (e.g., properties with 7+ rooms) with caution in any dashboard or report — averages built on very few records can visually suggest trends (such as “price drops after 6 rooms”) that are statistical noise, not market behavior.</w:t>
            </w:r>
          </w:p>
        </w:tc>
      </w:tr>
    </w:tbl>
    <w:p>
      <w:pPr>
        <w:spacing w:after="200"/>
      </w:pPr>
    </w:p>
    <w:p>
      <w:pPr>
        <w:pStyle w:val="Heading1"/>
        <w:pBdr>
          <w:bottom w:val="single" w:color="7C5CD9" w:sz="6" w:space="4"/>
        </w:pBdr>
        <w:spacing w:after="160" w:before="320"/>
      </w:pPr>
      <w:r>
        <w:rPr>
          <w:rFonts w:ascii="Cambria" w:cs="Cambria" w:eastAsia="Cambria" w:hAnsi="Cambria"/>
          <w:b/>
          <w:bCs/>
          <w:color w:val="1B1330"/>
          <w:sz w:val="30"/>
          <w:szCs w:val="30"/>
        </w:rPr>
        <w:t xml:space="preserve">6. Note on AI Assistance</w:t>
      </w:r>
    </w:p>
    <w:p>
      <w:pPr>
        <w:spacing w:after="140" w:line="300"/>
      </w:pPr>
      <w:r>
        <w:rPr>
          <w:rFonts w:ascii="Calibri" w:cs="Calibri" w:eastAsia="Calibri" w:hAnsi="Calibri"/>
          <w:i/>
          <w:iCs/>
          <w:color w:val="2A2140"/>
          <w:sz w:val="22"/>
          <w:szCs w:val="22"/>
        </w:rPr>
        <w:t xml:space="preserve">Generative AI was used as an analytical collaborator throughout this project: recommending the median-imputation and IQR outlier-detection strategies during cleaning, helping identify logically inconsistent records beyond what statistical thresholds alone would catch, guiding the choice of a shared classification target so all five required models could be evaluated on the same metric, and drafting the natural-language insights and recommendations in this document from the underlying statistical and model outputs. All final decisions, code execution, and validation were reviewed and confirmed before inclusion in the project deliverables.</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2026-08-30T15:48:47.990Z</dcterms:created>
  <dcterms:modified xsi:type="dcterms:W3CDTF">2026-08-30T15:48:47.990Z</dcterms:modified>
</cp:coreProperties>
</file>

<file path=docProps/custom.xml><?xml version="1.0" encoding="utf-8"?>
<Properties xmlns="http://schemas.openxmlformats.org/officeDocument/2006/custom-properties" xmlns:vt="http://schemas.openxmlformats.org/officeDocument/2006/docPropsVTypes"/>
</file>