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available from the corresponding author upon reasonable</w:t>
      </w:r>
      <w:r>
        <w:t xml:space="preserve"> </w:t>
      </w:r>
      <w:r>
        <w:t xml:space="preserve">request. The supplementary materials accompanying the manuscript provide the</w:t>
      </w:r>
      <w:r>
        <w:t xml:space="preserve"> </w:t>
      </w:r>
      <w:r>
        <w:t xml:space="preserve">additional methodological and experimental details needed to evaluate the</w:t>
      </w:r>
      <w:r>
        <w:t xml:space="preserve"> </w:t>
      </w:r>
      <w:r>
        <w:t xml:space="preserve">reported 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