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mechanism-isolation and</w:t>
      </w:r>
      <w:r>
        <w:t xml:space="preserve"> </w:t>
      </w:r>
      <w:r>
        <w:t xml:space="preserve">sensitivity 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</w:t>
      </w:r>
      <w:r>
        <w:t xml:space="preserve"> </w:t>
      </w:r>
      <w:r>
        <w:t xml:space="preserve">further separate, non-superseding evidence releases named where they are used;</w:t>
      </w:r>
      <w:r>
        <w:t xml:space="preserve"> </w:t>
      </w:r>
      <w:r>
        <w:t xml:space="preserve">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 Holm’s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27" w:name="ref_sec_supp_cec2017_tables"/>
      <w:r>
        <w:t xml:space="preserve">S1.</w:t>
      </w:r>
      <w:bookmarkEnd w:id="227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0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3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2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32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33" w:name="ref_sec_supp_pairwise"/>
      <w:r>
        <w:t xml:space="preserve">S2.</w:t>
      </w:r>
      <w:bookmarkEnd w:id="233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34" w:name="ref_sec_supp_h2h"/>
      <w:r>
        <w:t xml:space="preserve">S2.1.</w:t>
      </w:r>
      <w:bookmarkEnd w:id="234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6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3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3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8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3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39" w:name="ref_sec_supp_cec2011"/>
      <w:r>
        <w:t xml:space="preserve">S2.2.</w:t>
      </w:r>
      <w:bookmarkEnd w:id="239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0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1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41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42" w:name="ref_sec_supp_cec2013"/>
      <w:r>
        <w:t xml:space="preserve">S2.3.</w:t>
      </w:r>
      <w:bookmarkEnd w:id="242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3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4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4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5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6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7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47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48" w:name="ref_sec_supp_bca"/>
      <w:r>
        <w:t xml:space="preserve">S2.4.</w:t>
      </w:r>
      <w:bookmarkEnd w:id="248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under both of these</w:t>
      </w:r>
      <w:r>
        <w:t xml:space="preserve"> </w:t>
      </w:r>
      <w:r>
        <w:t xml:space="preserve">robustness variants,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9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49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50" w:name="ref_sec_supp_posthoc"/>
      <w:r>
        <w:t xml:space="preserve">S2.5.</w:t>
      </w:r>
      <w:bookmarkEnd w:id="250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51" w:name="ref_sec_supp_rankviews"/>
      <w:r>
        <w:t xml:space="preserve">S2.6.</w:t>
      </w:r>
      <w:bookmarkEnd w:id="251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3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53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54" w:name="ref_sec_supp_convergence"/>
      <w:r>
        <w:t xml:space="preserve">S3.</w:t>
      </w:r>
      <w:bookmarkEnd w:id="254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55" w:name="ref_sec_supp_conv2017"/>
      <w:r>
        <w:t xml:space="preserve">S3.1.</w:t>
      </w:r>
      <w:bookmarkEnd w:id="255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0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6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4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6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9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6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1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72" w:name="ref_sec_supp_conv2011"/>
      <w:r>
        <w:t xml:space="preserve">S3.2.</w:t>
      </w:r>
      <w:bookmarkEnd w:id="272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3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4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5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75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76" w:name="ref_sec_supp_conv2013"/>
      <w:r>
        <w:t xml:space="preserve">S3.3.</w:t>
      </w:r>
      <w:bookmarkEnd w:id="276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7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7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8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7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9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79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0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80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81" w:name="ref_sec_supp_diagnostics"/>
      <w:r>
        <w:t xml:space="preserve">S4.</w:t>
      </w:r>
      <w:bookmarkEnd w:id="281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2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82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83" w:name="ref_sec_repro"/>
      <w:r>
        <w:t xml:space="preserve">S5.</w:t>
      </w:r>
      <w:bookmarkEnd w:id="283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84" w:name="ref_sec_repro_seeds"/>
      <w:r>
        <w:t xml:space="preserve">S5.1.</w:t>
      </w:r>
      <w:bookmarkEnd w:id="284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85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85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6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86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87" w:name="ref_sec_repro_freeze"/>
      <w:r>
        <w:t xml:space="preserve">S5.2.</w:t>
      </w:r>
      <w:bookmarkEnd w:id="287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AGSK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</w:t>
      </w:r>
      <w:r>
        <w:t xml:space="preserve"> </w:t>
      </w:r>
      <w:r>
        <w:t xml:space="preserve">APGSK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FDB-AGSK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</w:t>
      </w:r>
      <w:r>
        <w:t xml:space="preserve"> </w:t>
      </w:r>
      <w:r>
        <w:t xml:space="preserve">ATMALS-GSK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 and eGSK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8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88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One exception is recorded rather than left to be found. The internal</w:t>
      </w:r>
      <w:r>
        <w:t xml:space="preserve"> </w:t>
      </w:r>
      <w:r>
        <w:t xml:space="preserve">control of Table </w:t>
      </w:r>
      <w:r>
        <w:fldChar w:fldCharType="begin"/>
      </w:r>
      <w:r>
        <w:instrText xml:space="preserve"> REF ref_tab_rev_e3 \h </w:instrText>
      </w:r>
      <w:r>
        <w:fldChar w:fldCharType="separate"/>
      </w:r>
      <w:r>
        <w:t xml:space="preserve">A45</w:t>
      </w:r>
      <w:r>
        <w:fldChar w:fldCharType="end"/>
      </w:r>
      <w:r>
        <w:t xml:space="preserve"> re-executes, under the current revision,</w:t>
      </w:r>
      <w:r>
        <w:t xml:space="preserve"> </w:t>
      </w:r>
      <w:r>
        <w:t xml:space="preserve">runs archived under the earlier one; it does not reproduce them exactly, and</w:t>
      </w:r>
      <w:r>
        <w:t xml:space="preserve"> </w:t>
      </w:r>
      <w:r>
        <w:t xml:space="preserve">its win/tie/loss count carries that residual. The residual’s origin has since</w:t>
      </w:r>
      <w:r>
        <w:t xml:space="preserve"> </w:t>
      </w:r>
      <w:r>
        <w:t xml:space="preserve">been demonstrated by a promoted re-execution (release g1-rel-2026-08-28-65b3d39e6):</w:t>
      </w:r>
      <w:r>
        <w:t xml:space="preserve"> </w:t>
      </w:r>
      <w:r>
        <w:t xml:space="preserve">re-running the five carrier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under the current build,</w:t>
      </w:r>
      <w:r>
        <w:t xml:space="preserve"> </w:t>
      </w:r>
      <w:r>
        <w:t xml:space="preserve">with the numeric stack pinned to one thread, reproduces the transplant arm on</w:t>
      </w:r>
      <w:r>
        <w:t xml:space="preserve"> </w:t>
      </w:r>
      <w:r>
        <w:t xml:space="preserve">all 26 divergent cells and the archived values on none, while reproducing</w:t>
      </w:r>
      <w:r>
        <w:t xml:space="preserve"> </w:t>
      </w:r>
      <w:r>
        <w:t xml:space="preserve">both on all 229 agreeing cells, with zero seed mismatches — a difference</w:t>
      </w:r>
      <w:r>
        <w:t xml:space="preserve"> </w:t>
      </w:r>
      <w:r>
        <w:t xml:space="preserve">between builds, not a within-build instability, and that table’s caption now</w:t>
      </w:r>
      <w:r>
        <w:t xml:space="preserve"> </w:t>
      </w:r>
      <w:r>
        <w:t xml:space="preserve">reports it as such. No other reported number, rank,</w:t>
      </w:r>
      <w:r>
        <w:t xml:space="preserve"> </w:t>
      </w:r>
      <m:oMath>
        <m:r>
          <m:t>p</m:t>
        </m:r>
      </m:oMath>
      <w:r>
        <w:t xml:space="preserve">-value or decision</w:t>
      </w:r>
      <w:r>
        <w:t xml:space="preserve"> </w:t>
      </w:r>
      <w:r>
        <w:t xml:space="preserve">in this paper or this Supplementary Material depends on which of the two</w:t>
      </w:r>
      <w:r>
        <w:t xml:space="preserve"> </w:t>
      </w:r>
      <w:r>
        <w:t xml:space="preserve">revisions is used, and the archived release from which every reported number</w:t>
      </w:r>
      <w:r>
        <w:t xml:space="preserve"> </w:t>
      </w:r>
      <w:r>
        <w:t xml:space="preserve">is derived is itself unchanged.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89" w:name="ref_sec_repro_tuning"/>
      <w:r>
        <w:t xml:space="preserve">S5.3.</w:t>
      </w:r>
      <w:bookmarkEnd w:id="289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90" w:name="ref_sec_repro_limitations"/>
      <w:r>
        <w:t xml:space="preserve">S5.4.</w:t>
      </w:r>
      <w:bookmarkEnd w:id="290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of the submitted manuscript,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is evaluated to calibrate the</w:t>
      </w:r>
      <w:r>
        <w:t xml:space="preserve"> </w:t>
      </w:r>
      <w:r>
        <w:t xml:space="preserve">family against the broader state of the art, so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 that is not separately bounded and is</w:t>
      </w:r>
      <w:r>
        <w:t xml:space="preserve"> </w:t>
      </w:r>
      <w:r>
        <w:t xml:space="preserve">most consequential at low dimension, where DT-GSK runs essentially the</w:t>
      </w:r>
      <w:r>
        <w:t xml:space="preserve"> </w:t>
      </w:r>
      <w:r>
        <w:t xml:space="preserve">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51, and it leaves the dimension-tier boundaries</w:t>
      </w:r>
      <w:r>
        <w:t xml:space="preserve"> </w:t>
      </w:r>
      <w:r>
        <w:t xml:space="preserve">themselves unvaried, so their sensitivity is untested.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91" w:name="ref_sec_repro_tieband"/>
      <w:r>
        <w:t xml:space="preserve">S5.5.</w:t>
      </w:r>
      <w:bookmarkEnd w:id="291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92" w:name="ref_sec_repro_aliases"/>
      <w:r>
        <w:t xml:space="preserve">S5.6.</w:t>
      </w:r>
      <w:bookmarkEnd w:id="292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3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93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94" w:name="ref_sec_repro_acronyms"/>
      <w:r>
        <w:t xml:space="preserve">S5.7.</w:t>
      </w:r>
      <w:bookmarkEnd w:id="294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 This list covers</w:t>
      </w:r>
      <w:r>
        <w:t xml:space="preserve"> </w:t>
      </w:r>
      <w:r>
        <w:t xml:space="preserve">the acronyms that appear in prose but carry no symbol, so a reader meeting one</w:t>
      </w:r>
      <w:r>
        <w:t xml:space="preserve"> </w:t>
      </w:r>
      <w:r>
        <w:t xml:space="preserve">out of order does not have to search for its 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5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95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96" w:name="ref_sec_repro_params_detail"/>
      <w:r>
        <w:t xml:space="preserve">S5.8.</w:t>
      </w:r>
      <w:bookmarkEnd w:id="296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7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97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98" w:name="ref_sec_repro_opspec"/>
      <w:r>
        <w:t xml:space="preserve">S5.9.</w:t>
      </w:r>
      <w:bookmarkEnd w:id="298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strictly negative)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In the frozen configuration the freeze test, the recovery test</w:t>
      </w:r>
      <w:r>
        <w:t xml:space="preserve"> </w:t>
      </w:r>
      <w:r>
        <w:t xml:space="preserve">and the mass redistribution act on the pooled acceptance record and the</w:t>
      </w:r>
      <w:r>
        <w:t xml:space="preserve"> </w:t>
      </w:r>
      <w:r>
        <w:t xml:space="preserve">mixed probability vector, and the redistributed vector is written back over</w:t>
      </w:r>
      <w:r>
        <w:t xml:space="preserve"> </w:t>
      </w:r>
      <w:r>
        <w:t xml:space="preserve">both halves of the top/bottom memory, so that memory is reset whenever any</w:t>
      </w:r>
      <w:r>
        <w:t xml:space="preserve"> </w:t>
      </w:r>
      <w:r>
        <w:t xml:space="preserve">arm is frozen; a per-half scope is implemented but not enabled.</w:t>
      </w:r>
      <w:r>
        <w:t xml:space="preserve"> </w:t>
      </w:r>
      <w:r>
        <w:t xml:space="preserve">ARGP retirement branch,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ARGP retirement branch, _dt_core.py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99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99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28d4cc4701d48a220f1ac685b378714f9914200"/>
    <w:p>
      <w:pPr>
        <w:pStyle w:val="Heading4"/>
      </w:pPr>
      <w:r>
        <w:t xml:space="preserve">Eigenframe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</w:t>
      </w:r>
      <m:oMath>
        <m:r>
          <m:t>e</m:t>
        </m:r>
        <m:r>
          <m:t>v</m:t>
        </m:r>
        <m:r>
          <m:t>a</m:t>
        </m:r>
        <m:r>
          <m:t>l</m:t>
        </m:r>
        <m:r>
          <m:rPr>
            <m:sty m:val="p"/>
          </m:rPr>
          <m:t>_</m:t>
        </m:r>
        <m:r>
          <m:t>b</m:t>
        </m:r>
        <m:r>
          <m:t>u</m:t>
        </m:r>
        <m:r>
          <m:t>d</m:t>
        </m:r>
        <m:r>
          <m:t>g</m:t>
        </m:r>
        <m:r>
          <m:t>e</m:t>
        </m:r>
        <m:r>
          <m:t>t</m:t>
        </m:r>
        <m:r>
          <m:rPr>
            <m:sty m:val="p"/>
          </m:rPr>
          <m:t>_</m:t>
        </m:r>
        <m:r>
          <m:t>f</m:t>
        </m:r>
        <m:r>
          <m:t>r</m:t>
        </m:r>
        <m:r>
          <m:t>a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 post-search cooldown, and a post-restart block of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generations, the same at</w:t>
      </w:r>
      <w:r>
        <w:t xml:space="preserve"> </w:t>
      </w:r>
      <w:r>
        <w:t xml:space="preserve">every tier, that is armed only when a budget-safe escape has actually reseeded</w:t>
      </w:r>
      <w:r>
        <w:t xml:space="preserve"> </w:t>
      </w:r>
      <w:r>
        <w:t xml:space="preserve">rows — an escape whose Cauchy rescue cancelled the restart does not arm it.</w:t>
      </w:r>
      <w:r>
        <w:t xml:space="preserve"> </w:t>
      </w:r>
      <w:r>
        <w:t xml:space="preserve">The parameter table’s budget/ROI gate adds one further condition at the highest</w:t>
      </w:r>
      <w:r>
        <w:t xml:space="preserve"> </w:t>
      </w:r>
      <w:r>
        <w:t xml:space="preserve">tier.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300" w:name="ref_sec_repro_release"/>
      <w:r>
        <w:t xml:space="preserve">S5.10.</w:t>
      </w:r>
      <w:bookmarkEnd w:id="300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article, except those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ref_sec_supp_revision \h </w:instrText>
      </w:r>
      <w:r>
        <w:fldChar w:fldCharType="separate"/>
      </w:r>
      <w:r>
        <w:t xml:space="preserve">S9</w:t>
      </w:r>
      <w:r>
        <w:fldChar w:fldCharType="end"/>
      </w:r>
      <w:r>
        <w:t xml:space="preserve">, whose compound provenance that section</w:t>
      </w:r>
      <w:r>
        <w:t xml:space="preserve"> </w:t>
      </w:r>
      <w:r>
        <w:t xml:space="preserve">states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67d9345f9502a9a584e645fa8948f60a61d70e29), whose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(613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301" w:name="ref_sec_supp_ablation"/>
      <w:r>
        <w:t xml:space="preserve">S6.</w:t>
      </w:r>
      <w:bookmarkEnd w:id="301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302" w:name="ref_sec_supp_ablation_design"/>
      <w:r>
        <w:t xml:space="preserve">S6.1.</w:t>
      </w:r>
      <w:bookmarkEnd w:id="302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303" w:name="ref_sec_supp_ablation_stats"/>
      <w:r>
        <w:t xml:space="preserve">S6.2.</w:t>
      </w:r>
      <w:bookmarkEnd w:id="303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 </w:t>
      </w:r>
      <w:r>
        <w:fldChar w:fldCharType="begin"/>
      </w:r>
      <w:r>
        <w:instrText xml:space="preserve"> CITATION friedman1937use \l 1033 \m demsar2006statistical </w:instrText>
      </w:r>
      <w:r>
        <w:fldChar w:fldCharType="separate"/>
      </w:r>
      <w:r>
        <w:t xml:space="preserve">[8,9]</w:t>
      </w:r>
      <w:r>
        <w:fldChar w:fldCharType="end"/>
      </w:r>
      <w:r>
        <w:t xml:space="preserve">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Holm-corrected</w:t>
      </w:r>
      <w:r>
        <w:t xml:space="preserve"> </w:t>
      </w:r>
      <w:r>
        <w:t xml:space="preserve">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4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304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305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5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6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306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</w:t>
      </w:r>
      <w:r>
        <w:t xml:space="preserve"> </w:t>
      </w:r>
      <w:r>
        <w:t xml:space="preserve">Holm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307" w:name="ref_sec_supp_ablation_findings"/>
      <w:r>
        <w:t xml:space="preserve">S6.3.</w:t>
      </w:r>
      <w:bookmarkEnd w:id="307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308" w:name="ref_sec_supp_ablation_limits"/>
      <w:r>
        <w:t xml:space="preserve">S6.4.</w:t>
      </w:r>
      <w:bookmarkEnd w:id="308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309" w:name="ref_sec_supp_ablation_sgsm"/>
      <w:r>
        <w:t xml:space="preserve">S6.5.</w:t>
      </w:r>
      <w:bookmarkEnd w:id="309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is measured by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computed</w:t>
      </w:r>
      <w:r>
        <w:t xml:space="preserve"> </w:t>
      </w:r>
      <w:r>
        <w:t xml:space="preserve">per function on the raw runs and averaged over functions; the four cells</w:t>
      </w:r>
      <w:r>
        <w:t xml:space="preserve"> </w:t>
      </w:r>
      <w:r>
        <w:t xml:space="preserve">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the same decision criterion the</w:t>
      </w:r>
      <w:r>
        <w:t xml:space="preserve"> </w:t>
      </w:r>
      <w:r>
        <w:t xml:space="preserve">main text applies to the primary suites —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0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310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which</w:t>
      </w:r>
      <w:r>
        <w:t xml:space="preserve"> </w:t>
      </w:r>
      <w:r>
        <w:t xml:space="preserve">of its parts carries the effect—and in particular whether the learned</w:t>
      </w:r>
      <w:r>
        <w:t xml:space="preserve"> </w:t>
      </w:r>
      <w:r>
        <w:t xml:space="preserve">eigenbasis outperforms coordinate axes—remains unidentified, 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(the no_sgsm row is itself null, but it</w:t>
      </w:r>
      <w:r>
        <w:t xml:space="preserve"> </w:t>
      </w:r>
      <w:r>
        <w:t xml:space="preserve">disables the memory entirely — removing its linkage channel as well as its</w:t>
      </w:r>
      <w:r>
        <w:t xml:space="preserve"> </w:t>
      </w:r>
      <w:r>
        <w:t xml:space="preserve">eigenbasis — so it cannot separate the basis from the endgame;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does that directly).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311" w:name="ref_sec_supp_ablation_subset"/>
      <w:r>
        <w:t xml:space="preserve">S6.6.</w:t>
      </w:r>
      <w:bookmarkEnd w:id="311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2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12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 (all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13" w:name="ref_sec_supp_ablation_caveats"/>
      <w:r>
        <w:t xml:space="preserve">S6.7.</w:t>
      </w:r>
      <w:bookmarkEnd w:id="313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14" w:name="ref_sec_supp_cec2013lsgo"/>
      <w:r>
        <w:t xml:space="preserve">S7.</w:t>
      </w:r>
      <w:bookmarkEnd w:id="314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15" w:name="ref_sec_supp_lsgo_protocol"/>
      <w:r>
        <w:t xml:space="preserve">S7.1.</w:t>
      </w:r>
      <w:bookmarkEnd w:id="315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(statistical_analysis_plan_addendum_cec2020_lsgo.md), signed</w:t>
      </w:r>
      <w:r>
        <w:t xml:space="preserve"> </w:t>
      </w:r>
      <w:r>
        <w:t xml:space="preserve">before any result existed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first-party ports of SHADE-ILS, MOS</w:t>
      </w:r>
      <w:r>
        <w:t xml:space="preserve"> </w:t>
      </w:r>
      <w:r>
        <w:t xml:space="preserve">and DECC-G, executed on 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analysed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16" w:name="ref_sec_supp_lsgo_config"/>
      <w:r>
        <w:t xml:space="preserve">S7.2.</w:t>
      </w:r>
      <w:bookmarkEnd w:id="316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—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the</w:t>
      </w:r>
      <w:r>
        <w:t xml:space="preserve"> </w:t>
      </w:r>
      <w:r>
        <w:t xml:space="preserve">population rule is not a controlled variable on this suite, and the</w:t>
      </w:r>
      <w:r>
        <w:t xml:space="preserve"> </w:t>
      </w:r>
      <w:r>
        <w:t xml:space="preserve">matched-population control of Section </w:t>
      </w:r>
      <w:r>
        <w:fldChar w:fldCharType="begin"/>
      </w:r>
      <w:r>
        <w:instrText xml:space="preserve"> REF ref_sec_supp_rev_np \h </w:instrText>
      </w:r>
      <w:r>
        <w:fldChar w:fldCharType="separate"/>
      </w:r>
      <w:r>
        <w:t xml:space="preserve">S9.2</w:t>
      </w:r>
      <w:r>
        <w:fldChar w:fldCharType="end"/>
      </w:r>
      <w:r>
        <w:t xml:space="preserve"> covers</w:t>
      </w:r>
      <w:r>
        <w:t xml:space="preserve"> </w:t>
      </w:r>
      <w:r>
        <w:t xml:space="preserve">CEC2017 only.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17" w:name="ref_sec_supp_lsgo_ranks"/>
      <w:r>
        <w:t xml:space="preserve">S7.3.</w:t>
      </w:r>
      <w:bookmarkEnd w:id="317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8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18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19" w:name="ref_sec_supp_lsgo_pairwise"/>
      <w:r>
        <w:t xml:space="preserve">S7.4.</w:t>
      </w:r>
      <w:bookmarkEnd w:id="319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0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20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21" w:name="ref_sec_supp_lsgo_runlevel"/>
      <w:r>
        <w:t xml:space="preserve">S7.5.</w:t>
      </w:r>
      <w:bookmarkEnd w:id="321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2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22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23" w:name="ref_sec_supp_lsgo_effects"/>
      <w:r>
        <w:t xml:space="preserve">S7.6.</w:t>
      </w:r>
      <w:bookmarkEnd w:id="323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4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24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25" w:name="ref_sec_supp_lsgo_detail"/>
      <w:r>
        <w:t xml:space="preserve">S7.7.</w:t>
      </w:r>
      <w:bookmarkEnd w:id="325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6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26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7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27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28" w:name="ref_sec_supp_cec2020"/>
      <w:r>
        <w:t xml:space="preserve">S8.</w:t>
      </w:r>
      <w:bookmarkEnd w:id="328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commit-level and auditable in the repository: the</w:t>
      </w:r>
      <w:r>
        <w:t xml:space="preserve"> </w:t>
      </w:r>
      <w:r>
        <w:t xml:space="preserve">addendum’s signing commit precedes every CEC2020 datum, 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dimension-tiered design,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29" w:name="ref_sec_supp_cec2020_standing"/>
      <w:r>
        <w:t xml:space="preserve">S8.1.</w:t>
      </w:r>
      <w:bookmarkEnd w:id="329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0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30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31" w:name="ref_sec_supp_cec2020_omnibus"/>
      <w:r>
        <w:t xml:space="preserve">S8.2.</w:t>
      </w:r>
      <w:bookmarkEnd w:id="331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2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32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33" w:name="ref_sec_supp_cec2020_pairwise"/>
      <w:r>
        <w:t xml:space="preserve">S8.3.</w:t>
      </w:r>
      <w:bookmarkEnd w:id="333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4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34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5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35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36" w:name="ref_sec_supp_cec2020_effects"/>
      <w:r>
        <w:t xml:space="preserve">S8.4.</w:t>
      </w:r>
      <w:bookmarkEnd w:id="336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7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37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38" w:name="ref_sec_supp_cec2020_robustness"/>
      <w:r>
        <w:t xml:space="preserve">S8.5.</w:t>
      </w:r>
      <w:bookmarkEnd w:id="338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9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39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40" w:name="ref_sec_supp_cec2020_detail"/>
      <w:r>
        <w:t xml:space="preserve">S8.6.</w:t>
      </w:r>
      <w:bookmarkEnd w:id="340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2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4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4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44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4" w:name="lbl_sec_supp_revision"/>
    <w:p>
      <w:pPr>
        <w:pStyle w:val="Heading1"/>
      </w:pPr>
      <w:bookmarkStart w:id="345" w:name="ref_sec_supp_revision"/>
      <w:r>
        <w:t xml:space="preserve">S9.</w:t>
      </w:r>
      <w:bookmarkEnd w:id="345"/>
      <w:r>
        <w:tab/>
      </w:r>
      <w:r>
        <w:t xml:space="preserve"> Mechanism-Isolation and Sensitivity Experiments</w:t>
      </w:r>
    </w:p>
    <w:p>
      <w:pPr>
        <w:pStyle w:val="FirstParagraph"/>
      </w:pPr>
      <w:r>
        <w:t xml:space="preserve">The five experiments in this section isolate design choices that</w:t>
      </w:r>
      <w:r>
        <w:t xml:space="preserve"> </w:t>
      </w:r>
      <w:r>
        <w:t xml:space="preserve">the original design introduced together — the refinement basis, the</w:t>
      </w:r>
      <w:r>
        <w:t xml:space="preserve"> </w:t>
      </w:r>
      <w:r>
        <w:t xml:space="preserve">population rule, the tier profiles, and the sensitivity of the</w:t>
      </w:r>
      <w:r>
        <w:t xml:space="preserve"> </w:t>
      </w:r>
      <w:r>
        <w:t xml:space="preserve">configuration’s constants (Section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) and of</w:t>
      </w:r>
      <w:r>
        <w:t xml:space="preserve"> </w:t>
      </w:r>
      <w:r>
        <w:t xml:space="preserve">its tier boundaries (Section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).</w:t>
      </w:r>
      <w:r>
        <w:t xml:space="preserve"> </w:t>
      </w:r>
      <w:r>
        <w:t xml:space="preserve">Their designs, estimands, statistical conventions and the wording to</w:t>
      </w:r>
      <w:r>
        <w:t xml:space="preserve"> </w:t>
      </w:r>
      <w:r>
        <w:t xml:space="preserve">be used for each unfavourable outcome were registered in a signed addendum</w:t>
      </w:r>
      <w:r>
        <w:t xml:space="preserve"> </w:t>
      </w:r>
      <w:r>
        <w:t xml:space="preserve">before any of them produced a result; the deviations discovered during</w:t>
      </w:r>
      <w:r>
        <w:t xml:space="preserve"> </w:t>
      </w:r>
      <w:r>
        <w:t xml:space="preserve">post-hoc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in the repository</w:t>
      </w:r>
      <w:r>
        <w:t xml:space="preserve"> </w:t>
      </w:r>
      <w:r>
        <w:t xml:space="preserve">named in the Data Availability Statement, so a reader can</w:t>
      </w:r>
      <w:r>
        <w:t xml:space="preserve"> </w:t>
      </w:r>
      <w:r>
        <w:t xml:space="preserve">check that the unfavourable-outcome wording predates the outcomes rather than</w:t>
      </w:r>
      <w:r>
        <w:t xml:space="preserve"> </w:t>
      </w:r>
      <w:r>
        <w:t xml:space="preserve">take it on trust.</w:t>
      </w:r>
    </w:p>
    <w:p>
      <w:pPr>
        <w:pStyle w:val="BodyText"/>
      </w:pPr>
      <w:r>
        <w:t xml:space="preserve">The evidence for this section is compound, and is named here because no</w:t>
      </w:r>
      <w:r>
        <w:t xml:space="preserve"> </w:t>
      </w:r>
      <w:r>
        <w:t xml:space="preserve">single release carries it: the arms of the first four experiments come from</w:t>
      </w:r>
      <w:r>
        <w:t xml:space="preserve"> </w:t>
      </w:r>
      <w:r>
        <w:t xml:space="preserve">the separate, non-superseding release rev-rel-2026-08-26-dd42d37eb; the boundary arms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 come from the further additive release</w:t>
      </w:r>
      <w:r>
        <w:t xml:space="preserve"> </w:t>
      </w:r>
      <w:r>
        <w:t xml:space="preserve">rev2-rel-2026-08-28-203c78744; the comparator columns</w:t>
      </w:r>
      <w:r>
        <w:t xml:space="preserve"> </w:t>
      </w:r>
      <w:r>
        <w:t xml:space="preserve">against which they are read come from the primary release; and the</w:t>
      </w:r>
      <w:r>
        <w:t xml:space="preserve"> </w:t>
      </w:r>
      <w:r>
        <w:t xml:space="preserve">no-refinement arm of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comes from the frozen</w:t>
      </w:r>
      <w:r>
        <w:t xml:space="preserve"> </w:t>
      </w:r>
      <w:r>
        <w:t xml:space="preserve">ablation release. Nothing in any of them is re-minted by this section.</w:t>
      </w:r>
      <w:r>
        <w:t xml:space="preserve"> </w:t>
      </w:r>
      <w:r>
        <w:t xml:space="preserve">Across-function Wilcoxon tests in this section apply the manuscript’s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before ranking; the first analysis release of E1-E3 used</w:t>
      </w:r>
      <w:r>
        <w:t xml:space="preserve"> </w:t>
      </w:r>
      <w:r>
        <w:t xml:space="preserve">the exact-zero convention instead, and that deviation, its correction, and its</w:t>
      </w:r>
      <w:r>
        <w:t xml:space="preserve"> </w:t>
      </w:r>
      <w:r>
        <w:t xml:space="preserve">one decision-level consequence are recorded as pre-registration Amendments</w:t>
      </w:r>
      <w:r>
        <w:t xml:space="preserve"> </w:t>
      </w:r>
      <w:r>
        <w:t xml:space="preserve">A5-A6 and restated at the point of use below.</w:t>
      </w:r>
      <w:r>
        <w:t xml:space="preserve"> </w:t>
      </w: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46" w:name="ref_sec_supp_rev_basis"/>
      <w:r>
        <w:t xml:space="preserve">S9.1.</w:t>
      </w:r>
      <w:bookmarkEnd w:id="346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— no refinement, the coordinate</w:t>
      </w:r>
      <w:r>
        <w:t xml:space="preserve"> </w:t>
      </w:r>
      <w:r>
        <w:t xml:space="preserve">axes, and the learned eigenframe —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7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47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over the paired runs of all scored functions</w:t>
      </w:r>
      <w:r>
        <w:t xml:space="preserve"> </w:t>
      </w:r>
      <w:r>
        <w:t xml:space="preserve">pooled — not the per-function-averaged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of Section S6.5 —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favours the second. W/T/L counts functions,</w:t>
      </w:r>
      <w:r>
        <w:t xml:space="preserve"> </w:t>
      </w:r>
      <w:r>
        <w:t xml:space="preserve">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the same band is applied before ranking,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reports the functions remaining in each ranking</w:t>
      </w:r>
      <w:r>
        <w:t xml:space="preserve"> </w:t>
      </w:r>
      <w:r>
        <w:t xml:space="preserve">(Amendments A5-A6).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4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): eigenframe versus coordinate axes versus no refinement at fixed enablement."/>
        <w:tblDescription w:val="Refinement-basis contrast on CEC2017 (E1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 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two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holds and, under the stated tie rule, is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28</m:t>
        </m:r>
      </m:oMath>
      <w:r>
        <w:t xml:space="preserve">; the exact-zero</w:t>
      </w:r>
      <w:r>
        <w:t xml:space="preserve"> </w:t>
      </w:r>
      <w:r>
        <w:t xml:space="preserve">convention of the first analysis release gave</w:t>
      </w:r>
      <w:r>
        <w:t xml:space="preserve"> </w:t>
      </w:r>
      <m:oMath>
        <m:r>
          <m:t>0.054</m:t>
        </m:r>
      </m:oMath>
      <w:r>
        <w:t xml:space="preserve">, and the correction is</w:t>
      </w:r>
      <w:r>
        <w:t xml:space="preserve"> </w:t>
      </w:r>
      <w:r>
        <w:t xml:space="preserve">recorded as Amendments A5-A6). The conclusion the paper draws is</w:t>
      </w:r>
      <w:r>
        <w:t xml:space="preserve"> </w:t>
      </w:r>
      <w:r>
        <w:t xml:space="preserve">restricted to what was tested: at both active dimensions on this suite —</w:t>
      </w:r>
      <w:r>
        <w:t xml:space="preserve"> </w:t>
      </w:r>
      <w:r>
        <w:t xml:space="preserve">sharply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marginally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—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48" w:name="ref_sec_supp_rev_np"/>
      <w:r>
        <w:t xml:space="preserve">S9.2.</w:t>
      </w:r>
      <w:bookmarkEnd w:id="348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submitted manuscript disclosed but did not control.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diversity archive — contrary to a statement in the</w:t>
      </w:r>
      <w:r>
        <w:t xml:space="preserve"> </w:t>
      </w:r>
      <w:r>
        <w:t xml:space="preserve">registration, corrected there by amendment —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9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49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): the panel re-ranked with only the DT-GSK column substituted."/>
        <w:tblDescription w:val="DT-GSK at the comparators' population value (E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matched-initial-population control shows the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rule does not wholly</w:t>
      </w:r>
      <w:r>
        <w:t xml:space="preserve"> </w:t>
      </w:r>
      <w:r>
        <w:t xml:space="preserve">explain the reported standing, but contributes materially to part of it.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the main text</w:t>
      </w:r>
      <w:r>
        <w:t xml:space="preserve"> </w:t>
      </w:r>
      <w:r>
        <w:t xml:space="preserve">records this where the asymmetry is introduced and again in its discussion.</w:t>
      </w:r>
      <w:r>
        <w:t xml:space="preserve"> </w:t>
      </w:r>
      <w:r>
        <w:t xml:space="preserve">Friedman ranks are relative:</w:t>
      </w:r>
      <w:r>
        <w:t xml:space="preserve"> </w:t>
      </w:r>
      <w:r>
        <w:t xml:space="preserve">substituting the DT-GSK column re-ranks the whole panel, so the six</w:t>
      </w:r>
      <w:r>
        <w:t xml:space="preserve"> </w:t>
      </w:r>
      <w:r>
        <w:t xml:space="preserve">comparator columns move as well. No entry here may be differenced against the</w:t>
      </w:r>
      <w:r>
        <w:t xml:space="preserve"> </w:t>
      </w:r>
      <w:r>
        <w:t xml:space="preserve">corresponding entry in the main-text rank table, and no descriptive aggregate</w:t>
      </w:r>
      <w:r>
        <w:t xml:space="preserve"> </w:t>
      </w:r>
      <w:r>
        <w:t xml:space="preserve">formed from this table is comparable with the one reported there.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also the one dimension at which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falls below the panel constant, so</w:t>
      </w:r>
      <w:r>
        <w:t xml:space="preserve"> </w:t>
      </w:r>
      <w:r>
        <w:t xml:space="preserve">the control raises rather than lowers DT-GSK’s initial population there; the</w:t>
      </w:r>
      <w:r>
        <w:t xml:space="preserve"> </w:t>
      </w:r>
      <w:r>
        <w:t xml:space="preserve">paired difference at that dimension is nonetheless indistinguishable from zero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0.517</m:t>
        </m:r>
      </m:oMath>
      <w:r>
        <w:t xml:space="preserve">).</w:t>
      </w:r>
    </w:p>
    <w:bookmarkEnd w:id="210"/>
    <w:bookmarkStart w:id="211" w:name="lbl_sec_supp_rev_tiering"/>
    <w:p>
      <w:pPr>
        <w:pStyle w:val="Heading2"/>
      </w:pPr>
      <w:bookmarkStart w:id="350" w:name="ref_sec_supp_rev_tiering"/>
      <w:r>
        <w:t xml:space="preserve">S9.3.</w:t>
      </w:r>
      <w:bookmarkEnd w:id="350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submitted evidence never compared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tier’s parameter dictionary, and separately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tier’s dictionary,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 —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1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51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carry the tiered configuration by construction and serve as the</w:t>
      </w:r>
      <w:r>
        <w:t xml:space="preserve"> </w:t>
      </w:r>
      <w:r>
        <w:t xml:space="preserve">design’s internal control. Below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arm ties</w:t>
      </w:r>
      <w:r>
        <w:t xml:space="preserve"> </w:t>
      </w:r>
      <w:r>
        <w:t xml:space="preserve">throughout;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does not. A promoted re-execution (release</w:t>
      </w:r>
      <w:r>
        <w:t xml:space="preserve"> </w:t>
      </w:r>
      <w:r>
        <w:t xml:space="preserve">g1-rel-2026-08-28-65b3d39e6) resolves that residual as a build difference:</w:t>
      </w:r>
      <w:r>
        <w:t xml:space="preserve"> </w:t>
      </w:r>
      <w:r>
        <w:t xml:space="preserve">the current build reproduces the transplant arm on all 26 divergent cells and</w:t>
      </w:r>
      <w:r>
        <w:t xml:space="preserve"> </w:t>
      </w:r>
      <w:r>
        <w:t xml:space="preserve">the archived values on none, and reproduces both wherever the two legs</w:t>
      </w:r>
      <w:r>
        <w:t xml:space="preserve"> </w:t>
      </w:r>
      <w:r>
        <w:t xml:space="preserve">agree.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) on CEC2017."/>
        <w:tblDescription w:val="Tiered configuration versus the two tier-constant transplants (E3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 three of four dimensions,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as inferior to the tested transplant at that dimension — a</w:t>
      </w:r>
      <w:r>
        <w:t xml:space="preserve"> </w:t>
      </w:r>
      <w:r>
        <w:t xml:space="preserve">configuration-level weakness, claimed neither for nor against the tiering</w:t>
      </w:r>
      <w:r>
        <w:t xml:space="preserve"> </w:t>
      </w:r>
      <w:r>
        <w:t xml:space="preserve">principle itself. This localizes a</w:t>
      </w:r>
      <w:r>
        <w:t xml:space="preserve"> </w:t>
      </w:r>
      <w:r>
        <w:t xml:space="preserve">weakness the submitted manuscript already disclosed descriptively 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 —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52" w:name="ref_sec_supp_rev_sensitivity"/>
      <w:r>
        <w:t xml:space="preserve">S9.4.</w:t>
      </w:r>
      <w:bookmarkEnd w:id="352"/>
      <w:r>
        <w:tab/>
      </w:r>
      <w:r>
        <w:t xml:space="preserve"> Selected-Constant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 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Stability under a larger perturbation implies stability under a</w:t>
      </w:r>
      <w:r>
        <w:t xml:space="preserve"> </w:t>
      </w:r>
      <w:r>
        <w:t xml:space="preserve">smaller one, so the robustness reading holds for those cells in magnitude; what</w:t>
      </w:r>
      <w:r>
        <w:t xml:space="preserve"> </w:t>
      </w:r>
      <w:r>
        <w:t xml:space="preserve">is absent is coverage on the untested side, and no claim is made there.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3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53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substituted, so the whole panel re-ranks and no rank here may be</w:t>
      </w:r>
      <w:r>
        <w:t xml:space="preserve"> </w:t>
      </w:r>
      <w:r>
        <w:t xml:space="preserve">differenced against the main-text rank table; W/T/L counts functions where the</w:t>
      </w:r>
      <w:r>
        <w:t xml:space="preserve"> </w:t>
      </w:r>
      <w:r>
        <w:t xml:space="preserve">shipped configuration beats the perturbed one; Ratio is the median across</w:t>
      </w:r>
      <w:r>
        <w:t xml:space="preserve"> </w:t>
      </w:r>
      <w:r>
        <w:t xml:space="preserve">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 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). Descriptive only: no test is performed and no p-value is reported."/>
        <w:tblDescription w:val="EXPLORATORY one-factor parameter sensitivity (E4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 cent of unity throughout. The single</w:t>
      </w:r>
      <w:r>
        <w:t xml:space="preserve"> </w:t>
      </w:r>
      <w:r>
        <w:t xml:space="preserve">exception is favourable and instructive — 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 —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in magnitude under the levels executed; that</w:t>
      </w:r>
      <w:r>
        <w:t xml:space="preserve"> </w:t>
      </w:r>
      <w:r>
        <w:t xml:space="preserve">includes the one constant the project’s own configuration record had</w:t>
      </w:r>
      <w:r>
        <w:t xml:space="preserve"> </w:t>
      </w:r>
      <w:r>
        <w:t xml:space="preserve">previously flagged as sensitive on a different suite.</w:t>
      </w:r>
    </w:p>
    <w:bookmarkEnd w:id="212"/>
    <w:bookmarkStart w:id="213" w:name="lbl_sec_supp_rev_boundary"/>
    <w:p>
      <w:pPr>
        <w:pStyle w:val="Heading2"/>
      </w:pPr>
      <w:bookmarkStart w:id="354" w:name="ref_sec_supp_rev_boundary"/>
      <w:r>
        <w:t xml:space="preserve">S9.5.</w:t>
      </w:r>
      <w:bookmarkEnd w:id="354"/>
      <w:r>
        <w:tab/>
      </w:r>
      <w:r>
        <w:t xml:space="preserve"> Dimension-Boundary Sensitivity</w:t>
      </w:r>
    </w:p>
    <w:p>
      <w:pPr>
        <w:pStyle w:val="FirstParagraph"/>
      </w:pPr>
      <w:r>
        <w:t xml:space="preserve">Registered before execution as pre-registration Amendment A4: the study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varies constants within tiers; this</w:t>
      </w:r>
      <w:r>
        <w:t xml:space="preserve"> </w:t>
      </w:r>
      <w:r>
        <w:t xml:space="preserve">one varies the tier boundaries themselves. Each cell shifts one boundary of the frozen</w:t>
      </w:r>
      <w:r>
        <w:t xml:space="preserve"> </w:t>
      </w:r>
      <w:r>
        <w:t xml:space="preserve">profile just far enough to change the profile assigned to the nearest official</w:t>
      </w:r>
      <w:r>
        <w:t xml:space="preserve"> </w:t>
      </w:r>
      <w:r>
        <w:t xml:space="preserve">CEC2017 dimension, and re-runs DT-GSK at that dimension under the</w:t>
      </w:r>
      <w:r>
        <w:t xml:space="preserve"> </w:t>
      </w:r>
      <w:r>
        <w:t xml:space="preserve">transplanted profile — mechanically a single-dimension transplant of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kind, so a shift changes the complete</w:t>
      </w:r>
      <w:r>
        <w:t xml:space="preserve"> </w:t>
      </w:r>
      <w:r>
        <w:t xml:space="preserve">resolved profile and, by the registered rule, no difference is attributed to</w:t>
      </w:r>
      <w:r>
        <w:t xml:space="preserve"> </w:t>
      </w:r>
      <w:r>
        <w:t xml:space="preserve">any individual mechanism. Four cells were executed at 15 paired runs on the</w:t>
      </w:r>
      <w:r>
        <w:t xml:space="preserve"> </w:t>
      </w:r>
      <w:r>
        <w:t xml:space="preserve">unified schedule, against the frozen tiered leg restricted to the same runs;</w:t>
      </w:r>
      <w:r>
        <w:t xml:space="preserve"> </w:t>
      </w:r>
      <w:r>
        <w:t xml:space="preserve">the fifth registered cell (boundary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) coincides by</w:t>
      </w:r>
      <w:r>
        <w:t xml:space="preserve"> </w:t>
      </w:r>
      <w:r>
        <w:t xml:space="preserve">construction with the U-low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reuses those 51 runs</w:t>
      </w:r>
      <w:r>
        <w:t xml:space="preserve"> </w:t>
      </w:r>
      <w:r>
        <w:t xml:space="preserve">rather than re-executing them. The T2/T3 boundary admits only the upper-side</w:t>
      </w:r>
      <w:r>
        <w:t xml:space="preserve"> </w:t>
      </w:r>
      <w:r>
        <w:t xml:space="preserve">shift: no official dimension lies between 50 and 100. The new arms are</w:t>
      </w:r>
      <w:r>
        <w:t xml:space="preserve"> </w:t>
      </w:r>
      <w:r>
        <w:t xml:space="preserve">carried by the separate additive release rev2-rel-2026-08-28-203c78744;</w:t>
      </w:r>
      <w:r>
        <w:t xml:space="preserve"> </w:t>
      </w:r>
      <w:r>
        <w:t xml:space="preserve">nothing earlier is re-minted.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5" w:name="ref_tab_rev_e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47</w:t>
      </w:r>
      <w:r>
        <w:fldChar w:fldCharType="end"/>
      </w:r>
      <w:bookmarkEnd w:id="355"/>
      <w:r>
        <w:rPr>
          <w:b/>
        </w:rPr>
        <w:t xml:space="preserve">. </w:t>
      </w:r>
      <w:r>
        <w:t xml:space="preserve"> Dimension-boundary sensitivity on CEC2017 (E5). One Holm family</w:t>
      </w:r>
      <w:r>
        <w:t xml:space="preserve"> </w:t>
      </w:r>
      <w:r>
        <w:t xml:space="preserve">across the five registered boundary contrasts; paired Wilcoxon on</w:t>
      </w:r>
      <w:r>
        <w:t xml:space="preserve"> </w:t>
      </w:r>
      <w:r>
        <w:t xml:space="preserve">per-function means under the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rule, against the frozen</w:t>
      </w:r>
      <w:r>
        <w:t xml:space="preserve"> </w:t>
      </w:r>
      <w:r>
        <w:t xml:space="preserve">tiered leg restricted to the same runs; W/T/L counted from the tiered side;</w:t>
      </w:r>
      <w:r>
        <w:t xml:space="preserve"> </w:t>
      </w:r>
      <w:r>
        <w:t xml:space="preserve">the ordinal column re-ranks the panel with only the DT-GSK column</w:t>
      </w:r>
      <w:r>
        <w:t xml:space="preserve"> </w:t>
      </w:r>
      <w:r>
        <w:t xml:space="preserve">substituted.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reuses the U-low arm (51</w:t>
      </w:r>
      <w:r>
        <w:t xml:space="preserve"> </w:t>
      </w:r>
      <w:r>
        <w:t xml:space="preserve">runs).</w:t>
      </w:r>
    </w:p>
    <w:tbl>
      <w:tblPr>
        <w:tblStyle w:val="Table"/>
        <w:tblW w:w="57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imension-boundary sensitivity (E5, boundary half): each cell shifts one tier boundary far enough to change the profile assigned to the nearest official CEC2017 dimension."/>
        <w:tblDescription w:val="Dimension-boundary sensitivity (E5, boundary half): each cell shifts one tier boundary far enough to change the profile assigned to the nearest official CEC2017 dimension."/>
        <w:tblLook w:val="04A0" w:firstRow="1" w:lastRow="0" w:firstColumn="0" w:lastColumn="0" w:noHBand="0" w:noVBand="1"/>
      </w:tblPr>
      <w:tblGrid>
        <w:gridCol w:w="760"/>
        <w:gridCol w:w="320"/>
        <w:gridCol w:w="408"/>
        <w:gridCol w:w="584"/>
        <w:gridCol w:w="408"/>
        <w:gridCol w:w="672"/>
        <w:gridCol w:w="496"/>
        <w:gridCol w:w="496"/>
        <w:gridCol w:w="672"/>
        <w:gridCol w:w="936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Boundary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Runs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Tiered 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Reading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20-&gt;10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20/4/5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1-&gt;4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20-&gt;31 ‡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6/3/20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0.490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50-&gt;30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0.0022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5/2/22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0.478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50-&gt;51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0.411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16/0/13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T2/T3 100-&gt;101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0.0148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7/0/22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0.483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</w:tbl>
    <w:p>
      <w:pPr>
        <w:pStyle w:val="BodyText"/>
      </w:pPr>
      <w:r>
        <w:t xml:space="preserve">The result is mixed in an informative way, and the adverse cells are reported</w:t>
      </w:r>
      <w:r>
        <w:t xml:space="preserve"> </w:t>
      </w:r>
      <w:r>
        <w:t xml:space="preserve">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shipped middle profile is beaten from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sides — by the low-tier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finding restated in boundary terms) and by</w:t>
      </w:r>
      <w:r>
        <w:t xml:space="preserve"> </w:t>
      </w:r>
      <w:r>
        <w:t xml:space="preserve">the structure-tier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22 of 29</w:t>
      </w:r>
      <w:r>
        <w:t xml:space="preserve"> </w:t>
      </w:r>
      <w:r>
        <w:t xml:space="preserve">functions), each lifting the descriptive ordinal from second to 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</w:t>
      </w:r>
      <w:r>
        <w:t xml:space="preserve"> </w:t>
      </w:r>
      <w:r>
        <w:t xml:space="preserve">means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22 of 29) while the family</w:t>
      </w:r>
      <w:r>
        <w:t xml:space="preserve"> </w:t>
      </w:r>
      <w:r>
        <w:t xml:space="preserve">ordinal is unchanged at first. The boundaries are insensitive where the</w:t>
      </w:r>
      <w:r>
        <w:t xml:space="preserve"> </w:t>
      </w:r>
      <w:r>
        <w:t xml:space="preserve">narrowed contribution claims them: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shift is not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0.11</m:t>
        </m:r>
      </m:oMath>
      <w:r>
        <w:t xml:space="preserve">, the tiered arm ahead on 20 of 29 and the</w:t>
      </w:r>
      <w:r>
        <w:t xml:space="preserve"> </w:t>
      </w:r>
      <w:r>
        <w:t xml:space="preserve">transplant dropping the descriptive ordinal to fourth),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</w:t>
      </w:r>
      <w:r>
        <w:t xml:space="preserve"> </w:t>
      </w:r>
      <w:r>
        <w:t xml:space="preserve">not separated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0.41</m:t>
        </m:r>
      </m:oMath>
      <w:r>
        <w:t xml:space="preserve">). Contribution C2, as narrowed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is therefore untouched by every cell;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findings extend the disclosed profile mis-specification and enter</w:t>
      </w:r>
      <w:r>
        <w:t xml:space="preserve"> </w:t>
      </w:r>
      <w:r>
        <w:t xml:space="preserve">the limitations, not the claims.</w:t>
      </w:r>
    </w:p>
    <w:bookmarkEnd w:id="213"/>
    <w:bookmarkEnd w:id="214"/>
    <w:bookmarkStart w:id="22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4.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5.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6.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215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216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10.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21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218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219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220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221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222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223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224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225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bookmarkEnd w:id="22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Type="http://schemas.openxmlformats.org/officeDocument/2006/relationships/hyperlink" Id="rId221" Target="https://doi.org/10.1007/s00202-023-01803-9" TargetMode="External"/><Relationship Type="http://schemas.openxmlformats.org/officeDocument/2006/relationships/hyperlink" Id="rId218" Target="https://doi.org/10.1007/s13042-019-01053-x" TargetMode="External"/><Relationship Type="http://schemas.openxmlformats.org/officeDocument/2006/relationships/hyperlink" Id="rId223" Target="https://doi.org/10.1016/j.rico.2025.100542" TargetMode="External"/><Relationship Type="http://schemas.openxmlformats.org/officeDocument/2006/relationships/hyperlink" Id="rId216" Target="https://doi.org/10.1080/01621459.1937.10503522" TargetMode="External"/><Relationship Type="http://schemas.openxmlformats.org/officeDocument/2006/relationships/hyperlink" Id="rId220" Target="https://doi.org/10.1109/ACCESS.2021.3076091" TargetMode="External"/><Relationship Type="http://schemas.openxmlformats.org/officeDocument/2006/relationships/hyperlink" Id="rId225" Target="https://doi.org/10.1109/CEC.2013.6557901" TargetMode="External"/><Relationship Type="http://schemas.openxmlformats.org/officeDocument/2006/relationships/hyperlink" Id="rId224" Target="https://doi.org/10.1109/CEC.2018.8477755" TargetMode="External"/><Relationship Type="http://schemas.openxmlformats.org/officeDocument/2006/relationships/hyperlink" Id="rId219" Target="https://doi.org/10.1109/CEC48606.2020.9185901" TargetMode="External"/><Relationship Type="http://schemas.openxmlformats.org/officeDocument/2006/relationships/hyperlink" Id="rId217" Target="https://doi.org/10.1201/9780429246593" TargetMode="External"/><Relationship Type="http://schemas.openxmlformats.org/officeDocument/2006/relationships/hyperlink" Id="rId215" Target="https://doi.org/10.2307/3001968" TargetMode="External"/><Relationship Type="http://schemas.openxmlformats.org/officeDocument/2006/relationships/hyperlink" Id="rId222" Target="https://doi.org/10.3390/a18070398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1" Target="https://doi.org/10.1007/s00202-023-01803-9" TargetMode="External" /><Relationship Type="http://schemas.openxmlformats.org/officeDocument/2006/relationships/hyperlink" Id="rId218" Target="https://doi.org/10.1007/s13042-019-01053-x" TargetMode="External" /><Relationship Type="http://schemas.openxmlformats.org/officeDocument/2006/relationships/hyperlink" Id="rId223" Target="https://doi.org/10.1016/j.rico.2025.100542" TargetMode="External" /><Relationship Type="http://schemas.openxmlformats.org/officeDocument/2006/relationships/hyperlink" Id="rId216" Target="https://doi.org/10.1080/01621459.1937.10503522" TargetMode="External" /><Relationship Type="http://schemas.openxmlformats.org/officeDocument/2006/relationships/hyperlink" Id="rId220" Target="https://doi.org/10.1109/ACCESS.2021.3076091" TargetMode="External" /><Relationship Type="http://schemas.openxmlformats.org/officeDocument/2006/relationships/hyperlink" Id="rId225" Target="https://doi.org/10.1109/CEC.2013.6557901" TargetMode="External" /><Relationship Type="http://schemas.openxmlformats.org/officeDocument/2006/relationships/hyperlink" Id="rId224" Target="https://doi.org/10.1109/CEC.2018.8477755" TargetMode="External" /><Relationship Type="http://schemas.openxmlformats.org/officeDocument/2006/relationships/hyperlink" Id="rId219" Target="https://doi.org/10.1109/CEC48606.2020.9185901" TargetMode="External" /><Relationship Type="http://schemas.openxmlformats.org/officeDocument/2006/relationships/hyperlink" Id="rId217" Target="https://doi.org/10.1201/9780429246593" TargetMode="External" /><Relationship Type="http://schemas.openxmlformats.org/officeDocument/2006/relationships/hyperlink" Id="rId215" Target="https://doi.org/10.2307/3001968" TargetMode="External" /><Relationship Type="http://schemas.openxmlformats.org/officeDocument/2006/relationships/hyperlink" Id="rId222" Target="https://doi.org/10.3390/a180703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mechanism-isolation and sensitivity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further separate, non-superseding evidence releases named where they are used; no primary result is altered by any of it. All comparative wording is scoped to the seven-algorithm GSK-family panel.</vt:lpwstr>
  </property>
  <property fmtid="{D5CDD505-2E9C-101B-9397-08002B2CF9AE}" pid="3" name="date">
    <vt:lpwstr/>
  </property>
</Properties>
</file>