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terminal exploitation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The direct isolation of</w:t>
      </w:r>
      <w:r>
        <w:t xml:space="preserve"> </w:t>
      </w:r>
      <w:r>
        <w:t xml:space="preserve">Supplementary Materials Section S6.5 cannot separate the learned basis from</w:t>
      </w:r>
      <w:r>
        <w:t xml:space="preserve"> </w:t>
      </w:r>
      <w:r>
        <w:t xml:space="preserve">coordinate axes: any effect that isolation measures therefore attaches to the</w:t>
      </w:r>
      <w:r>
        <w:t xml:space="preserve"> </w:t>
      </w:r>
      <w:r>
        <w:t xml:space="preserve">deterministic, budget-exact compass endgame as a whole, not to the learned</w:t>
      </w:r>
      <w:r>
        <w:t xml:space="preserve"> </w:t>
      </w:r>
      <w:r>
        <w:t xml:space="preserve">directions. The three-arm contrast added in revision (Supplementary</w:t>
      </w:r>
      <w:r>
        <w:t xml:space="preserve"> </w:t>
      </w:r>
      <w:r>
        <w:t xml:space="preserve">Materials, Section S9.1) does separate them, and finds against the learned</w:t>
      </w:r>
      <w:r>
        <w:t xml:space="preserve"> </w:t>
      </w:r>
      <w:r>
        <w:t xml:space="preserve">basis; contribution C1 is accordingly stated basis-neutrally.</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immutable evidence releases</w:t>
      </w:r>
      <w:r>
        <w:t xml:space="preserve"> </w:t>
      </w:r>
      <w:r>
        <w:t xml:space="preserve">identified in the Data Availability Statement and the Supplementary</w:t>
      </w:r>
      <w:r>
        <w:t xml:space="preserve"> </w:t>
      </w:r>
      <w:r>
        <w:t xml:space="preserve">Materials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under</w:t>
      </w:r>
      <w:r>
        <w:t xml:space="preserve"> </w:t>
      </w:r>
      <w:r>
        <w:t xml:space="preserve">both of these robustness variants,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best mean rank per dimension column in bold) and the descriptive</w:t>
      </w:r>
      <w:r>
        <w:t xml:space="preserve"> </w:t>
      </w:r>
      <w:r>
        <w:t xml:space="preserve">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best mean rank per dimension column in bold)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leaves the</w:t>
      </w:r>
      <w:r>
        <w:t xml:space="preserve"> </w:t>
      </w:r>
      <w:r>
        <w:t xml:space="preserve">dimension-tier boundaries themselves unvaried, so their sensitivity is untested.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terminal exploitation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v2.21,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