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four round-one revision</w:t>
      </w:r>
      <w:r>
        <w:t xml:space="preserve"> </w:t>
      </w:r>
      <w:r>
        <w:t xml:space="preserve">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6" w:name="ref_sec_supp_cec2017_tables"/>
      <w:r>
        <w:t xml:space="preserve">S1.</w:t>
      </w:r>
      <w:bookmarkEnd w:id="226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7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7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2" w:name="ref_sec_supp_pairwise"/>
      <w:r>
        <w:t xml:space="preserve">S2.</w:t>
      </w:r>
      <w:bookmarkEnd w:id="232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3" w:name="ref_sec_supp_h2h"/>
      <w:r>
        <w:t xml:space="preserve">S2.1.</w:t>
      </w:r>
      <w:bookmarkEnd w:id="233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8" w:name="ref_sec_supp_cec2011"/>
      <w:r>
        <w:t xml:space="preserve">S2.2.</w:t>
      </w:r>
      <w:bookmarkEnd w:id="238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1" w:name="ref_sec_supp_cec2013"/>
      <w:r>
        <w:t xml:space="preserve">S2.3.</w:t>
      </w:r>
      <w:bookmarkEnd w:id="241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2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7" w:name="ref_sec_supp_bca"/>
      <w:r>
        <w:t xml:space="preserve">S2.4.</w:t>
      </w:r>
      <w:bookmarkEnd w:id="247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8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8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9" w:name="ref_sec_supp_posthoc"/>
      <w:r>
        <w:t xml:space="preserve">S2.5.</w:t>
      </w:r>
      <w:bookmarkEnd w:id="249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0" w:name="ref_sec_supp_rankviews"/>
      <w:r>
        <w:t xml:space="preserve">S2.6.</w:t>
      </w:r>
      <w:bookmarkEnd w:id="250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3" w:name="ref_sec_supp_convergence"/>
      <w:r>
        <w:t xml:space="preserve">S3.</w:t>
      </w:r>
      <w:bookmarkEnd w:id="253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4" w:name="ref_sec_supp_conv2017"/>
      <w:r>
        <w:t xml:space="preserve">S3.1.</w:t>
      </w:r>
      <w:bookmarkEnd w:id="254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1" w:name="ref_sec_supp_conv2011"/>
      <w:r>
        <w:t xml:space="preserve">S3.2.</w:t>
      </w:r>
      <w:bookmarkEnd w:id="271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5" w:name="ref_sec_supp_conv2013"/>
      <w:r>
        <w:t xml:space="preserve">S3.3.</w:t>
      </w:r>
      <w:bookmarkEnd w:id="275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0" w:name="ref_sec_supp_diagnostics"/>
      <w:r>
        <w:t xml:space="preserve">S4.</w:t>
      </w:r>
      <w:bookmarkEnd w:id="280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1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2" w:name="ref_sec_repro"/>
      <w:r>
        <w:t xml:space="preserve">S5.</w:t>
      </w:r>
      <w:bookmarkEnd w:id="282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3" w:name="ref_sec_repro_seeds"/>
      <w:r>
        <w:t xml:space="preserve">S5.1.</w:t>
      </w:r>
      <w:bookmarkEnd w:id="283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4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4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6" w:name="ref_sec_repro_freeze"/>
      <w:r>
        <w:t xml:space="preserve">S5.2.</w:t>
      </w:r>
      <w:bookmarkEnd w:id="286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residual, which that table’s caption</w:t>
      </w:r>
      <w:r>
        <w:t xml:space="preserve"> </w:t>
      </w:r>
      <w:r>
        <w:t xml:space="preserve">reports as unresolved.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8" w:name="ref_sec_repro_tuning"/>
      <w:r>
        <w:t xml:space="preserve">S5.3.</w:t>
      </w:r>
      <w:bookmarkEnd w:id="288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9" w:name="ref_sec_repro_limitations"/>
      <w:r>
        <w:t xml:space="preserve">S5.4.</w:t>
      </w:r>
      <w:bookmarkEnd w:id="289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0" w:name="ref_sec_repro_tieband"/>
      <w:r>
        <w:t xml:space="preserve">S5.5.</w:t>
      </w:r>
      <w:bookmarkEnd w:id="290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1" w:name="ref_sec_repro_aliases"/>
      <w:r>
        <w:t xml:space="preserve">S5.6.</w:t>
      </w:r>
      <w:bookmarkEnd w:id="291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3" w:name="ref_sec_repro_acronyms"/>
      <w:r>
        <w:t xml:space="preserve">S5.7.</w:t>
      </w:r>
      <w:bookmarkEnd w:id="293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5" w:name="ref_sec_repro_params_detail"/>
      <w:r>
        <w:t xml:space="preserve">S5.8.</w:t>
      </w:r>
      <w:bookmarkEnd w:id="295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6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6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7" w:name="ref_sec_repro_opspec"/>
      <w:r>
        <w:t xml:space="preserve">S5.9.</w:t>
      </w:r>
      <w:bookmarkEnd w:id="297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8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8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9" w:name="ref_sec_repro_release"/>
      <w:r>
        <w:t xml:space="preserve">S5.10.</w:t>
      </w:r>
      <w:bookmarkEnd w:id="299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whose compound provenance that section</w:t>
      </w:r>
      <w:r>
        <w:t xml:space="preserve"> </w:t>
      </w:r>
      <w:r>
        <w:t xml:space="preserve">states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0" w:name="ref_sec_supp_ablation"/>
      <w:r>
        <w:t xml:space="preserve">S6.</w:t>
      </w:r>
      <w:bookmarkEnd w:id="300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1" w:name="ref_sec_supp_ablation_design"/>
      <w:r>
        <w:t xml:space="preserve">S6.1.</w:t>
      </w:r>
      <w:bookmarkEnd w:id="301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2" w:name="ref_sec_supp_ablation_stats"/>
      <w:r>
        <w:t xml:space="preserve">S6.2.</w:t>
      </w:r>
      <w:bookmarkEnd w:id="302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3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3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4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5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6" w:name="ref_sec_supp_ablation_findings"/>
      <w:r>
        <w:t xml:space="preserve">S6.3.</w:t>
      </w:r>
      <w:bookmarkEnd w:id="306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7" w:name="ref_sec_supp_ablation_limits"/>
      <w:r>
        <w:t xml:space="preserve">S6.4.</w:t>
      </w:r>
      <w:bookmarkEnd w:id="307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8" w:name="ref_sec_supp_ablation_sgsm"/>
      <w:r>
        <w:t xml:space="preserve">S6.5.</w:t>
      </w:r>
      <w:bookmarkEnd w:id="308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9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9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0" w:name="ref_sec_supp_ablation_subset"/>
      <w:r>
        <w:t xml:space="preserve">S6.6.</w:t>
      </w:r>
      <w:bookmarkEnd w:id="310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1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1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2" w:name="ref_sec_supp_ablation_caveats"/>
      <w:r>
        <w:t xml:space="preserve">S6.7.</w:t>
      </w:r>
      <w:bookmarkEnd w:id="312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3" w:name="ref_sec_supp_cec2013lsgo"/>
      <w:r>
        <w:t xml:space="preserve">S7.</w:t>
      </w:r>
      <w:bookmarkEnd w:id="313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4" w:name="ref_sec_supp_lsgo_protocol"/>
      <w:r>
        <w:t xml:space="preserve">S7.1.</w:t>
      </w:r>
      <w:bookmarkEnd w:id="314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5" w:name="ref_sec_supp_lsgo_config"/>
      <w:r>
        <w:t xml:space="preserve">S7.2.</w:t>
      </w:r>
      <w:bookmarkEnd w:id="315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6" w:name="ref_sec_supp_lsgo_ranks"/>
      <w:r>
        <w:t xml:space="preserve">S7.3.</w:t>
      </w:r>
      <w:bookmarkEnd w:id="316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7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7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8" w:name="ref_sec_supp_lsgo_pairwise"/>
      <w:r>
        <w:t xml:space="preserve">S7.4.</w:t>
      </w:r>
      <w:bookmarkEnd w:id="318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9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9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0" w:name="ref_sec_supp_lsgo_runlevel"/>
      <w:r>
        <w:t xml:space="preserve">S7.5.</w:t>
      </w:r>
      <w:bookmarkEnd w:id="320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2" w:name="ref_sec_supp_lsgo_effects"/>
      <w:r>
        <w:t xml:space="preserve">S7.6.</w:t>
      </w:r>
      <w:bookmarkEnd w:id="322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4" w:name="ref_sec_supp_lsgo_detail"/>
      <w:r>
        <w:t xml:space="preserve">S7.7.</w:t>
      </w:r>
      <w:bookmarkEnd w:id="32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7" w:name="ref_sec_supp_cec2020"/>
      <w:r>
        <w:t xml:space="preserve">S8.</w:t>
      </w:r>
      <w:bookmarkEnd w:id="327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8" w:name="ref_sec_supp_cec2020_standing"/>
      <w:r>
        <w:t xml:space="preserve">S8.1.</w:t>
      </w:r>
      <w:bookmarkEnd w:id="328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0" w:name="ref_sec_supp_cec2020_omnibus"/>
      <w:r>
        <w:t xml:space="preserve">S8.2.</w:t>
      </w:r>
      <w:bookmarkEnd w:id="330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2" w:name="ref_sec_supp_cec2020_pairwise"/>
      <w:r>
        <w:t xml:space="preserve">S8.3.</w:t>
      </w:r>
      <w:bookmarkEnd w:id="332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5" w:name="ref_sec_supp_cec2020_effects"/>
      <w:r>
        <w:t xml:space="preserve">S8.4.</w:t>
      </w:r>
      <w:bookmarkEnd w:id="335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7" w:name="ref_sec_supp_cec2020_robustness"/>
      <w:r>
        <w:t xml:space="preserve">S8.5.</w:t>
      </w:r>
      <w:bookmarkEnd w:id="337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9" w:name="ref_sec_supp_cec2020_detail"/>
      <w:r>
        <w:t xml:space="preserve">S8.6.</w:t>
      </w:r>
      <w:bookmarkEnd w:id="33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0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3" w:name="lbl_sec_supp_revision"/>
    <w:p>
      <w:pPr>
        <w:pStyle w:val="Heading1"/>
      </w:pPr>
      <w:bookmarkStart w:id="344" w:name="ref_sec_supp_revision"/>
      <w:r>
        <w:t xml:space="preserve">S9.</w:t>
      </w:r>
      <w:bookmarkEnd w:id="344"/>
      <w:r>
        <w:tab/>
      </w:r>
      <w:r>
        <w:t xml:space="preserve"> Round-One Revision Experiments</w:t>
      </w:r>
    </w:p>
    <w:p>
      <w:pPr>
        <w:pStyle w:val="FirstParagraph"/>
      </w:pPr>
      <w:r>
        <w:t xml:space="preserve">The four experiments in this section were requested by the round-one</w:t>
      </w:r>
      <w:r>
        <w:t xml:space="preserve"> </w:t>
      </w:r>
      <w:r>
        <w:t xml:space="preserve">reviewers to isolate mechanisms that the submitted manuscript had introduced</w:t>
      </w:r>
      <w:r>
        <w:t xml:space="preserve"> </w:t>
      </w:r>
      <w:r>
        <w:t xml:space="preserve">together. 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under the review folder</w:t>
      </w:r>
      <w:r>
        <w:t xml:space="preserve"> </w:t>
      </w:r>
      <w:r>
        <w:t xml:space="preserve">of the repository 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added in revision come from the separate,</w:t>
      </w:r>
      <w:r>
        <w:t xml:space="preserve"> </w:t>
      </w:r>
      <w:r>
        <w:t xml:space="preserve">non-superseding release rev-rel-2026-08-26-dd42d37eb;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5" w:name="ref_sec_supp_rev_basis"/>
      <w:r>
        <w:t xml:space="preserve">S9.1.</w:t>
      </w:r>
      <w:bookmarkEnd w:id="345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6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6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00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, reviewer point R2.3): eigenframe versus coordinate axes versus no refinement at fixed enablement."/>
        <w:tblDescription w:val="Refinement-basis contrast on CEC2017 (E1, reviewer point R2.3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0.0543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appears without reaching significance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0.054</m:t>
        </m:r>
      </m:oMath>
      <w:r>
        <w:t xml:space="preserve">). The conclusion the paper draws is therefore</w:t>
      </w:r>
      <w:r>
        <w:t xml:space="preserve"> </w:t>
      </w:r>
      <w:r>
        <w:t xml:space="preserve">restricted to what was tested: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on this suite,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7" w:name="ref_sec_supp_rev_np"/>
      <w:r>
        <w:t xml:space="preserve">S9.2.</w:t>
      </w:r>
      <w:bookmarkEnd w:id="347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8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8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, reviewer points R1.3/R2.2): the panel re-ranked with only the DT-GSK column substituted."/>
        <w:tblDescription w:val="DT-GSK at the comparators' population value (E2, reviewer points R1.3/R2.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population rule is not the source of the reported standing.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49" w:name="ref_sec_supp_rev_tiering"/>
      <w:r>
        <w:t xml:space="preserve">S9.3.</w:t>
      </w:r>
      <w:bookmarkEnd w:id="349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0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0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not, and that residual is not resolved</w:t>
      </w:r>
      <w:r>
        <w:t xml:space="preserve"> </w:t>
      </w:r>
      <w:r>
        <w:t xml:space="preserve">here.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, reviewer point R2.1) on CEC2017."/>
        <w:tblDescription w:val="Tiered configuration versus the two tier-constant transplants (E3, reviewer point R2.1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as</w:t>
      </w:r>
      <w:r>
        <w:t xml:space="preserve"> </w:t>
      </w:r>
      <w:r>
        <w:t xml:space="preserve">mis-specified rather than the tiering principle as unsound.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1" w:name="ref_sec_supp_rev_sensitivity"/>
      <w:r>
        <w:t xml:space="preserve">S9.4.</w:t>
      </w:r>
      <w:bookmarkEnd w:id="351"/>
      <w:r>
        <w:tab/>
      </w:r>
      <w:r>
        <w:t xml:space="preserve"> Parameter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2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2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, reviewer point R2.7). Descriptive only: no test is performed and no p-value is reported."/>
        <w:tblDescription w:val="EXPLORATORY one-factor parameter sensitivity (E4, reviewer point R2.7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End w:id="213"/>
    <w:bookmarkStart w:id="225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4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7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8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9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0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1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2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5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0" Target="https://doi.org/10.1007/s00202-023-01803-9" TargetMode="External"/><Relationship Type="http://schemas.openxmlformats.org/officeDocument/2006/relationships/hyperlink" Id="rId217" Target="https://doi.org/10.1007/s13042-019-01053-x" TargetMode="External"/><Relationship Type="http://schemas.openxmlformats.org/officeDocument/2006/relationships/hyperlink" Id="rId222" Target="https://doi.org/10.1016/j.rico.2025.100542" TargetMode="External"/><Relationship Type="http://schemas.openxmlformats.org/officeDocument/2006/relationships/hyperlink" Id="rId215" Target="https://doi.org/10.1080/01621459.1937.10503522" TargetMode="External"/><Relationship Type="http://schemas.openxmlformats.org/officeDocument/2006/relationships/hyperlink" Id="rId219" Target="https://doi.org/10.1109/ACCESS.2021.3076091" TargetMode="External"/><Relationship Type="http://schemas.openxmlformats.org/officeDocument/2006/relationships/hyperlink" Id="rId224" Target="https://doi.org/10.1109/CEC.2013.6557901" TargetMode="External"/><Relationship Type="http://schemas.openxmlformats.org/officeDocument/2006/relationships/hyperlink" Id="rId223" Target="https://doi.org/10.1109/CEC.2018.8477755" TargetMode="External"/><Relationship Type="http://schemas.openxmlformats.org/officeDocument/2006/relationships/hyperlink" Id="rId218" Target="https://doi.org/10.1109/CEC48606.2020.9185901" TargetMode="External"/><Relationship Type="http://schemas.openxmlformats.org/officeDocument/2006/relationships/hyperlink" Id="rId216" Target="https://doi.org/10.1201/9780429246593" TargetMode="External"/><Relationship Type="http://schemas.openxmlformats.org/officeDocument/2006/relationships/hyperlink" Id="rId214" Target="https://doi.org/10.2307/3001968" TargetMode="External"/><Relationship Type="http://schemas.openxmlformats.org/officeDocument/2006/relationships/hyperlink" Id="rId221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007/s00202-023-01803-9" TargetMode="External" /><Relationship Type="http://schemas.openxmlformats.org/officeDocument/2006/relationships/hyperlink" Id="rId217" Target="https://doi.org/10.1007/s13042-019-01053-x" TargetMode="External" /><Relationship Type="http://schemas.openxmlformats.org/officeDocument/2006/relationships/hyperlink" Id="rId222" Target="https://doi.org/10.1016/j.rico.2025.100542" TargetMode="External" /><Relationship Type="http://schemas.openxmlformats.org/officeDocument/2006/relationships/hyperlink" Id="rId215" Target="https://doi.org/10.1080/01621459.1937.10503522" TargetMode="External" /><Relationship Type="http://schemas.openxmlformats.org/officeDocument/2006/relationships/hyperlink" Id="rId219" Target="https://doi.org/10.1109/ACCESS.2021.3076091" TargetMode="External" /><Relationship Type="http://schemas.openxmlformats.org/officeDocument/2006/relationships/hyperlink" Id="rId224" Target="https://doi.org/10.1109/CEC.2013.6557901" TargetMode="External" /><Relationship Type="http://schemas.openxmlformats.org/officeDocument/2006/relationships/hyperlink" Id="rId223" Target="https://doi.org/10.1109/CEC.2018.8477755" TargetMode="External" /><Relationship Type="http://schemas.openxmlformats.org/officeDocument/2006/relationships/hyperlink" Id="rId218" Target="https://doi.org/10.1109/CEC48606.2020.9185901" TargetMode="External" /><Relationship Type="http://schemas.openxmlformats.org/officeDocument/2006/relationships/hyperlink" Id="rId216" Target="https://doi.org/10.1201/9780429246593" TargetMode="External" /><Relationship Type="http://schemas.openxmlformats.org/officeDocument/2006/relationships/hyperlink" Id="rId214" Target="https://doi.org/10.2307/3001968" TargetMode="External" /><Relationship Type="http://schemas.openxmlformats.org/officeDocument/2006/relationships/hyperlink" Id="rId221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four round-one revision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