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four round-one revision</w:t>
      </w:r>
      <w:r>
        <w:t xml:space="preserve"> </w:t>
      </w:r>
      <w:r>
        <w:t xml:space="preserve">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7" w:name="ref_sec_supp_cec2017_tables"/>
      <w:r>
        <w:t xml:space="preserve">S1.</w:t>
      </w:r>
      <w:bookmarkEnd w:id="227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33" w:name="ref_sec_supp_pairwise"/>
      <w:r>
        <w:t xml:space="preserve">S2.</w:t>
      </w:r>
      <w:bookmarkEnd w:id="233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34" w:name="ref_sec_supp_h2h"/>
      <w:r>
        <w:t xml:space="preserve">S2.1.</w:t>
      </w:r>
      <w:bookmarkEnd w:id="234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6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8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9" w:name="ref_sec_supp_cec2011"/>
      <w:r>
        <w:t xml:space="preserve">S2.2.</w:t>
      </w:r>
      <w:bookmarkEnd w:id="239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1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42" w:name="ref_sec_supp_cec2013"/>
      <w:r>
        <w:t xml:space="preserve">S2.3.</w:t>
      </w:r>
      <w:bookmarkEnd w:id="242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4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4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5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6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7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8" w:name="ref_sec_supp_bca"/>
      <w:r>
        <w:t xml:space="preserve">S2.4.</w:t>
      </w:r>
      <w:bookmarkEnd w:id="248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9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9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50" w:name="ref_sec_supp_posthoc"/>
      <w:r>
        <w:t xml:space="preserve">S2.5.</w:t>
      </w:r>
      <w:bookmarkEnd w:id="250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51" w:name="ref_sec_supp_rankviews"/>
      <w:r>
        <w:t xml:space="preserve">S2.6.</w:t>
      </w:r>
      <w:bookmarkEnd w:id="251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54" w:name="ref_sec_supp_convergence"/>
      <w:r>
        <w:t xml:space="preserve">S3.</w:t>
      </w:r>
      <w:bookmarkEnd w:id="254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55" w:name="ref_sec_supp_conv2017"/>
      <w:r>
        <w:t xml:space="preserve">S3.1.</w:t>
      </w:r>
      <w:bookmarkEnd w:id="255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1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72" w:name="ref_sec_supp_conv2011"/>
      <w:r>
        <w:t xml:space="preserve">S3.2.</w:t>
      </w:r>
      <w:bookmarkEnd w:id="272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5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75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6" w:name="ref_sec_supp_conv2013"/>
      <w:r>
        <w:t xml:space="preserve">S3.3.</w:t>
      </w:r>
      <w:bookmarkEnd w:id="276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7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8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9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9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0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80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81" w:name="ref_sec_supp_diagnostics"/>
      <w:r>
        <w:t xml:space="preserve">S4.</w:t>
      </w:r>
      <w:bookmarkEnd w:id="281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2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82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83" w:name="ref_sec_repro"/>
      <w:r>
        <w:t xml:space="preserve">S5.</w:t>
      </w:r>
      <w:bookmarkEnd w:id="283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84" w:name="ref_sec_repro_seeds"/>
      <w:r>
        <w:t xml:space="preserve">S5.1.</w:t>
      </w:r>
      <w:bookmarkEnd w:id="284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85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85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6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6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7" w:name="ref_sec_repro_freeze"/>
      <w:r>
        <w:t xml:space="preserve">S5.2.</w:t>
      </w:r>
      <w:bookmarkEnd w:id="287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8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8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residual, which that table’s caption</w:t>
      </w:r>
      <w:r>
        <w:t xml:space="preserve"> </w:t>
      </w:r>
      <w:r>
        <w:t xml:space="preserve">reports as unresolved.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9" w:name="ref_sec_repro_tuning"/>
      <w:r>
        <w:t xml:space="preserve">S5.3.</w:t>
      </w:r>
      <w:bookmarkEnd w:id="289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90" w:name="ref_sec_repro_limitations"/>
      <w:r>
        <w:t xml:space="preserve">S5.4.</w:t>
      </w:r>
      <w:bookmarkEnd w:id="290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of the submitted manuscript,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51, and it leaves the dimension-tier boundaries</w:t>
      </w:r>
      <w:r>
        <w:t xml:space="preserve"> </w:t>
      </w:r>
      <w:r>
        <w:t xml:space="preserve">themselves unvaried, so their sensitivity is untested.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91" w:name="ref_sec_repro_tieband"/>
      <w:r>
        <w:t xml:space="preserve">S5.5.</w:t>
      </w:r>
      <w:bookmarkEnd w:id="291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92" w:name="ref_sec_repro_aliases"/>
      <w:r>
        <w:t xml:space="preserve">S5.6.</w:t>
      </w:r>
      <w:bookmarkEnd w:id="292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3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93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94" w:name="ref_sec_repro_acronyms"/>
      <w:r>
        <w:t xml:space="preserve">S5.7.</w:t>
      </w:r>
      <w:bookmarkEnd w:id="294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5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95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6" w:name="ref_sec_repro_params_detail"/>
      <w:r>
        <w:t xml:space="preserve">S5.8.</w:t>
      </w:r>
      <w:bookmarkEnd w:id="296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7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7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8" w:name="ref_sec_repro_opspec"/>
      <w:r>
        <w:t xml:space="preserve">S5.9.</w:t>
      </w:r>
      <w:bookmarkEnd w:id="298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9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9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 —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300" w:name="ref_sec_repro_release"/>
      <w:r>
        <w:t xml:space="preserve">S5.10.</w:t>
      </w:r>
      <w:bookmarkEnd w:id="300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article,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whose compound provenance that section</w:t>
      </w:r>
      <w:r>
        <w:t xml:space="preserve"> </w:t>
      </w:r>
      <w:r>
        <w:t xml:space="preserve">states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whose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(613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301" w:name="ref_sec_supp_ablation"/>
      <w:r>
        <w:t xml:space="preserve">S6.</w:t>
      </w:r>
      <w:bookmarkEnd w:id="301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302" w:name="ref_sec_supp_ablation_design"/>
      <w:r>
        <w:t xml:space="preserve">S6.1.</w:t>
      </w:r>
      <w:bookmarkEnd w:id="302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303" w:name="ref_sec_supp_ablation_stats"/>
      <w:r>
        <w:t xml:space="preserve">S6.2.</w:t>
      </w:r>
      <w:bookmarkEnd w:id="303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4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305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5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7" w:name="ref_sec_supp_ablation_findings"/>
      <w:r>
        <w:t xml:space="preserve">S6.3.</w:t>
      </w:r>
      <w:bookmarkEnd w:id="307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8" w:name="ref_sec_supp_ablation_limits"/>
      <w:r>
        <w:t xml:space="preserve">S6.4.</w:t>
      </w:r>
      <w:bookmarkEnd w:id="308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9" w:name="ref_sec_supp_ablation_sgsm"/>
      <w:r>
        <w:t xml:space="preserve">S6.5.</w:t>
      </w:r>
      <w:bookmarkEnd w:id="309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— the isolation</w:t>
      </w:r>
      <w:r>
        <w:t xml:space="preserve"> </w:t>
      </w:r>
      <w:r>
        <w:t xml:space="preserve">reviewers requested —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0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10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which</w:t>
      </w:r>
      <w:r>
        <w:t xml:space="preserve"> </w:t>
      </w:r>
      <w:r>
        <w:t xml:space="preserve">of its parts carries the effect—and in particular whether the learned</w:t>
      </w:r>
      <w:r>
        <w:t xml:space="preserve"> </w:t>
      </w:r>
      <w:r>
        <w:t xml:space="preserve">eigenbasis outperforms coordinate axes—remains unidentified,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11" w:name="ref_sec_supp_ablation_subset"/>
      <w:r>
        <w:t xml:space="preserve">S6.6.</w:t>
      </w:r>
      <w:bookmarkEnd w:id="311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13" w:name="ref_sec_supp_ablation_caveats"/>
      <w:r>
        <w:t xml:space="preserve">S6.7.</w:t>
      </w:r>
      <w:bookmarkEnd w:id="313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14" w:name="ref_sec_supp_cec2013lsgo"/>
      <w:r>
        <w:t xml:space="preserve">S7.</w:t>
      </w:r>
      <w:bookmarkEnd w:id="314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15" w:name="ref_sec_supp_lsgo_protocol"/>
      <w:r>
        <w:t xml:space="preserve">S7.1.</w:t>
      </w:r>
      <w:bookmarkEnd w:id="315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first-party ports of SHADE-ILS, MOS</w:t>
      </w:r>
      <w:r>
        <w:t xml:space="preserve"> </w:t>
      </w:r>
      <w:r>
        <w:t xml:space="preserve">and DECC-G, executed on 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16" w:name="ref_sec_supp_lsgo_config"/>
      <w:r>
        <w:t xml:space="preserve">S7.2.</w:t>
      </w:r>
      <w:bookmarkEnd w:id="316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7" w:name="ref_sec_supp_lsgo_ranks"/>
      <w:r>
        <w:t xml:space="preserve">S7.3.</w:t>
      </w:r>
      <w:bookmarkEnd w:id="317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9" w:name="ref_sec_supp_lsgo_pairwise"/>
      <w:r>
        <w:t xml:space="preserve">S7.4.</w:t>
      </w:r>
      <w:bookmarkEnd w:id="319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21" w:name="ref_sec_supp_lsgo_runlevel"/>
      <w:r>
        <w:t xml:space="preserve">S7.5.</w:t>
      </w:r>
      <w:bookmarkEnd w:id="321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2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22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23" w:name="ref_sec_supp_lsgo_effects"/>
      <w:r>
        <w:t xml:space="preserve">S7.6.</w:t>
      </w:r>
      <w:bookmarkEnd w:id="323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4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24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25" w:name="ref_sec_supp_lsgo_detail"/>
      <w:r>
        <w:t xml:space="preserve">S7.7.</w:t>
      </w:r>
      <w:bookmarkEnd w:id="325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7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7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8" w:name="ref_sec_supp_cec2020"/>
      <w:r>
        <w:t xml:space="preserve">S8.</w:t>
      </w:r>
      <w:bookmarkEnd w:id="328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dimension-tiered design,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9" w:name="ref_sec_supp_cec2020_standing"/>
      <w:r>
        <w:t xml:space="preserve">S8.1.</w:t>
      </w:r>
      <w:bookmarkEnd w:id="329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0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30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31" w:name="ref_sec_supp_cec2020_omnibus"/>
      <w:r>
        <w:t xml:space="preserve">S8.2.</w:t>
      </w:r>
      <w:bookmarkEnd w:id="331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2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32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33" w:name="ref_sec_supp_cec2020_pairwise"/>
      <w:r>
        <w:t xml:space="preserve">S8.3.</w:t>
      </w:r>
      <w:bookmarkEnd w:id="333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4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34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6" w:name="ref_sec_supp_cec2020_effects"/>
      <w:r>
        <w:t xml:space="preserve">S8.4.</w:t>
      </w:r>
      <w:bookmarkEnd w:id="336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8" w:name="ref_sec_supp_cec2020_robustness"/>
      <w:r>
        <w:t xml:space="preserve">S8.5.</w:t>
      </w:r>
      <w:bookmarkEnd w:id="338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9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9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40" w:name="ref_sec_supp_cec2020_detail"/>
      <w:r>
        <w:t xml:space="preserve">S8.6.</w:t>
      </w:r>
      <w:bookmarkEnd w:id="340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2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4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4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44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4" w:name="lbl_sec_supp_revision"/>
    <w:p>
      <w:pPr>
        <w:pStyle w:val="Heading1"/>
      </w:pPr>
      <w:bookmarkStart w:id="345" w:name="ref_sec_supp_revision"/>
      <w:r>
        <w:t xml:space="preserve">S9.</w:t>
      </w:r>
      <w:bookmarkEnd w:id="345"/>
      <w:r>
        <w:tab/>
      </w:r>
      <w:r>
        <w:t xml:space="preserve"> Round-One Revision Experiments</w:t>
      </w:r>
    </w:p>
    <w:p>
      <w:pPr>
        <w:pStyle w:val="FirstParagraph"/>
      </w:pPr>
      <w:r>
        <w:t xml:space="preserve">Four of the five experiments in this section were requested by the</w:t>
      </w:r>
      <w:r>
        <w:t xml:space="preserve"> </w:t>
      </w:r>
      <w:r>
        <w:t xml:space="preserve">round-one reviewers to isolate mechanisms that the submitted manuscript had</w:t>
      </w:r>
      <w:r>
        <w:t xml:space="preserve"> </w:t>
      </w:r>
      <w:r>
        <w:t xml:space="preserve">introduced together; the fifth (Section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) answers</w:t>
      </w:r>
      <w:r>
        <w:t xml:space="preserve"> </w:t>
      </w:r>
      <w:r>
        <w:t xml:space="preserve">the boundary half of the same sensitivity request and was added ahead of</w:t>
      </w:r>
      <w:r>
        <w:t xml:space="preserve"> </w:t>
      </w:r>
      <w:r>
        <w:t xml:space="preserve">resubmission. 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under the review folder</w:t>
      </w:r>
      <w:r>
        <w:t xml:space="preserve"> </w:t>
      </w:r>
      <w:r>
        <w:t xml:space="preserve">of the repository named in the Data Availability Statement, so a reader can</w:t>
      </w:r>
      <w:r>
        <w:t xml:space="preserve"> </w:t>
      </w:r>
      <w:r>
        <w:t xml:space="preserve">check that the unfavourable-outcome wording predates the outcomes rather than</w:t>
      </w:r>
      <w:r>
        <w:t xml:space="preserve"> </w:t>
      </w:r>
      <w:r>
        <w:t xml:space="preserve">take it on trust.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added in round one come from the separate,</w:t>
      </w:r>
      <w:r>
        <w:t xml:space="preserve"> </w:t>
      </w:r>
      <w:r>
        <w:t xml:space="preserve">non-superseding release rev-rel-2026-08-26-dd42d37eb; the boundary arms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 come from the further additive release</w:t>
      </w:r>
      <w:r>
        <w:t xml:space="preserve"> </w:t>
      </w:r>
      <w:r>
        <w:t xml:space="preserve">rev2-rel-2026-08-28-203c78744;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Across-function Wilcoxon tests in this section apply the manuscript’s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before ranking; the first analysis release of E1-E3 used</w:t>
      </w:r>
      <w:r>
        <w:t xml:space="preserve"> </w:t>
      </w:r>
      <w:r>
        <w:t xml:space="preserve">the exact-zero convention instead, and that deviation, its correction, and its</w:t>
      </w:r>
      <w:r>
        <w:t xml:space="preserve"> </w:t>
      </w:r>
      <w:r>
        <w:t xml:space="preserve">one decision-level consequence are recorded as pre-registration Amendments</w:t>
      </w:r>
      <w:r>
        <w:t xml:space="preserve"> </w:t>
      </w:r>
      <w:r>
        <w:t xml:space="preserve">A5-A6 and restated at the point of use below.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46" w:name="ref_sec_supp_rev_basis"/>
      <w:r>
        <w:t xml:space="preserve">S9.1.</w:t>
      </w:r>
      <w:bookmarkEnd w:id="346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7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47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second. W/T/L counts functions,</w:t>
      </w:r>
      <w:r>
        <w:t xml:space="preserve"> </w:t>
      </w:r>
      <w:r>
        <w:t xml:space="preserve">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the same band is applied before ranking,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reports the functions remaining in each ranking</w:t>
      </w:r>
      <w:r>
        <w:t xml:space="preserve"> </w:t>
      </w:r>
      <w:r>
        <w:t xml:space="preserve">(Amendments A5-A6).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4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, reviewer point R2.3): eigenframe versus coordinate axes versus no refinement at fixed enablement."/>
        <w:tblDescription w:val="Refinement-basis contrast on CEC2017 (E1, reviewer point R2.3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holds and, under the stated tie rule, is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28</m:t>
        </m:r>
      </m:oMath>
      <w:r>
        <w:t xml:space="preserve">; the exact-zero</w:t>
      </w:r>
      <w:r>
        <w:t xml:space="preserve"> </w:t>
      </w:r>
      <w:r>
        <w:t xml:space="preserve">convention of the first analysis release gave</w:t>
      </w:r>
      <w:r>
        <w:t xml:space="preserve"> </w:t>
      </w:r>
      <m:oMath>
        <m:r>
          <m:t>0.054</m:t>
        </m:r>
      </m:oMath>
      <w:r>
        <w:t xml:space="preserve">, and the correction is</w:t>
      </w:r>
      <w:r>
        <w:t xml:space="preserve"> </w:t>
      </w:r>
      <w:r>
        <w:t xml:space="preserve">recorded as Amendments A5-A6). The conclusion the paper draws is</w:t>
      </w:r>
      <w:r>
        <w:t xml:space="preserve"> </w:t>
      </w:r>
      <w:r>
        <w:t xml:space="preserve">restricted to what was tested: at both active dimensions on this suite —</w:t>
      </w:r>
      <w:r>
        <w:t xml:space="preserve"> </w:t>
      </w:r>
      <w:r>
        <w:t xml:space="preserve">sharply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marginally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48" w:name="ref_sec_supp_rev_np"/>
      <w:r>
        <w:t xml:space="preserve">S9.2.</w:t>
      </w:r>
      <w:bookmarkEnd w:id="348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submitted manuscript disclosed but did not control.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9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49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, reviewer points R1.3/R2.2): the panel re-ranked with only the DT-GSK column substituted."/>
        <w:tblDescription w:val="DT-GSK at the comparators' population value (E2, reviewer points R1.3/R2.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matched-initial-population control shows the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rule does not wholly</w:t>
      </w:r>
      <w:r>
        <w:t xml:space="preserve"> </w:t>
      </w:r>
      <w:r>
        <w:t xml:space="preserve">explain the reported standing, but contributes materially to part of it.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50" w:name="ref_sec_supp_rev_tiering"/>
      <w:r>
        <w:t xml:space="preserve">S9.3.</w:t>
      </w:r>
      <w:bookmarkEnd w:id="350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submitted evidence never compared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1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51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not, and that residual is not resolved</w:t>
      </w:r>
      <w:r>
        <w:t xml:space="preserve"> </w:t>
      </w:r>
      <w:r>
        <w:t xml:space="preserve">here.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, reviewer point R2.1) on CEC2017."/>
        <w:tblDescription w:val="Tiered configuration versus the two tier-constant transplants (E3, reviewer point R2.1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 three of four dimensions,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as inferior to the tested transplant at that dimension — a</w:t>
      </w:r>
      <w:r>
        <w:t xml:space="preserve"> </w:t>
      </w:r>
      <w:r>
        <w:t xml:space="preserve">configuration-level weakness, claimed neither for nor against the tiering</w:t>
      </w:r>
      <w:r>
        <w:t xml:space="preserve"> </w:t>
      </w:r>
      <w:r>
        <w:t xml:space="preserve">principle itself. This localizes a</w:t>
      </w:r>
      <w:r>
        <w:t xml:space="preserve"> </w:t>
      </w:r>
      <w:r>
        <w:t xml:space="preserve">weakness the submitted manuscript already disclosed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52" w:name="ref_sec_supp_rev_sensitivity"/>
      <w:r>
        <w:t xml:space="preserve">S9.4.</w:t>
      </w:r>
      <w:bookmarkEnd w:id="352"/>
      <w:r>
        <w:tab/>
      </w:r>
      <w:r>
        <w:t xml:space="preserve"> Selected-Constant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Stability under a larger perturbation implies stability under a</w:t>
      </w:r>
      <w:r>
        <w:t xml:space="preserve"> </w:t>
      </w:r>
      <w:r>
        <w:t xml:space="preserve">smaller one, so the robustness reading holds for those cells in magnitude; what</w:t>
      </w:r>
      <w:r>
        <w:t xml:space="preserve"> </w:t>
      </w:r>
      <w:r>
        <w:t xml:space="preserve">is absent is coverage on the untested side, and no claim is made there.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3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53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, reviewer point R2.7). Descriptive only: no test is performed and no p-value is reported."/>
        <w:tblDescription w:val="EXPLORATORY one-factor parameter sensitivity (E4, reviewer point R2.7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Start w:id="213" w:name="lbl_sec_supp_rev_boundary"/>
    <w:p>
      <w:pPr>
        <w:pStyle w:val="Heading2"/>
      </w:pPr>
      <w:bookmarkStart w:id="354" w:name="ref_sec_supp_rev_boundary"/>
      <w:r>
        <w:t xml:space="preserve">S9.5.</w:t>
      </w:r>
      <w:bookmarkEnd w:id="354"/>
      <w:r>
        <w:tab/>
      </w:r>
      <w:r>
        <w:t xml:space="preserve"> Dimension-Boundary Sensitivity</w:t>
      </w:r>
    </w:p>
    <w:p>
      <w:pPr>
        <w:pStyle w:val="FirstParagraph"/>
      </w:pPr>
      <w:r>
        <w:t xml:space="preserve">Added ahead of resubmission and registered before execution (pre-registration</w:t>
      </w:r>
      <w:r>
        <w:t xml:space="preserve"> </w:t>
      </w:r>
      <w:r>
        <w:t xml:space="preserve">Amendment A4): the study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varies</w:t>
      </w:r>
      <w:r>
        <w:t xml:space="preserve"> </w:t>
      </w:r>
      <w:r>
        <w:t xml:space="preserve">constants within tiers, and the reviewer request it answers also names the</w:t>
      </w:r>
      <w:r>
        <w:t xml:space="preserve"> </w:t>
      </w:r>
      <w:r>
        <w:t xml:space="preserve">tier boundaries themselves. Each cell here shifts one boundary of the frozen</w:t>
      </w:r>
      <w:r>
        <w:t xml:space="preserve"> </w:t>
      </w:r>
      <w:r>
        <w:t xml:space="preserve">profile just far enough to change the profile assigned to the nearest official</w:t>
      </w:r>
      <w:r>
        <w:t xml:space="preserve"> </w:t>
      </w:r>
      <w:r>
        <w:t xml:space="preserve">CEC2017 dimension, and re-runs DT-GSK at that dimension under the</w:t>
      </w:r>
      <w:r>
        <w:t xml:space="preserve"> </w:t>
      </w:r>
      <w:r>
        <w:t xml:space="preserve">transplanted profile — mechanically a single-dimension transplant of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kind, so a shift changes the complete</w:t>
      </w:r>
      <w:r>
        <w:t xml:space="preserve"> </w:t>
      </w:r>
      <w:r>
        <w:t xml:space="preserve">resolved profile and, by the registered rule, no difference is attributed to</w:t>
      </w:r>
      <w:r>
        <w:t xml:space="preserve"> </w:t>
      </w:r>
      <w:r>
        <w:t xml:space="preserve">any individual mechanism. Four cells were executed at 15 paired runs on the</w:t>
      </w:r>
      <w:r>
        <w:t xml:space="preserve"> </w:t>
      </w:r>
      <w:r>
        <w:t xml:space="preserve">unified schedule, against the frozen tiered leg restricted to the same runs;</w:t>
      </w:r>
      <w:r>
        <w:t xml:space="preserve"> </w:t>
      </w:r>
      <w:r>
        <w:t xml:space="preserve">the fifth registered cell (boundary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coincides by</w:t>
      </w:r>
      <w:r>
        <w:t xml:space="preserve"> </w:t>
      </w:r>
      <w:r>
        <w:t xml:space="preserve">construction with the U-low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reuses those 51 runs</w:t>
      </w:r>
      <w:r>
        <w:t xml:space="preserve"> </w:t>
      </w:r>
      <w:r>
        <w:t xml:space="preserve">rather than re-executing them. The T2/T3 boundary admits only the upper-side</w:t>
      </w:r>
      <w:r>
        <w:t xml:space="preserve"> </w:t>
      </w:r>
      <w:r>
        <w:t xml:space="preserve">shift: no official dimension lies between 50 and 100. The new arms are</w:t>
      </w:r>
      <w:r>
        <w:t xml:space="preserve"> </w:t>
      </w:r>
      <w:r>
        <w:t xml:space="preserve">carried by the separate additive release rev2-rel-2026-08-28-203c78744;</w:t>
      </w:r>
      <w:r>
        <w:t xml:space="preserve"> </w:t>
      </w:r>
      <w:r>
        <w:t xml:space="preserve">nothing earlier is re-minted.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5" w:name="ref_tab_rev_e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47</w:t>
      </w:r>
      <w:r>
        <w:fldChar w:fldCharType="end"/>
      </w:r>
      <w:bookmarkEnd w:id="355"/>
      <w:r>
        <w:rPr>
          <w:b/>
        </w:rPr>
        <w:t xml:space="preserve">. </w:t>
      </w:r>
      <w:r>
        <w:t xml:space="preserve"> Dimension-boundary sensitivity on CEC2017 (E5). One Holm family</w:t>
      </w:r>
      <w:r>
        <w:t xml:space="preserve"> </w:t>
      </w:r>
      <w:r>
        <w:t xml:space="preserve">across the five registered boundary contrasts; paired Wilcoxon on</w:t>
      </w:r>
      <w:r>
        <w:t xml:space="preserve"> </w:t>
      </w:r>
      <w:r>
        <w:t xml:space="preserve">per-function means under the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rule, against the frozen</w:t>
      </w:r>
      <w:r>
        <w:t xml:space="preserve"> </w:t>
      </w:r>
      <w:r>
        <w:t xml:space="preserve">tiered leg restricted to the same runs; W/T/L counted from the tiered side;</w:t>
      </w:r>
      <w:r>
        <w:t xml:space="preserve"> </w:t>
      </w:r>
      <w:r>
        <w:t xml:space="preserve">the ordinal column re-ranks the panel with only the DT-GSK column</w:t>
      </w:r>
      <w:r>
        <w:t xml:space="preserve"> </w:t>
      </w:r>
      <w:r>
        <w:t xml:space="preserve">substituted.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reuses the U-low arm (51</w:t>
      </w:r>
      <w:r>
        <w:t xml:space="preserve"> </w:t>
      </w:r>
      <w:r>
        <w:t xml:space="preserve">runs).</w:t>
      </w:r>
    </w:p>
    <w:tbl>
      <w:tblPr>
        <w:tblStyle w:val="Table"/>
        <w:tblW w:w="57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imension-boundary sensitivity (E5, reviewer point R2.7, threshold half): each cell shifts one tier boundary far enough to change the profile assigned to the nearest official CEC2017 dimension."/>
        <w:tblDescription w:val="Dimension-boundary sensitivity (E5, reviewer point R2.7, threshold half): each cell shifts one tier boundary far enough to change the profile assigned to the nearest official CEC2017 dimension."/>
        <w:tblLook w:val="04A0" w:firstRow="1" w:lastRow="0" w:firstColumn="0" w:lastColumn="0" w:noHBand="0" w:noVBand="1"/>
      </w:tblPr>
      <w:tblGrid>
        <w:gridCol w:w="760"/>
        <w:gridCol w:w="320"/>
        <w:gridCol w:w="408"/>
        <w:gridCol w:w="584"/>
        <w:gridCol w:w="408"/>
        <w:gridCol w:w="672"/>
        <w:gridCol w:w="496"/>
        <w:gridCol w:w="496"/>
        <w:gridCol w:w="672"/>
        <w:gridCol w:w="936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Boundary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Runs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Tiered 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Reading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20-&gt;10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20/4/5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1-&gt;4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20-&gt;31 ‡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6/3/20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50-&gt;30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0.0022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5/2/22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0.478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50-&gt;51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0.411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16/0/13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T2/T3 100-&gt;101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0.0148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7/0/22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0.483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</w:tbl>
    <w:p>
      <w:pPr>
        <w:pStyle w:val="BodyText"/>
      </w:pPr>
      <w:r>
        <w:t xml:space="preserve">The result is mixed in an informative way, and the adverse cells are reported</w:t>
      </w:r>
      <w:r>
        <w:t xml:space="preserve"> </w:t>
      </w:r>
      <w:r>
        <w:t xml:space="preserve">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shipped middle profile is beaten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by the low-tier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finding restated in boundary terms) and by</w:t>
      </w:r>
      <w:r>
        <w:t xml:space="preserve"> </w:t>
      </w:r>
      <w:r>
        <w:t xml:space="preserve">the structure-tier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22 of 29</w:t>
      </w:r>
      <w:r>
        <w:t xml:space="preserve"> </w:t>
      </w:r>
      <w:r>
        <w:t xml:space="preserve">functions), each lifting the descriptive ordinal from second to 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</w:t>
      </w:r>
      <w:r>
        <w:t xml:space="preserve"> </w:t>
      </w:r>
      <w:r>
        <w:t xml:space="preserve">means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22 of 29) while the family</w:t>
      </w:r>
      <w:r>
        <w:t xml:space="preserve"> </w:t>
      </w:r>
      <w:r>
        <w:t xml:space="preserve">ordinal is unchanged at first. The boundaries are insensitive where the</w:t>
      </w:r>
      <w:r>
        <w:t xml:space="preserve"> </w:t>
      </w:r>
      <w:r>
        <w:t xml:space="preserve">narrowed contribution claims them: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shift is not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0.11</m:t>
        </m:r>
      </m:oMath>
      <w:r>
        <w:t xml:space="preserve">, the tiered arm ahead on 20 of 29 and the</w:t>
      </w:r>
      <w:r>
        <w:t xml:space="preserve"> </w:t>
      </w:r>
      <w:r>
        <w:t xml:space="preserve">transplant dropping the descriptive ordinal to fourth),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</w:t>
      </w:r>
      <w:r>
        <w:t xml:space="preserve"> </w:t>
      </w:r>
      <w:r>
        <w:t xml:space="preserve">not separated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). Contribution C2, as narrowed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is therefore untouched by every cell;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findings extend the disclosed profile mis-specification and enter</w:t>
      </w:r>
      <w:r>
        <w:t xml:space="preserve"> </w:t>
      </w:r>
      <w:r>
        <w:t xml:space="preserve">the limitations, not the claims.</w:t>
      </w:r>
    </w:p>
    <w:bookmarkEnd w:id="213"/>
    <w:bookmarkEnd w:id="214"/>
    <w:bookmarkStart w:id="22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15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6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8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9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20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21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22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23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24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25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21" Target="https://doi.org/10.1007/s00202-023-01803-9" TargetMode="External"/><Relationship Type="http://schemas.openxmlformats.org/officeDocument/2006/relationships/hyperlink" Id="rId218" Target="https://doi.org/10.1007/s13042-019-01053-x" TargetMode="External"/><Relationship Type="http://schemas.openxmlformats.org/officeDocument/2006/relationships/hyperlink" Id="rId223" Target="https://doi.org/10.1016/j.rico.2025.100542" TargetMode="External"/><Relationship Type="http://schemas.openxmlformats.org/officeDocument/2006/relationships/hyperlink" Id="rId216" Target="https://doi.org/10.1080/01621459.1937.10503522" TargetMode="External"/><Relationship Type="http://schemas.openxmlformats.org/officeDocument/2006/relationships/hyperlink" Id="rId220" Target="https://doi.org/10.1109/ACCESS.2021.3076091" TargetMode="External"/><Relationship Type="http://schemas.openxmlformats.org/officeDocument/2006/relationships/hyperlink" Id="rId225" Target="https://doi.org/10.1109/CEC.2013.6557901" TargetMode="External"/><Relationship Type="http://schemas.openxmlformats.org/officeDocument/2006/relationships/hyperlink" Id="rId224" Target="https://doi.org/10.1109/CEC.2018.8477755" TargetMode="External"/><Relationship Type="http://schemas.openxmlformats.org/officeDocument/2006/relationships/hyperlink" Id="rId219" Target="https://doi.org/10.1109/CEC48606.2020.9185901" TargetMode="External"/><Relationship Type="http://schemas.openxmlformats.org/officeDocument/2006/relationships/hyperlink" Id="rId217" Target="https://doi.org/10.1201/9780429246593" TargetMode="External"/><Relationship Type="http://schemas.openxmlformats.org/officeDocument/2006/relationships/hyperlink" Id="rId215" Target="https://doi.org/10.2307/3001968" TargetMode="External"/><Relationship Type="http://schemas.openxmlformats.org/officeDocument/2006/relationships/hyperlink" Id="rId222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1" Target="https://doi.org/10.1007/s00202-023-01803-9" TargetMode="External" /><Relationship Type="http://schemas.openxmlformats.org/officeDocument/2006/relationships/hyperlink" Id="rId218" Target="https://doi.org/10.1007/s13042-019-01053-x" TargetMode="External" /><Relationship Type="http://schemas.openxmlformats.org/officeDocument/2006/relationships/hyperlink" Id="rId223" Target="https://doi.org/10.1016/j.rico.2025.100542" TargetMode="External" /><Relationship Type="http://schemas.openxmlformats.org/officeDocument/2006/relationships/hyperlink" Id="rId216" Target="https://doi.org/10.1080/01621459.1937.10503522" TargetMode="External" /><Relationship Type="http://schemas.openxmlformats.org/officeDocument/2006/relationships/hyperlink" Id="rId220" Target="https://doi.org/10.1109/ACCESS.2021.3076091" TargetMode="External" /><Relationship Type="http://schemas.openxmlformats.org/officeDocument/2006/relationships/hyperlink" Id="rId225" Target="https://doi.org/10.1109/CEC.2013.6557901" TargetMode="External" /><Relationship Type="http://schemas.openxmlformats.org/officeDocument/2006/relationships/hyperlink" Id="rId224" Target="https://doi.org/10.1109/CEC.2018.8477755" TargetMode="External" /><Relationship Type="http://schemas.openxmlformats.org/officeDocument/2006/relationships/hyperlink" Id="rId219" Target="https://doi.org/10.1109/CEC48606.2020.9185901" TargetMode="External" /><Relationship Type="http://schemas.openxmlformats.org/officeDocument/2006/relationships/hyperlink" Id="rId217" Target="https://doi.org/10.1201/9780429246593" TargetMode="External" /><Relationship Type="http://schemas.openxmlformats.org/officeDocument/2006/relationships/hyperlink" Id="rId215" Target="https://doi.org/10.2307/3001968" TargetMode="External" /><Relationship Type="http://schemas.openxmlformats.org/officeDocument/2006/relationships/hyperlink" Id="rId222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four round-one revision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