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0.png" ContentType="image/png"/>
  <Override PartName="/word/media/rId123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7.png" ContentType="image/png"/>
  <Override PartName="/word/media/rId21.png" ContentType="image/png"/>
  <Override PartName="/word/footer1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Article</w:t>
      </w:r>
    </w:p>
    <w:p>
      <w:pPr>
        <w:pStyle w:val="Title"/>
      </w:pPr>
      <w:r>
        <w:t xml:space="preserve">Supplementary Material for: DT-GSK: Dimension-Tiered Adaptive Configuration Selection and Deterministic Refinement for Gaining-Sharing Knowledge Optimization</w:t>
      </w:r>
    </w:p>
    <w:p>
      <w:pPr>
        <w:pStyle w:val="Author"/>
      </w:pPr>
      <w:r>
        <w:t xml:space="preserve">Mostafa Elsayed Masoud </w:t>
      </w:r>
      <w:r>
        <w:rPr>
          <w:vertAlign w:val="superscript"/>
        </w:rPr>
        <w:t xml:space="preserve">1,*</w:t>
      </w:r>
      <w:r>
        <w:t xml:space="preserve">, Heba Sayed Mohamed Roshdy </w:t>
      </w:r>
      <w:r>
        <w:rPr>
          <w:vertAlign w:val="superscript"/>
        </w:rPr>
        <w:t xml:space="preserve">1</w:t>
      </w:r>
      <w:r>
        <w:t xml:space="preserve"> and Ali Wagdy Mohamed </w:t>
      </w:r>
      <w:r>
        <w:rPr>
          <w:vertAlign w:val="superscript"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Operations Research Department, Faculty of Graduate Studies for</w:t>
      </w:r>
      <w:r>
        <w:t xml:space="preserve"> </w:t>
      </w:r>
      <w:r>
        <w:t xml:space="preserve">Statistical Research, Cairo University, Giza 12613, Egypt;</w:t>
      </w:r>
      <w:r>
        <w:t xml:space="preserve"> </w:t>
      </w:r>
      <w:r>
        <w:t xml:space="preserve">moustafa.masoud@gmail.com (M.E.M. ORCID 0009-0003-8415-2158); hmhmdss@yahoo.com (H.S.M.R. ORCID 0000-0003-0387-5876); aliwagdy@gmail.com (A.W.M. ORCID 0000-0002-5895-2632)</w:t>
      </w:r>
      <w:r>
        <w:br/>
      </w:r>
      <w:r>
        <w:t xml:space="preserve">* Correspondence: moustafa.masoud@gmail.com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Supplementary Material accompanies the main paper on</w:t>
      </w:r>
      <w:r>
        <w:t xml:space="preserve"> </w:t>
      </w:r>
      <w:r>
        <w:t xml:space="preserve">Dimension-Tiered Gaining-Sharing Knowledge (DT-GSK)</w:t>
      </w:r>
      <w:r>
        <w:t xml:space="preserve"> </w:t>
      </w:r>
      <w:r>
        <w:t xml:space="preserve">optimization. It contains the complete per-function CEC2017 panel</w:t>
      </w:r>
      <w:r>
        <w:t xml:space="preserve"> </w:t>
      </w:r>
      <w:r>
        <w:t xml:space="preserve">tables (Section S1), the DT-GSK-versus-GSK head-to-head matrices and the</w:t>
      </w:r>
      <w:r>
        <w:t xml:space="preserve"> </w:t>
      </w:r>
      <w:r>
        <w:t xml:space="preserve">CEC2011 and CEC2013 detail tables (Section S2), the convergence</w:t>
      </w:r>
      <w:r>
        <w:t xml:space="preserve"> </w:t>
      </w:r>
      <w:r>
        <w:t xml:space="preserve">figure sets for CEC2017, CEC2011 and CEC2013 (every scored function at the</w:t>
      </w:r>
      <w:r>
        <w:t xml:space="preserve"> </w:t>
      </w:r>
      <w:r>
        <w:t xml:space="preserve">prespecified dimensions, Section S3), a population-reduction schedule</w:t>
      </w:r>
      <w:r>
        <w:t xml:space="preserve"> </w:t>
      </w:r>
      <w:r>
        <w:t xml:space="preserve">and diagnostic-availability note (Section S4), a reproducibility appendix documenting</w:t>
      </w:r>
      <w:r>
        <w:t xml:space="preserve"> </w:t>
      </w:r>
      <w:r>
        <w:t xml:space="preserve">the seed schedule, the frozen configuration, the evidence release, and</w:t>
      </w:r>
      <w:r>
        <w:t xml:space="preserve"> </w:t>
      </w:r>
      <w:r>
        <w:t xml:space="preserve">the analysis pipeline (Section S5), a supplement-only</w:t>
      </w:r>
      <w:r>
        <w:t xml:space="preserve"> </w:t>
      </w:r>
      <w:r>
        <w:t xml:space="preserve">component-contribution study (a scaffold remove-one ablation, a</w:t>
      </w:r>
      <w:r>
        <w:t xml:space="preserve"> </w:t>
      </w:r>
      <w:r>
        <w:t xml:space="preserve">direct interaction-structure-memory isolation, and a by-class conditional-benefit</w:t>
      </w:r>
      <w:r>
        <w:t xml:space="preserve"> </w:t>
      </w:r>
      <w:r>
        <w:t xml:space="preserve">breakdown, Section S6), the complete CEC2013LSGO large-scale suite record</w:t>
      </w:r>
      <w:r>
        <w:t xml:space="preserve"> </w:t>
      </w:r>
      <w:r>
        <w:t xml:space="preserve">(protocol, evidential tiers, family statistics, effect sizes, and</w:t>
      </w:r>
      <w:r>
        <w:t xml:space="preserve"> </w:t>
      </w:r>
      <w:r>
        <w:t xml:space="preserve">per-function detail, Section S7), and the pre-registered CEC2020</w:t>
      </w:r>
      <w:r>
        <w:t xml:space="preserve"> </w:t>
      </w:r>
      <w:r>
        <w:t xml:space="preserve">confirmatory suite record (Section S8), and the four round-one revision</w:t>
      </w:r>
      <w:r>
        <w:t xml:space="preserve"> </w:t>
      </w:r>
      <w:r>
        <w:t xml:space="preserve">experiments (Section S9). Every empirical value in Sections S1–S5 derives from the</w:t>
      </w:r>
      <w:r>
        <w:t xml:space="preserve"> </w:t>
      </w:r>
      <w:r>
        <w:t xml:space="preserve">promoted, read-only evidence release accompanying this article;</w:t>
      </w:r>
      <w:r>
        <w:t xml:space="preserve"> </w:t>
      </w:r>
      <w:r>
        <w:t xml:space="preserve">the Section S6 scaffold and isolation results derive from a separate, immutable</w:t>
      </w:r>
      <w:r>
        <w:t xml:space="preserve"> </w:t>
      </w:r>
      <w:r>
        <w:t xml:space="preserve">ablation release; the Section S7, Section S8 and Section S9 values derive from three</w:t>
      </w:r>
      <w:r>
        <w:t xml:space="preserve"> </w:t>
      </w:r>
      <w:r>
        <w:t xml:space="preserve">further separate, non-superseding evidence releases identified in those</w:t>
      </w:r>
      <w:r>
        <w:t xml:space="preserve"> </w:t>
      </w:r>
      <w:r>
        <w:t xml:space="preserve">sections; no primary result is</w:t>
      </w:r>
      <w:r>
        <w:t xml:space="preserve"> </w:t>
      </w:r>
      <w:r>
        <w:t xml:space="preserve">altered by any of it. All comparative</w:t>
      </w:r>
      <w:r>
        <w:t xml:space="preserve"> </w:t>
      </w:r>
      <w:r>
        <w:t xml:space="preserve">wording is scoped to the seven-algorithm GSK-family panel.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metaheuristic optimization;</w:t>
      </w:r>
      <w:r>
        <w:t xml:space="preserve"> </w:t>
      </w:r>
      <w:r>
        <w:t xml:space="preserve">gaining-sharing knowledge;</w:t>
      </w:r>
      <w:r>
        <w:t xml:space="preserve"> </w:t>
      </w:r>
      <w:r>
        <w:t xml:space="preserve">dimension-tiered adaptive configuration selection;</w:t>
      </w:r>
      <w:r>
        <w:t xml:space="preserve"> </w:t>
      </w:r>
      <w:r>
        <w:t xml:space="preserve">deterministic final refinement;</w:t>
      </w:r>
      <w:r>
        <w:t xml:space="preserve"> </w:t>
      </w:r>
      <w:r>
        <w:t xml:space="preserve">adaptive operator selection;</w:t>
      </w:r>
      <w:r>
        <w:t xml:space="preserve"> </w:t>
      </w:r>
      <w:r>
        <w:t xml:space="preserve">population-size reduction;</w:t>
      </w:r>
      <w:r>
        <w:t xml:space="preserve"> </w:t>
      </w:r>
      <w:r>
        <w:t xml:space="preserve">CEC benchmark suites;</w:t>
      </w:r>
      <w:r>
        <w:t xml:space="preserve"> </w:t>
      </w:r>
      <w:r>
        <w:t xml:space="preserve">nonparametric statistical comparison;</w:t>
      </w:r>
      <w:r>
        <w:t xml:space="preserve"> </w:t>
      </w:r>
      <w:r>
        <w:t xml:space="preserve">reproducibility</w:t>
      </w:r>
    </w:p>
    <w:p>
      <w:pPr>
        <w:pStyle w:val="BodyText"/>
      </w:pPr>
      <w:r>
        <w:t xml:space="preserve">This Supplementary Material is organized so that the main paper</w:t>
      </w:r>
      <w:r>
        <w:t xml:space="preserve"> </w:t>
      </w:r>
      <w:r>
        <w:t xml:space="preserve">remains auditable without it: the headline comparative claims are supported</w:t>
      </w:r>
      <w:r>
        <w:t xml:space="preserve"> </w:t>
      </w:r>
      <w:r>
        <w:t xml:space="preserve">by main-text exhibits, and the material here provides the complete</w:t>
      </w:r>
      <w:r>
        <w:t xml:space="preserve"> </w:t>
      </w:r>
      <w:r>
        <w:t xml:space="preserve">per-function, per-problem, and per-checkpoint record behind those</w:t>
      </w:r>
      <w:r>
        <w:t xml:space="preserve"> </w:t>
      </w:r>
      <w:r>
        <w:t xml:space="preserve">exhibits. Unless a caption states otherwise, the following frozen</w:t>
      </w:r>
      <w:r>
        <w:t xml:space="preserve"> </w:t>
      </w:r>
      <w:r>
        <w:t xml:space="preserve">protocol applies throughout.</w:t>
      </w:r>
      <w:r>
        <w:t xml:space="preserve"> </w:t>
      </w:r>
      <w:r>
        <w:t xml:space="preserve">CEC2017 is the primary suite with 29 scored functions (F1, F3–F30; F2 is</w:t>
      </w:r>
      <w:r>
        <w:t xml:space="preserve"> </w:t>
      </w:r>
      <w:r>
        <w:t xml:space="preserve">excluded per protocol),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, 51 runs per</w:t>
      </w:r>
      <w:r>
        <w:t xml:space="preserve"> </w:t>
      </w:r>
      <w:r>
        <w:t xml:space="preserve">(function, dimension) cell, and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t>D</m:t>
        </m:r>
      </m:oMath>
      <w:r>
        <w:t xml:space="preserve"> </w:t>
      </w:r>
      <w:r>
        <w:fldChar w:fldCharType="begin"/>
      </w:r>
      <w:r>
        <w:instrText xml:space="preserve"> CITATION awad2016problem \l 1033 </w:instrText>
      </w:r>
      <w:r>
        <w:fldChar w:fldCharType="separate"/>
      </w:r>
      <w:r>
        <w:t xml:space="preserve">[1]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CEC2011 comprises 22 real-world problems at their native dimensions with</w:t>
      </w:r>
      <w:r>
        <w:t xml:space="preserve"> </w:t>
      </w:r>
      <w:r>
        <w:t xml:space="preserve">25 runs per problem and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,</m:t>
        </m:r>
        <m:r>
          <m:t>000</m:t>
        </m:r>
      </m:oMath>
      <w:r>
        <w:t xml:space="preserve">; on problems without</w:t>
      </w:r>
      <w:r>
        <w:t xml:space="preserve"> </w:t>
      </w:r>
      <w:r>
        <w:t xml:space="preserve">published optima the error column is undefined by design and the raw best</w:t>
      </w:r>
      <w:r>
        <w:t xml:space="preserve"> </w:t>
      </w:r>
      <w:r>
        <w:t xml:space="preserve">objective value is authoritative </w:t>
      </w:r>
      <w:r>
        <w:fldChar w:fldCharType="begin"/>
      </w:r>
      <w:r>
        <w:instrText xml:space="preserve"> CITATION das2011cec2011 \l 1033 </w:instrText>
      </w:r>
      <w:r>
        <w:fldChar w:fldCharType="separate"/>
      </w:r>
      <w:r>
        <w:t xml:space="preserve">[2]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CEC2013 is the second comparison suite, reported for breadth of</w:t>
      </w:r>
      <w:r>
        <w:t xml:space="preserve"> </w:t>
      </w:r>
      <w:r>
        <w:t xml:space="preserve">comparison: 28 functions,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, 51 runs per</w:t>
      </w:r>
      <w:r>
        <w:t xml:space="preserve"> </w:t>
      </w:r>
      <w:r>
        <w:t xml:space="preserve">cell, and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t>D</m:t>
        </m:r>
      </m:oMath>
      <w:r>
        <w:t xml:space="preserve"> </w:t>
      </w:r>
      <w:r>
        <w:fldChar w:fldCharType="begin"/>
      </w:r>
      <w:r>
        <w:instrText xml:space="preserve"> CITATION liang2013cec2013 \l 1033 </w:instrText>
      </w:r>
      <w:r>
        <w:fldChar w:fldCharType="separate"/>
      </w:r>
      <w:r>
        <w:t xml:space="preserve">[3]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CEC2020 is the pre-registered confirmatory suite: 10 functions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with F6 and F7 undefined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(38 scored</w:t>
      </w:r>
      <w:r>
        <w:t xml:space="preserve"> </w:t>
      </w:r>
      <w:r>
        <w:t xml:space="preserve">cells), 30 runs per cell, and a dimension-dependent budget of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</m:oMath>
      <w:r>
        <w:t xml:space="preserve"> </w:t>
      </w:r>
      <w:r>
        <w:t xml:space="preserve">respectively </w:t>
      </w:r>
      <w:r>
        <w:fldChar w:fldCharType="begin"/>
      </w:r>
      <w:r>
        <w:instrText xml:space="preserve"> CITATION yue2020cec2020 \l 1033 </w:instrText>
      </w:r>
      <w:r>
        <w:fldChar w:fldCharType="separate"/>
      </w:r>
      <w:r>
        <w:t xml:space="preserve">[4]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CEC2013LSGO is the large-scale suite, family-internal by registered scope:</w:t>
      </w:r>
      <w:r>
        <w:t xml:space="preserve"> </w:t>
      </w:r>
      <w:r>
        <w:t xml:space="preserve">15 functions at native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(F13/F14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905</m:t>
        </m:r>
      </m:oMath>
      <w:r>
        <w:t xml:space="preserve">), 25 runs per</w:t>
      </w:r>
      <w:r>
        <w:t xml:space="preserve"> </w:t>
      </w:r>
      <w:r>
        <w:t xml:space="preserve">function,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reported on the raw</w:t>
      </w:r>
      <w:r>
        <w:t xml:space="preserve"> </w:t>
      </w:r>
      <w:r>
        <w:t xml:space="preserve">best-objective basis </w:t>
      </w:r>
      <w:r>
        <w:fldChar w:fldCharType="begin"/>
      </w:r>
      <w:r>
        <w:instrText xml:space="preserve"> CITATION li2013lsgo \l 1033 </w:instrText>
      </w:r>
      <w:r>
        <w:fldChar w:fldCharType="separate"/>
      </w:r>
      <w:r>
        <w:t xml:space="preserve">[5]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CEC2017, CEC2013 and CEC2020 report the final error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the suite success floor (error values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are treated as zero</w:t>
      </w:r>
      <w:r>
        <w:t xml:space="preserve"> </w:t>
      </w:r>
      <w:r>
        <w:t xml:space="preserve">per suite convention); CEC2011 and CEC2013LSGO are raw-objective suites.</w:t>
      </w:r>
    </w:p>
    <w:p>
      <w:pPr>
        <w:pStyle w:val="BodyText"/>
      </w:pPr>
      <w:r>
        <w:t xml:space="preserve">The run counts (51/25/51/30/25 for CEC2017/CEC2011/CEC2013/CEC2020/</w:t>
      </w:r>
      <w:r>
        <w:t xml:space="preserve"> </w:t>
      </w:r>
      <w:r>
        <w:t xml:space="preserve">CEC2013LSGO) and endpoint bases (error vs. raw objective) are</w:t>
      </w:r>
      <w:r>
        <w:t xml:space="preserve"> </w:t>
      </w:r>
      <w:r>
        <w:t xml:space="preserve">heterogeneous across suites by each suite’s own convention, and no</w:t>
      </w:r>
      <w:r>
        <w:t xml:space="preserve"> </w:t>
      </w:r>
      <w:r>
        <w:t xml:space="preserve">statistic in this paper ever pools suites: there is no cross-suite</w:t>
      </w:r>
      <w:r>
        <w:t xml:space="preserve"> </w:t>
      </w:r>
      <w:r>
        <w:t xml:space="preserve">Friedman family, no pooled run set, no cross-suite rank averaging, and no</w:t>
      </w:r>
      <w:r>
        <w:t xml:space="preserve"> </w:t>
      </w:r>
      <w:r>
        <w:t xml:space="preserve">cross-suite multiplicity family; the only cross-suite statement made</w:t>
      </w:r>
      <w:r>
        <w:t xml:space="preserve"> </w:t>
      </w:r>
      <w:r>
        <w:t xml:space="preserve">anywhere is the count of independent per-suite descriptive standings.</w:t>
      </w:r>
    </w:p>
    <w:p>
      <w:pPr>
        <w:pStyle w:val="BodyText"/>
      </w:pPr>
      <w:r>
        <w:t xml:space="preserve">Pairwise inference uses the two-sided Wilcoxon signed-rank</w:t>
      </w:r>
      <w:r>
        <w:t xml:space="preserve"> </w:t>
      </w:r>
      <w:r>
        <w:t xml:space="preserve">test </w:t>
      </w:r>
      <w:r>
        <w:fldChar w:fldCharType="begin"/>
      </w:r>
      <w:r>
        <w:instrText xml:space="preserve"> CITATION wilcoxon1945individual \l 1033 </w:instrText>
      </w:r>
      <w:r>
        <w:fldChar w:fldCharType="separate"/>
      </w:r>
      <w:r>
        <w:t xml:space="preserve">[6]</w:t>
      </w:r>
      <w:r>
        <w:fldChar w:fldCharType="end"/>
      </w:r>
      <w:r>
        <w:t xml:space="preserve"> with Holm’s step-down</w:t>
      </w:r>
      <w:r>
        <w:t xml:space="preserve"> </w:t>
      </w:r>
      <w:r>
        <w:t xml:space="preserve">correction </w:t>
      </w:r>
      <w:r>
        <w:fldChar w:fldCharType="begin"/>
      </w:r>
      <w:r>
        <w:instrText xml:space="preserve"> CITATION holm1979simple \l 1033 </w:instrText>
      </w:r>
      <w:r>
        <w:fldChar w:fldCharType="separate"/>
      </w:r>
      <w:r>
        <w:t xml:space="preserve">[7]</w:t>
      </w:r>
      <w:r>
        <w:fldChar w:fldCharType="end"/>
      </w:r>
      <w:r>
        <w:t xml:space="preserve"> at family level 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;</w:t>
      </w:r>
      <w:r>
        <w:t xml:space="preserve"> </w:t>
      </w:r>
      <w:r>
        <w:t xml:space="preserve">win/tie/loss counts use the tie rule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Panel ranking uses the Friedman test </w:t>
      </w:r>
      <w:r>
        <w:fldChar w:fldCharType="begin"/>
      </w:r>
      <w:r>
        <w:instrText xml:space="preserve"> CITATION friedman1937use \l 1033 </w:instrText>
      </w:r>
      <w:r>
        <w:fldChar w:fldCharType="separate"/>
      </w:r>
      <w:r>
        <w:t xml:space="preserve">[8]</w:t>
      </w:r>
      <w:r>
        <w:fldChar w:fldCharType="end"/>
      </w:r>
      <w:r>
        <w:t xml:space="preserve"> with the</w:t>
      </w:r>
      <w:r>
        <w:t xml:space="preserve"> </w:t>
      </w:r>
      <w:r>
        <w:t xml:space="preserve">Iman–Davenport correction and Nemenyi post-hoc critical-difference (CD)</w:t>
      </w:r>
      <w:r>
        <w:t xml:space="preserve"> </w:t>
      </w:r>
      <w:r>
        <w:t xml:space="preserve">analysis </w:t>
      </w:r>
      <w:r>
        <w:fldChar w:fldCharType="begin"/>
      </w:r>
      <w:r>
        <w:instrText xml:space="preserve"> CITATION demsar2006statistical \l 1033 </w:instrText>
      </w:r>
      <w:r>
        <w:fldChar w:fldCharType="separate"/>
      </w:r>
      <w:r>
        <w:t xml:space="preserve">[9]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The panel order everywhere is GSK, AGSK, APGSK, FDB-AGSK,</w:t>
      </w:r>
      <w:r>
        <w:t xml:space="preserve"> </w:t>
      </w:r>
      <w:r>
        <w:t xml:space="preserve">ATMALS-GSK, eGSK, DT-GSK, and all comparative wording is scoped</w:t>
      </w:r>
      <w:r>
        <w:t xml:space="preserve"> </w:t>
      </w:r>
      <w:r>
        <w:t xml:space="preserve">within the GSK-family panel, never field-wide.</w:t>
      </w:r>
    </w:p>
    <w:bookmarkStart w:id="9" w:name="lbl_sec_supp_cec2017_tables"/>
    <w:p>
      <w:pPr>
        <w:pStyle w:val="Heading1"/>
      </w:pPr>
      <w:bookmarkStart w:id="226" w:name="ref_sec_supp_cec2017_tables"/>
      <w:r>
        <w:t xml:space="preserve">S1.</w:t>
      </w:r>
      <w:bookmarkEnd w:id="226"/>
      <w:r>
        <w:tab/>
      </w:r>
      <w:r>
        <w:t xml:space="preserve"> Complete CEC2017 Per-Function Panel Tables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ref_tab_cec2017_functions \h </w:instrText>
      </w:r>
      <w:r>
        <w:fldChar w:fldCharType="separate"/>
      </w:r>
      <w:r>
        <w:t xml:space="preserve">A1</w:t>
      </w:r>
      <w:r>
        <w:fldChar w:fldCharType="end"/>
      </w:r>
      <w:r>
        <w:t xml:space="preserve"> lists the 29 scored CEC2017 functions with</w:t>
      </w:r>
      <w:r>
        <w:t xml:space="preserve"> </w:t>
      </w:r>
      <w:r>
        <w:t xml:space="preserve">their class in the suite taxonomy and their known optimal value, so the</w:t>
      </w:r>
      <w:r>
        <w:t xml:space="preserve"> </w:t>
      </w:r>
      <w:r>
        <w:t xml:space="preserve">function-class reading in Section </w:t>
      </w:r>
      <w:r>
        <w:fldChar w:fldCharType="begin"/>
      </w:r>
      <w:r>
        <w:instrText xml:space="preserve"> REF ref_sec_supp_ablation_subset \h </w:instrText>
      </w:r>
      <w:r>
        <w:fldChar w:fldCharType="separate"/>
      </w:r>
      <w:r>
        <w:t xml:space="preserve">S6.6</w:t>
      </w:r>
      <w:r>
        <w:fldChar w:fldCharType="end"/>
      </w:r>
      <w:r>
        <w:t xml:space="preserve"> can be checked</w:t>
      </w:r>
      <w:r>
        <w:t xml:space="preserve"> </w:t>
      </w:r>
      <w:r>
        <w:t xml:space="preserve">against a stated inventory rather than an implicit one.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227" w:name="ref_tab_cec2017_functions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</w:t>
      </w:r>
      <w:r>
        <w:fldChar w:fldCharType="end"/>
      </w:r>
      <w:bookmarkEnd w:id="227"/>
      <w:r>
        <w:rPr>
          <w:b/>
        </w:rPr>
        <w:t xml:space="preserve">. </w:t>
      </w:r>
      <w:r>
        <w:t xml:space="preserve"> CEC2017 scored-function inventory: class and known optimal value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 each of the 29 scored functions. The class boundaries and the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t>i</m:t>
        </m:r>
      </m:oMath>
      <w:r>
        <w:t xml:space="preserve"> </w:t>
      </w:r>
      <w:r>
        <w:t xml:space="preserve">rule are read from the benchmark suite definition</w:t>
      </w:r>
      <w:r>
        <w:t xml:space="preserve"> </w:t>
      </w:r>
      <w:r>
        <w:t xml:space="preserve">(benchmarks/cec_suite_python/cec2017/functions.py), not from a</w:t>
      </w:r>
      <w:r>
        <w:t xml:space="preserve"> </w:t>
      </w:r>
      <w:r>
        <w:t xml:space="preserve">secondary source. F2 is excluded under the adopted protocol because of</w:t>
      </w:r>
      <w:r>
        <w:t xml:space="preserve"> </w:t>
      </w:r>
      <w:r>
        <w:t xml:space="preserve">documented instability, uniformly in every panel cell, and so does not</w:t>
      </w:r>
      <w:r>
        <w:t xml:space="preserve"> </w:t>
      </w:r>
      <w:r>
        <w:t xml:space="preserve">appear.</w:t>
      </w:r>
    </w:p>
    <w:tbl>
      <w:tblPr>
        <w:tblStyle w:val="Table"/>
        <w:tblW w:w="2445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7 scored-function inventory: class in the suite taxonomy and known optimal value f* for each of the 29 scored functions (F2 excluded by protocol)."/>
        <w:tblDescription w:val="CEC2017 scored-function inventory: class in the suite taxonomy and known optimal value f* for each of the 29 scored functions (F2 excluded by protocol)."/>
        <w:tblLook w:val="04A0" w:firstRow="1" w:lastRow="0" w:firstColumn="0" w:lastColumn="0" w:noHBand="0" w:noVBand="1"/>
      </w:tblPr>
      <w:tblGrid>
        <w:gridCol w:w="848"/>
        <w:gridCol w:w="1145"/>
        <w:gridCol w:w="452"/>
      </w:tblGrid>
      <w:tr>
        <w:trPr>
          <w:cantSplit/>
          <w:tblHeader/>
        </w:trPr>
        <w:tc>
          <w:tcPr>
            <w:tcW w:w="848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Function</w:t>
            </w:r>
          </w:p>
        </w:tc>
        <w:tc>
          <w:tcPr>
            <w:tcW w:w="1145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Class</w:t>
            </w:r>
          </w:p>
        </w:tc>
        <w:tc>
          <w:tcPr>
            <w:tcW w:w="452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f*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Unimodal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F3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Unimodal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F4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Simple multimodal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F5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Simple multimodal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F6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Simple multimodal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600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F7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Simple multimodal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700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F8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Simple multimodal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800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F9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Simple multimodal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900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F10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Simple multimodal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1000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F11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Hybrid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1100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F12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Hybrid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1200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F13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Hybrid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1300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F14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Hybrid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1400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F15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Hybrid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1500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F16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Hybrid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1600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F17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Hybrid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1700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F18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Hybrid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1800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F19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Hybrid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1900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F20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Hybrid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2000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F21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Composition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2100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F22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Composition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2200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F23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Composition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2300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F24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Composition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2400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F25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Composition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2500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F26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Composition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2600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F27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Composition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2700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F28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Composition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2800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F29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Composition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2900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F30</w:t>
            </w:r>
          </w:p>
        </w:tc>
        <w:tc>
          <w:tcPr>
            <w:tcW w:w="1145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Composition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3000</w:t>
            </w:r>
          </w:p>
        </w:tc>
      </w:tr>
    </w:tbl>
    <w:p>
      <w:pPr>
        <w:pStyle w:val="BodyText"/>
      </w:pPr>
      <w:r>
        <w:t xml:space="preserve">Tables </w:t>
      </w:r>
      <w:r>
        <w:fldChar w:fldCharType="begin"/>
      </w:r>
      <w:r>
        <w:instrText xml:space="preserve"> REF ref_tab_cec2017_d10 \h </w:instrText>
      </w:r>
      <w:r>
        <w:fldChar w:fldCharType="separate"/>
      </w:r>
      <w:r>
        <w:t xml:space="preserve">A2</w:t>
      </w:r>
      <w:r>
        <w:fldChar w:fldCharType="end"/>
      </w:r>
      <w:r>
        <w:t xml:space="preserve">–</w:t>
      </w:r>
      <w:r>
        <w:fldChar w:fldCharType="begin"/>
      </w:r>
      <w:r>
        <w:instrText xml:space="preserve"> REF ref_tab_cec2017_d100 \h </w:instrText>
      </w:r>
      <w:r>
        <w:fldChar w:fldCharType="separate"/>
      </w:r>
      <w:r>
        <w:t xml:space="preserve">A5</w:t>
      </w:r>
      <w:r>
        <w:fldChar w:fldCharType="end"/>
      </w:r>
      <w:r>
        <w:t xml:space="preserve"> give the complete</w:t>
      </w:r>
      <w:r>
        <w:t xml:space="preserve"> </w:t>
      </w:r>
      <w:r>
        <w:t xml:space="preserve">seven-algorithm per-function record on CEC2017: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 deviation</w:t>
      </w:r>
      <w:r>
        <w:t xml:space="preserve"> </w:t>
      </w:r>
      <w:r>
        <w:t xml:space="preserve">of the final error over 51 runs for each of the 29 functions at each</w:t>
      </w:r>
      <w:r>
        <w:t xml:space="preserve"> </w:t>
      </w:r>
      <w:r>
        <w:t xml:space="preserve">dimension, with the best mean per function in bold.</w:t>
      </w:r>
    </w:p>
    <w:p>
      <w:pPr>
        <w:pStyle w:val="BodyText"/>
      </w:pPr>
      <w:r>
        <w:t xml:space="preserve">These tables are the per-function basis behind the condensed panel</w:t>
      </w:r>
      <w:r>
        <w:t xml:space="preserve"> </w:t>
      </w:r>
      <w:r>
        <w:t xml:space="preserve">summaries and the statistical exhibits of the main paper (Section 4);</w:t>
      </w:r>
      <w:r>
        <w:t xml:space="preserve"> </w:t>
      </w:r>
      <w:r>
        <w:t xml:space="preserve">they carry no aggregation beyond the per-function statistics shown.</w:t>
      </w:r>
    </w:p>
    <w:p>
      <w:pPr>
        <w:pStyle w:val="BodyText"/>
      </w:pPr>
      <w:r>
        <w:t xml:space="preserve">One disclosed evidence limitation applies to the APGSK column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30</m:t>
        </m:r>
      </m:oMath>
      <w:r>
        <w:t xml:space="preserve">, and</w:t>
      </w:r>
      <w:r>
        <w:t xml:space="preserve"> </w:t>
      </w:r>
      <m:oMath>
        <m:r>
          <m:t>50</m:t>
        </m:r>
      </m:oMath>
      <w:r>
        <w:t xml:space="preserve">: at the analysis freeze the APGSK CEC2017</w:t>
      </w:r>
      <w:r>
        <w:t xml:space="preserve"> </w:t>
      </w:r>
      <w:r>
        <w:t xml:space="preserve">per-run record was available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only (a sidecar-overwrite</w:t>
      </w:r>
      <w:r>
        <w:t xml:space="preserve"> </w:t>
      </w:r>
      <w:r>
        <w:t xml:space="preserve">anomaly in the evidence tree), so the APGSK cells at the three lower</w:t>
      </w:r>
      <w:r>
        <w:t xml:space="preserve"> </w:t>
      </w:r>
      <w:r>
        <w:t xml:space="preserve">dimensions were taken from the final-checkpoint columns of the</w:t>
      </w:r>
      <w:r>
        <w:t xml:space="preserve"> </w:t>
      </w:r>
      <w:r>
        <w:t xml:space="preserve">per-generation logs of the same runs (verified equivalent during the</w:t>
      </w:r>
      <w:r>
        <w:t xml:space="preserve"> </w:t>
      </w:r>
      <w:r>
        <w:t xml:space="preserve">evidence audit) and were never imputed. The missing per-run records</w:t>
      </w:r>
      <w:r>
        <w:t xml:space="preserve"> </w:t>
      </w:r>
      <w:r>
        <w:t xml:space="preserve">were subsequently recovered after the freeze — deterministically,</w:t>
      </w:r>
      <w:r>
        <w:t xml:space="preserve"> </w:t>
      </w:r>
      <w:r>
        <w:t xml:space="preserve">from the seed-identical per-run logs — in a documented post-freeze recovery;</w:t>
      </w:r>
      <w:r>
        <w:t xml:space="preserve"> </w:t>
      </w:r>
      <w:r>
        <w:t xml:space="preserve">the recovered records reproduce the tabulated values, which are</w:t>
      </w:r>
      <w:r>
        <w:t xml:space="preserve"> </w:t>
      </w:r>
      <w:r>
        <w:t xml:space="preserve">therefore unchanged.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228" w:name="ref_tab_cec2017_d1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</w:t>
      </w:r>
      <w:r>
        <w:fldChar w:fldCharType="end"/>
      </w:r>
      <w:bookmarkEnd w:id="228"/>
      <w:r>
        <w:rPr>
          <w:b/>
        </w:rPr>
        <w:t xml:space="preserve">. </w:t>
      </w:r>
      <w:r>
        <w:t xml:space="preserve">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: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of the final error over 51</w:t>
      </w:r>
      <w:r>
        <w:t xml:space="preserve"> </w:t>
      </w:r>
      <w:r>
        <w:t xml:space="preserve">runs for all 7 GSK-family algorithms on each of the 29 functions (F1,</w:t>
      </w:r>
      <w:r>
        <w:t xml:space="preserve"> </w:t>
      </w:r>
      <w:r>
        <w:t xml:space="preserve">F3–F30; 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); best mean per function in bold.</w:t>
      </w:r>
      <w:r>
        <w:t xml:space="preserve"> </w:t>
      </w:r>
      <w:r>
        <w:t xml:space="preserve">APGSK cells</w:t>
      </w:r>
      <w:r>
        <w:t xml:space="preserve"> </w:t>
      </w:r>
      <w:r>
        <w:t xml:space="preserve">derive from the final-checkpoint columns of the per-generation logs</w:t>
      </w:r>
      <w:r>
        <w:t xml:space="preserve"> </w:t>
      </w:r>
      <w:r>
        <w:t xml:space="preserve">(per-run file unavailable at this dimension at the analysis freeze;</w:t>
      </w:r>
      <w:r>
        <w:t xml:space="preserve"> </w:t>
      </w:r>
      <w:r>
        <w:t xml:space="preserve">recovered post-freeze, values unchanged; never</w:t>
      </w:r>
      <w:r>
        <w:t xml:space="preserve"> </w:t>
      </w:r>
      <w:r>
        <w:t xml:space="preserve">imputed).</w:t>
      </w:r>
    </w:p>
    <w:tbl>
      <w:tblPr>
        <w:tblStyle w:val="Table"/>
        <w:tblW w:w="8632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7 D=10: GSK-family panel Mean and SD per function (7 algorithms)."/>
        <w:tblDescription w:val="CEC2017 D=10: GSK-family panel Mean and SD per function (7 algorithms)."/>
        <w:tblLook w:val="04A0" w:firstRow="1" w:lastRow="0" w:firstColumn="0" w:lastColumn="0" w:noHBand="0" w:noVBand="1"/>
      </w:tblPr>
      <w:tblGrid>
        <w:gridCol w:w="386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cantSplit/>
          <w:tblHeader/>
        </w:trPr>
        <w:tc>
          <w:tcPr>
            <w:tcW w:w="386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2"/>
              </w:rPr>
              <w:t xml:space="preserve">Func.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APGSK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FDB-AGSK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ATMALS-GSK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eGSK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DT-GSK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1.20E-06±7.02E-06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2.04E+01±3.19E+00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6.37E+00±2.01E+00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8.36E+00±2.83E+00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6.00E+00±1.96E+00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1.21E+01±5.11E+00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4.82E+00±2.33E+00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2.83E+00±1.04E+00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7.35E-06±2.04E-05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1.78E-05±5.70E-05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2.14E-05±8.50E-05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1.60E-07±4.28E-07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2.96E+01±3.43E+00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1.89E+01±2.63E+00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2.02E+01±3.70E+00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1.83E+01±2.78E+00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2.03E+01±3.99E+00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1.42E+01±1.58E+00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1.18E+01±7.64E-01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2.12E+01±3.50E+00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7.87E+00±2.12E+00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8.92E+00±3.10E+00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7.31E+00±2.50E+00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1.29E+01±5.06E+00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4.33E+00±1.95E+00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2.40E+00±1.15E+00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1.76E-03±1.25E-02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1.76E-03±1.25E-02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1.03E+03±1.26E+02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3.24E+02±7.50E+01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3.44E+02±9.56E+01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3.06E+02±1.00E+02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5.12E+02±2.67E+02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6.22E+02±2.01E+02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1.30E+02±1.02E+02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6.09E-09±2.52E-08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1.84E-01±3.80E-01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1.33E+00±1.28E+00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8.58E-01±1.25E+00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2.49E+00±8.08E-01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3.90E-02±1.95E-01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9.61E+01±7.90E+01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3.59E+01±5.47E+01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8.47E+01±8.07E+01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6.35E+01±5.01E+01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1.31E+02±9.62E+01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7.36E+01±8.02E+01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1.12E+02±9.95E+01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6.61E+00±1.27E+00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2.97E+00±2.21E+00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3.67E+00±2.58E+00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3.96E+00±2.53E+00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5.26E+00±2.29E+00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4.86E+00±5.79E-01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2.72E+00±2.65E+00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5.28E+00±3.26E+00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6.56E-02±2.37E-01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6.33E-01±6.71E-01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8.79E-02±2.56E-01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6.17E+00±5.07E+00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1.85E-01±4.06E-01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3.90E-02±1.95E-01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2.25E-01±2.17E-01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2.52E-02±2.73E-02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1.40E-01±2.04E-01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4.87E-02±5.50E-02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4.67E-01±3.05E-01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2.67E-01±2.17E-01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1.10E-01±2.32E-01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3.66E+00±4.75E+00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7.51E-01±6.40E-01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6.87E-01±3.97E-01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1.31E+00±8.53E-01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3.54E+00±4.38E+00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4.94E+00±5.42E+00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4.05E-01±2.36E-01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9.87E+00±6.68E+00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1.05E+00±7.22E-01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1.42E+00±8.40E-01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1.28E+00±6.15E-01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2.08E+01±1.06E+01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7.62E+00±7.34E+00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3.25E-01±2.90E-01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6.79E-01±2.65E+00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1.00E-01±1.44E-01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5.28E-01±5.88E-01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7.07E-02±7.46E-02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3.42E+00±6.42E+00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7.17E-01±2.80E+00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4.03E-01±6.35E-01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8.80E-02±8.64E-02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6.57E-02±5.34E-02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8.15E-02±6.37E-02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9.16E-02±4.84E-02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4.60E-01±3.92E-01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4.72E-02±5.03E-02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1.73E-02±1.64E-02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8.46E-01±2.83E+00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4.90E-02±1.31E-01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4.90E-02±1.31E-01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9.79E-02±1.59E-01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1.41E+01±9.82E+00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1.62E+00±4.50E+00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1.84E-01±1.79E-01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1.95E+02±4.76E+01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1.00E+02±2.14E+01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9.61E+01±1.96E+01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9.80E+01±1.40E+01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1.44E+02±5.92E+01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1.73E+02±4.95E+01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1.59E+02±5.17E+01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1.00E+02±7.26E-01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8.36E+01±3.28E+01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4.89E+01±4.36E+01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4.25E+01±4.27E+01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7.88E+01±4.02E+01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1.00E+02±1.56E-01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9.51E+01±2.01E+01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3.18E+02±3.39E+00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2.91E+02±7.36E+01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2.94E+02±7.11E+01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3.01E+02±3.62E+01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3.11E+02±5.05E+00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3.04E+02±2.42E+00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3.03E+02±1.84E+00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3.40E+02±3.95E+01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1.01E+02±3.93E+01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9.53E+01±1.78E+01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1.03E+02±2.41E+01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2.75E+02±1.09E+02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3.08E+02±6.95E+01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2.96E+02±7.93E+01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4.18E+02±2.14E+01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3.39E+02±1.19E+02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3.34E+02±1.24E+02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3.80E+02±7.08E+01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4.14E+02±2.24E+01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4.10E+02±1.99E+01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4.04E+02±1.47E+01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3.00E+02±2.29E-13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2.59E+02±1.04E+02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1.21E+02±1.01E+02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1.98E+02±1.38E+02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3.00E+02±2.48E-13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3.00E+02±1.75E-13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2.98E+02±1.40E+01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3.89E+02±2.06E-01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3.89E+02±6.56E-01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3.89E+02±1.07E+00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3.89E+02±8.41E-01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3.89E+02±2.50E-01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3.89E+02±2.06E-01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3.89E+02±7.24E-01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3.00E+02±1.40E-13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2.24E+02±1.32E+02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2.12E+02±1.38E+02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2.12E+02±1.38E+02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3.10E+02±4.71E+01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3.06E+02±3.97E+01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2.94E+02±4.20E+01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2.48E+02±4.37E+00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2.43E+02±6.25E+00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2.45E+02±1.24E+01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2.45E+02±1.26E+01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2.42E+02±5.35E+00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2.32E+02±2.71E+00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2.33E+02±3.26E+00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F30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4.45E+02±3.44E+01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4.73E+02±8.23E+01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5.09E+02±1.02E+02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4.92E+02±6.70E+01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4.44E+02±3.52E+01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4.41E+02±2.78E+01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4.39E+02±5.86E+01</w:t>
            </w:r>
          </w:p>
        </w:tc>
      </w:tr>
    </w:tbl>
    <w:p>
      <w:pPr>
        <w:pStyle w:val="TableCaption"/>
        <w:keepNext/>
        <w:keepLines/>
      </w:pPr>
      <w:r>
        <w:rPr>
          <w:b/>
        </w:rPr>
        <w:t xml:space="preserve">Table </w:t>
      </w:r>
      <w:bookmarkStart w:id="229" w:name="ref_tab_cec2017_d3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</w:t>
      </w:r>
      <w:r>
        <w:fldChar w:fldCharType="end"/>
      </w:r>
      <w:bookmarkEnd w:id="229"/>
      <w:r>
        <w:rPr>
          <w:b/>
        </w:rPr>
        <w:t xml:space="preserve">. </w:t>
      </w:r>
      <w:r>
        <w:t xml:space="preserve">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: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of the final error over 51</w:t>
      </w:r>
      <w:r>
        <w:t xml:space="preserve"> </w:t>
      </w:r>
      <w:r>
        <w:t xml:space="preserve">runs for all 7 GSK-family algorithms on each of the 29 functions (F1,</w:t>
      </w:r>
      <w:r>
        <w:t xml:space="preserve"> </w:t>
      </w:r>
      <w:r>
        <w:t xml:space="preserve">F3–F30; 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); best mean per function in bold.</w:t>
      </w:r>
      <w:r>
        <w:t xml:space="preserve"> </w:t>
      </w:r>
      <w:r>
        <w:t xml:space="preserve">APGSK cells</w:t>
      </w:r>
      <w:r>
        <w:t xml:space="preserve"> </w:t>
      </w:r>
      <w:r>
        <w:t xml:space="preserve">derive from the final-checkpoint columns of the per-generation logs</w:t>
      </w:r>
      <w:r>
        <w:t xml:space="preserve"> </w:t>
      </w:r>
      <w:r>
        <w:t xml:space="preserve">(per-run file unavailable at this dimension at the analysis freeze;</w:t>
      </w:r>
      <w:r>
        <w:t xml:space="preserve"> </w:t>
      </w:r>
      <w:r>
        <w:t xml:space="preserve">recovered post-freeze, values unchanged; never</w:t>
      </w:r>
      <w:r>
        <w:t xml:space="preserve"> </w:t>
      </w:r>
      <w:r>
        <w:t xml:space="preserve">imputed).</w:t>
      </w:r>
    </w:p>
    <w:tbl>
      <w:tblPr>
        <w:tblStyle w:val="Table"/>
        <w:tblW w:w="8632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7 D=30: GSK-family panel Mean and SD per function (7 algorithms)."/>
        <w:tblDescription w:val="CEC2017 D=30: GSK-family panel Mean and SD per function (7 algorithms)."/>
        <w:tblLook w:val="04A0" w:firstRow="1" w:lastRow="0" w:firstColumn="0" w:lastColumn="0" w:noHBand="0" w:noVBand="1"/>
      </w:tblPr>
      <w:tblGrid>
        <w:gridCol w:w="386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cantSplit/>
          <w:tblHeader/>
        </w:trPr>
        <w:tc>
          <w:tcPr>
            <w:tcW w:w="386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2"/>
              </w:rPr>
              <w:t xml:space="preserve">Func.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APGSK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FDB-AGSK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ATMALS-GSK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eGSK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DT-GSK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5.45E-06±1.83E-05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1.41E-01±1.01E+00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3.36E-08±6.22E-08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1.24E-02±4.62E-02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6.84E-01±1.18E+00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7.82E-02±3.16E-01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0.00E+00±0.00E+00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5.03E+00±1.39E+01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7.94E+00±1.63E+01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4.61E+00±1.34E+01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3.62E+01±3.32E+01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5.93E+00±1.44E+01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6.50E+00±1.60E+01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1.51E+01±2.56E+01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1.59E+02±1.23E+01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9.22E+01±1.08E+01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1.13E+02±1.58E+01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7.16E+01±8.18E+00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8.00E+01±2.04E+01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2.04E+01±6.92E+00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3.14E+01±9.22E+00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8.16E-07±1.25E-06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2.56E-05±3.76E-05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4.66E-05±9.46E-05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1.02E-05±2.46E-05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8.85E-05±1.10E-04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4.77E-06±9.14E-06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4.90E-06±6.47E-06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1.87E+02±1.13E+01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1.24E+02±8.84E+00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1.48E+02±2.27E+01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1.04E+02±1.20E+01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8.66E+01±1.51E+01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5.18E+01±6.65E+00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6.94E+01±1.92E+01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1.59E+02±1.08E+01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9.66E+01±1.19E+01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1.11E+02±1.44E+01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7.79E+01±1.14E+01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8.32E+01±2.01E+01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2.39E+01±7.83E+00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3.21E+01±6.35E+00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5.80E+00±5.77E+00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3.55E+01±7.21E+01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2.93E+00±3.55E+00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1.31E-01±2.38E-01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1.76E-03±1.25E-02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3.51E-03±1.76E-02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6.72E+03±3.00E+02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3.26E+03±2.41E+02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2.85E+03±1.90E+02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3.21E+03±3.07E+02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3.23E+03±6.25E+02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5.16E+03±7.88E+02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3.93E+03±7.71E+02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3.25E+01±3.84E+01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2.08E+01±6.97E+00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3.14E+01±1.11E+01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2.44E+01±1.88E+01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2.62E+01±2.31E+01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1.22E+01±1.90E+01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1.66E+01±1.68E+01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6.26E+03±4.51E+03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8.02E+03±5.02E+03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1.34E+04±9.35E+03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1.01E+04±7.11E+03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6.27E+03±4.97E+03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3.71E+03±3.24E+03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6.68E+03±4.17E+03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9.61E+01±3.72E+01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5.20E+01±1.99E+01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4.79E+01±1.58E+01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5.99E+01±2.99E+01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6.83E+01±6.15E+01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2.36E+01±1.10E+01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2.20E+01±9.95E+00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5.59E+01±5.16E+00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3.83E+01±3.41E+00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4.45E+01±1.06E+01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3.69E+01±4.03E+00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3.94E+01±7.49E+00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2.38E+01±3.35E+00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3.14E+01±1.00E+01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1.41E+01±1.14E+01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1.55E+01±4.53E+00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2.30E+01±2.03E+01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1.50E+01±4.26E+00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1.72E+01±1.20E+01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5.49E+00±3.21E+00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5.64E+00±4.60E+00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7.85E+02±1.95E+02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6.82E+02±8.85E+01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5.32E+02±1.37E+02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6.13E+02±1.29E+02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5.80E+02±2.83E+02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4.01E+02±2.48E+02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3.51E+02±1.97E+02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1.76E+02±8.39E+01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1.72E+02±7.95E+01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1.80E+02±7.31E+01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1.64E+02±6.47E+01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1.25E+02±5.89E+01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5.86E+01±4.43E+01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4.93E+01±2.91E+01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3.63E+01±8.22E+00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1.32E+02±1.08E+02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1.42E+03±1.47E+03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3.06E+02±2.90E+02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3.59E+01±1.31E+01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2.71E+01±1.19E+01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2.59E+01±6.12E+00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1.34E+01±5.49E+00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1.41E+01±1.78E+00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1.48E+01±4.38E+00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1.42E+01±1.80E+00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1.28E+01±3.74E+00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6.68E+00±1.87E+00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5.32E+00±1.50E+00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1.18E+02±1.21E+02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2.50E+02±7.07E+01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2.76E+02±8.96E+01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2.11E+02±8.20E+01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1.58E+02±9.32E+01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7.81E+01±8.34E+01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5.95E+01±6.49E+01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3.51E+02±1.03E+01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2.76E+02±4.17E+01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2.66E+02±7.86E+01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2.62E+02±3.39E+01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2.84E+02±2.54E+01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2.19E+02±5.43E+00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2.29E+02±9.56E+00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1.00E+02±2.54E-13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1.00E+02±4.72E-01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1.70E+02±4.70E+02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1.01E+02±1.39E+00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1.00E+02±4.92E-13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1.00E+02±6.09E-13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1.00E+02±6.43E-13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4.77E+02±5.28E+01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4.36E+02±1.24E+01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4.59E+02±3.35E+01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4.19E+02±1.14E+01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4.25E+02±2.24E+01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3.61E+02±8.25E+00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3.75E+02±9.49E+00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5.60E+02±3.19E+01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5.06E+02±1.53E+01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5.62E+02±2.83E+01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4.93E+02±1.44E+01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4.85E+02±2.08E+01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4.33E+02±6.94E+00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4.41E+02±8.10E+00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3.87E+02±1.95E-01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3.87E+02±6.87E-01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3.86E+02±1.55E+00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3.87E+02±8.11E-01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3.87E+02±1.74E+00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3.88E+02±2.87E+00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3.87E+02±8.11E-01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9.95E+02±2.69E+02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4.43E+02±5.13E+02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3.01E+02±2.74E+02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7.48E+02±6.40E+02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1.32E+03±6.97E+02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7.70E+02±3.30E+02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1.16E+03±7.53E+01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4.94E+02±7.40E+00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4.96E+02±1.23E+01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5.13E+02±9.44E+00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5.03E+02±9.05E+00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5.01E+02±1.08E+01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4.96E+02±7.19E+00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4.95E+02±7.04E+00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3.13E+02±3.78E+01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3.14E+02±3.65E+01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3.15E+02±3.38E+01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3.26E+02±4.54E+01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3.27E+02±4.58E+01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3.07E+02±2.97E+01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3.20E+02±4.38E+01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5.62E+02±1.25E+02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6.18E+02±5.04E+01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6.23E+02±7.28E+01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5.91E+02±6.27E+01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5.46E+02±1.07E+02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4.38E+02±4.00E+01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5.44E+02±8.14E+01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F30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2.07E+03±8.15E+01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2.14E+03±1.35E+02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2.25E+03±1.87E+02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2.14E+03±1.07E+02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2.10E+03±1.27E+02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2.09E+03±1.17E+02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2.09E+03±1.03E+02</w:t>
            </w:r>
          </w:p>
        </w:tc>
      </w:tr>
    </w:tbl>
    <w:p>
      <w:pPr>
        <w:pStyle w:val="TableCaption"/>
        <w:keepNext/>
        <w:keepLines/>
      </w:pPr>
      <w:r>
        <w:rPr>
          <w:b/>
        </w:rPr>
        <w:t xml:space="preserve">Table </w:t>
      </w:r>
      <w:bookmarkStart w:id="230" w:name="ref_tab_cec2017_d5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4</w:t>
      </w:r>
      <w:r>
        <w:fldChar w:fldCharType="end"/>
      </w:r>
      <w:bookmarkEnd w:id="230"/>
      <w:r>
        <w:rPr>
          <w:b/>
        </w:rPr>
        <w:t xml:space="preserve">. </w:t>
      </w:r>
      <w:r>
        <w:t xml:space="preserve">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: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of the final error over 51</w:t>
      </w:r>
      <w:r>
        <w:t xml:space="preserve"> </w:t>
      </w:r>
      <w:r>
        <w:t xml:space="preserve">runs for all 7 GSK-family algorithms on each of the 29 functions (F1,</w:t>
      </w:r>
      <w:r>
        <w:t xml:space="preserve"> </w:t>
      </w:r>
      <w:r>
        <w:t xml:space="preserve">F3–F30; 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); best mean per function in bold.</w:t>
      </w:r>
      <w:r>
        <w:t xml:space="preserve"> </w:t>
      </w:r>
      <w:r>
        <w:t xml:space="preserve">APGSK cells</w:t>
      </w:r>
      <w:r>
        <w:t xml:space="preserve"> </w:t>
      </w:r>
      <w:r>
        <w:t xml:space="preserve">derive from the final-checkpoint columns of the per-generation logs</w:t>
      </w:r>
      <w:r>
        <w:t xml:space="preserve"> </w:t>
      </w:r>
      <w:r>
        <w:t xml:space="preserve">(per-run file unavailable at this dimension at the analysis freeze;</w:t>
      </w:r>
      <w:r>
        <w:t xml:space="preserve"> </w:t>
      </w:r>
      <w:r>
        <w:t xml:space="preserve">recovered post-freeze, values unchanged; never</w:t>
      </w:r>
      <w:r>
        <w:t xml:space="preserve"> </w:t>
      </w:r>
      <w:r>
        <w:t xml:space="preserve">imputed).</w:t>
      </w:r>
    </w:p>
    <w:tbl>
      <w:tblPr>
        <w:tblStyle w:val="Table"/>
        <w:tblW w:w="8632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7 D=50: GSK-family panel Mean and SD per function (7 algorithms)."/>
        <w:tblDescription w:val="CEC2017 D=50: GSK-family panel Mean and SD per function (7 algorithms)."/>
        <w:tblLook w:val="04A0" w:firstRow="1" w:lastRow="0" w:firstColumn="0" w:lastColumn="0" w:noHBand="0" w:noVBand="1"/>
      </w:tblPr>
      <w:tblGrid>
        <w:gridCol w:w="386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cantSplit/>
          <w:tblHeader/>
        </w:trPr>
        <w:tc>
          <w:tcPr>
            <w:tcW w:w="386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2"/>
              </w:rPr>
              <w:t xml:space="preserve">Func.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APGSK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FDB-AGSK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ATMALS-GSK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eGSK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DT-GSK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1.70E+03±1.77E+03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1.93E+00±3.66E+00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1.12E+03±1.49E+03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9.39E-02±2.02E-01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8.47E+01±2.50E+02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1.76E-01±4.41E-01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4.02E+03±1.75E+03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4.52E+03±2.64E+03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3.84E+03±1.81E+03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5.01E+02±4.11E+02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4.87E-07±1.77E-06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0.00E+00±0.00E+00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3.45E-08±1.90E-07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7.58E+01±4.43E+01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3.18E+01±3.76E+01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6.33E+01±4.36E+01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7.04E+01±4.74E+01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3.43E+01±4.04E+01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1.33E+01±3.17E+01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6.85E+01±4.57E+01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3.18E+02±1.59E+01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2.39E+02±2.05E+01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2.78E+02±2.25E+01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1.94E+02±2.24E+01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1.90E+02±4.12E+01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3.91E+01±1.00E+01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3.98E+01±7.11E+00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3.65E-06±3.61E-06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5.18E-04±4.24E-04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7.96E-04±8.37E-04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2.04E-04±2.54E-04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7.75E-04±7.13E-04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5.76E-04±4.04E-03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8.35E-05±3.45E-05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3.72E+02±1.21E+01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2.94E+02±2.17E+01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3.49E+02±3.66E+01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2.57E+02±2.19E+01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1.75E+02±2.52E+01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8.90E+01±9.43E+00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9.19E+01±3.11E+01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3.23E+02±1.26E+01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2.46E+02±2.31E+01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2.80E+02±2.16E+01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2.03E+02±2.11E+01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1.88E+02±4.32E+01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4.14E+01±1.08E+01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4.37E+01±2.28E+01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1.59E-02±6.72E-02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3.37E+01±2.62E+01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1.50E+03±2.53E+03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3.16E+01±2.21E+01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2.58E+00±2.25E+00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2.29E-01±2.94E-01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9.71E-02±1.47E-01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1.29E+04±3.91E+02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7.75E+03±3.50E+02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6.11E+03±3.59E+02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7.55E+03±4.45E+02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5.92E+03±7.27E+02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1.07E+04±1.22E+03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5.21E+03±6.59E+02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3.43E+01±2.67E+01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8.79E+01±1.60E+01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9.56E+01±1.99E+01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7.67E+01±1.82E+01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8.44E+01±2.25E+01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2.99E+01±6.00E+00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3.49E+01±4.71E+00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9.61E+03±7.48E+03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6.96E+04±4.63E+04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1.13E+05±7.47E+04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1.15E+05±8.90E+04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9.44E+03±7.97E+03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3.80E+04±2.25E+04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1.17E+04±7.25E+03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2.75E+03±3.13E+03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3.40E+02±1.88E+02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3.21E+02±1.63E+02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2.74E+02±8.69E+01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1.77E+03±3.29E+03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8.97E+01±6.21E+01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1.68E+02±9.84E+01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1.23E+02±1.44E+01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8.35E+01±1.20E+01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1.27E+02±5.88E+01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8.08E+01±1.10E+01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1.14E+02±4.57E+01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3.86E+01±7.16E+00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4.11E+01±2.48E+01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4.03E+01±1.28E+01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6.63E+01±1.42E+01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9.89E+01±3.50E+01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6.31E+01±1.52E+01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1.00E+02±6.28E+01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4.39E+01±1.72E+01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3.89E+01±1.24E+01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1.99E+03±5.12E+02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1.36E+03±1.44E+02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1.01E+03±1.56E+02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1.23E+03±1.46E+02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1.27E+03±5.16E+02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4.41E+02±4.12E+02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6.90E+02±2.25E+02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1.36E+03±1.81E+02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9.98E+02±1.15E+02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9.03E+02±1.27E+02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8.57E+02±1.28E+02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9.53E+02±3.19E+02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7.53E+02±3.02E+02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4.68E+02±2.31E+02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7.17E+02±6.32E+02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4.60E+03±3.43E+03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9.56E+03±5.44E+03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3.80E+03±2.43E+03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7.41E+02±7.87E+02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8.01E+01±5.76E+01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8.51E+01±5.51E+01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3.44E+01±1.29E+01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4.00E+01±6.06E+00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3.80E+01±7.41E+00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3.87E+01±6.52E+00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5.96E+01±2.46E+01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3.11E+01±1.23E+01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1.98E+01±3.49E+00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1.35E+03±1.91E+02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7.80E+02±1.04E+02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7.41E+02±1.09E+02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6.50E+02±1.44E+02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8.47E+02±2.42E+02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7.16E+02±2.45E+02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3.62E+02±1.74E+02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5.19E+02±1.26E+01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4.41E+02±1.94E+01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4.61E+02±2.47E+01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3.92E+02±2.02E+01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3.66E+02±3.49E+01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2.37E+02±9.52E+00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2.40E+02±8.17E+00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1.15E+04±4.23E+03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6.37E+03±3.53E+03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6.21E+03±1.77E+03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7.60E+03±1.99E+03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5.05E+03±3.03E+03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9.53E+03±3.63E+03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2.85E+03±2.76E+03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5.61E+02±1.38E+02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6.57E+02±1.99E+01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7.69E+02±3.63E+01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6.18E+02±2.11E+01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5.74E+02±5.08E+01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4.53E+02±1.15E+01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4.65E+02±2.80E+01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6.10E+02±1.32E+02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7.21E+02±2.85E+01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8.33E+02±3.78E+01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6.90E+02±2.66E+01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6.43E+02±3.66E+01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5.23E+02±7.50E+00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5.30E+02±8.46E+00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5.59E+02±2.94E+01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5.37E+02±3.76E+01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5.66E+02±4.06E+01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5.32E+02±3.99E+01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5.65E+02±3.22E+01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5.68E+02±3.23E+01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5.34E+02±3.21E+01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1.35E+03±5.02E+02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3.22E+03±1.24E+03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2.64E+03±1.75E+03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3.03E+03±5.28E+02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2.27E+03±7.97E+02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1.15E+03±4.91E+02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1.42E+03±1.10E+02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5.94E+02±8.71E+01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5.26E+02±2.04E+01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5.79E+02±4.95E+01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5.30E+02±2.14E+01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5.98E+02±7.24E+01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6.15E+02±1.30E+02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5.60E+02±5.18E+01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4.95E+02±2.15E+01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4.86E+02±1.94E+01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4.88E+02±2.25E+01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4.87E+02±2.81E+01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4.97E+02±2.97E+01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4.84E+02±2.83E+01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4.83E+02±2.34E+01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3.70E+02±9.39E+01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9.75E+02±8.20E+01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1.03E+03±1.22E+02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8.56E+02±1.12E+02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6.65E+02±2.71E+02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4.47E+02±7.04E+01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6.08E+02±1.15E+02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F30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5.97E+05±2.56E+04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5.82E+05±4.12E+03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5.88E+05±6.95E+03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5.83E+05±4.65E+03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6.21E+05±4.77E+04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6.01E+05±3.10E+04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6.20E+05±4.38E+04</w:t>
            </w:r>
          </w:p>
        </w:tc>
      </w:tr>
    </w:tbl>
    <w:p>
      <w:pPr>
        <w:pStyle w:val="TableCaption"/>
        <w:keepNext/>
        <w:keepLines/>
      </w:pPr>
      <w:r>
        <w:rPr>
          <w:b/>
        </w:rPr>
        <w:t xml:space="preserve">Table </w:t>
      </w:r>
      <w:bookmarkStart w:id="231" w:name="ref_tab_cec2017_d10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5</w:t>
      </w:r>
      <w:r>
        <w:fldChar w:fldCharType="end"/>
      </w:r>
      <w:bookmarkEnd w:id="231"/>
      <w:r>
        <w:rPr>
          <w:b/>
        </w:rPr>
        <w:t xml:space="preserve">. </w:t>
      </w:r>
      <w:r>
        <w:t xml:space="preserve">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: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of the final error over 51</w:t>
      </w:r>
      <w:r>
        <w:t xml:space="preserve"> </w:t>
      </w:r>
      <w:r>
        <w:t xml:space="preserve">runs for all 7 GSK-family algorithms on each of the 29 functions (F1,</w:t>
      </w:r>
      <w:r>
        <w:t xml:space="preserve"> </w:t>
      </w:r>
      <w:r>
        <w:t xml:space="preserve">F3–F30; 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); best mean per function in bold.</w:t>
      </w:r>
    </w:p>
    <w:tbl>
      <w:tblPr>
        <w:tblStyle w:val="Table"/>
        <w:tblW w:w="8632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7 D=100: GSK-family panel Mean and SD per function (7 algorithms)."/>
        <w:tblDescription w:val="CEC2017 D=100: GSK-family panel Mean and SD per function (7 algorithms)."/>
        <w:tblLook w:val="04A0" w:firstRow="1" w:lastRow="0" w:firstColumn="0" w:lastColumn="0" w:noHBand="0" w:noVBand="1"/>
      </w:tblPr>
      <w:tblGrid>
        <w:gridCol w:w="386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cantSplit/>
          <w:tblHeader/>
        </w:trPr>
        <w:tc>
          <w:tcPr>
            <w:tcW w:w="386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2"/>
              </w:rPr>
              <w:t xml:space="preserve">Func.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APGSK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FDB-AGSK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ATMALS-GSK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eGSK</w:t>
            </w:r>
          </w:p>
        </w:tc>
        <w:tc>
          <w:tcPr>
            <w:tcW w:w="117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DT-GSK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3.99E+03±2.87E+03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4.69E+01±7.95E+01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3.96E+03±2.52E+03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6.01E+00±1.21E+01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4.60E+02±1.26E+03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1.08E+04±5.26E+04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1.09E+01±1.65E+01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1.12E+05±1.67E+04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1.09E+05±2.08E+04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8.15E+04±1.28E+04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5.47E+04±1.22E+04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4.07E+01±9.59E+01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2.91E-08±1.84E-08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2.30E+01±3.60E+01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2.07E+02±4.81E+01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1.63E+02±4.18E+01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2.04E+02±5.07E+01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1.93E+02±4.56E+01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1.79E+02±4.85E+01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2.27E+00±1.99E+00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1.86E+02±4.88E+01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5.02E+02±3.39E+02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7.24E+02±4.71E+01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7.73E+02±3.83E+01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6.84E+02±4.64E+01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4.15E+02±1.45E+02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1.12E+02±1.82E+01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1.12E+02±1.83E+01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2.79E-03±6.20E-03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2.23E-02±1.51E-02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4.02E-01±5.35E-01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1.62E-02±1.14E-02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7.79E-03±3.45E-03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3.23E-02±5.01E-02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1.62E-04±6.12E-05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8.78E+02±2.31E+01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8.69E+02±4.35E+01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1.15E+03±6.79E+01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7.81E+02±5.34E+01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4.71E+02±7.28E+01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2.18E+02±2.08E+01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2.02E+02±3.05E+01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5.37E+02±3.18E+02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7.22E+02±4.22E+01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7.78E+02±3.85E+01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6.72E+02±5.06E+01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4.09E+02±1.77E+02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1.08E+02±2.08E+01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1.13E+02±1.63E+01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9.88E+00±1.01E+01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4.96E+02±2.19E+02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1.41E+04±4.15E+03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6.78E+02±2.49E+02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1.15E+02±1.40E+02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2.18E+01±1.87E+01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3.11E-01±2.86E-01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2.94E+04±4.97E+02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2.32E+04±7.71E+02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1.81E+04±3.03E+02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2.33E+04±7.12E+02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1.34E+04±1.22E+03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2.44E+04±4.55E+03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1.23E+04±9.65E+02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2.82E+02±8.87E+01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8.81E+02±1.56E+02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9.28E+02±1.52E+02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9.39E+02±1.33E+02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5.25E+02±1.39E+02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1.76E+02±6.58E+01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2.35E+02±6.04E+01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5.53E+04±3.75E+04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2.20E+05±9.04E+04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3.77E+05±1.19E+05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4.33E+05±2.64E+05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9.15E+04±4.26E+04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5.56E+05±2.08E+05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9.40E+04±3.80E+04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2.60E+03±2.05E+03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3.43E+03±2.15E+03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3.92E+03±1.71E+03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3.56E+03±2.63E+03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3.25E+03±3.19E+03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7.61E+01±4.16E+01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2.78E+03±1.28E+03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4.30E+03±4.16E+03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1.35E+04±8.67E+03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2.66E+04±1.86E+04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2.13E+04±1.45E+04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1.43E+03±1.72E+03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3.21E+02±2.37E+02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2.70E+02±7.58E+01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8.09E+02±1.26E+03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4.00E+02±1.25E+02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6.99E+02±5.58E+02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4.77E+02±1.57E+02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1.64E+03±1.85E+03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8.20E+01±4.41E+01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2.87E+02±1.29E+02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2.20E+03±2.46E+03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4.11E+03±1.53E+02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2.94E+03±2.94E+02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3.75E+03±2.83E+02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2.96E+03±1.28E+03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1.09E+03±4.66E+02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2.35E+03±4.29E+02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4.09E+03±3.39E+02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2.88E+03±1.52E+02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2.26E+03±2.13E+02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2.54E+03±2.76E+02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2.75E+03±6.33E+02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1.79E+03±9.00E+02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1.70E+03±4.27E+02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4.98E+04±2.48E+04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6.61E+04±2.76E+04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1.16E+05±4.07E+04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7.81E+04±4.68E+04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5.90E+03±3.41E+03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4.73E+02±4.73E+02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1.13E+03±6.65E+02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F19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1.50E+03±1.91E+03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1.83E+02±5.90E+01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2.30E+02±8.54E+01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2.02E+02±6.82E+01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1.78E+03±2.22E+03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1.35E+02±9.42E+01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2.48E+02±2.03E+02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4.38E+03±2.76E+02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2.78E+03±1.39E+02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2.43E+03±1.65E+02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2.37E+03±3.37E+02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2.97E+03±5.38E+02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3.05E+03±7.37E+02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1.99E+03±3.25E+02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5.69E+02±3.32E+02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9.43E+02±4.24E+01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9.79E+02±4.28E+01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8.83E+02±5.14E+01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5.77E+02±1.45E+02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3.29E+02±1.55E+01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3.38E+02±1.76E+01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3.02E+04±5.68E+02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2.40E+04±9.49E+02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1.99E+04±3.24E+02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2.43E+04±7.46E+02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1.50E+04±1.32E+03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2.56E+04±3.93E+03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1.33E+04±1.14E+03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6.12E+02±1.67E+01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1.19E+03±2.71E+01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1.37E+03±4.39E+01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1.04E+03±5.23E+01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7.33E+02±6.95E+01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6.21E+02±1.77E+01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6.73E+02±2.33E+01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F24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9.31E+02±1.46E+01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1.62E+03±5.36E+01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1.66E+03±5.42E+01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1.53E+03±7.51E+01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1.09E+03±7.64E+01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9.57E+02±2.04E+01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9.95E+02±2.00E+01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F25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8.18E+02±4.08E+01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8.10E+02±4.74E+01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8.24E+02±4.76E+01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7.85E+02±6.19E+01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8.00E+02±6.77E+01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8.05E+02±4.00E+01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8.08E+02±4.41E+01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F26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3.69E+03±5.24E+02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1.10E+04±1.01E+03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1.22E+04±7.44E+02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1.03E+04±5.83E+02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5.55E+03±9.23E+02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3.05E+03±2.33E+03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4.09E+03±2.17E+02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F27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6.66E+02±3.11E+01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6.38E+02±4.16E+01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9.79E+02±6.62E+01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6.32E+02±3.43E+01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7.70E+02±5.50E+01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7.13E+02±5.64E+01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6.29E+02±2.16E+01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F28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5.58E+02±3.58E+01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5.68E+02±3.29E+01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5.78E+02±2.74E+01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5.69E+02±2.93E+01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5.55E+02±2.81E+01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3.83E+02±1.15E+02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5.76E+02±2.62E+01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F29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1.24E+03±2.16E+02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3.64E+03±1.48E+02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3.68E+03±2.37E+02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3.16E+03±2.78E+02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2.43E+03±6.48E+02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1.62E+03±3.10E+02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1.97E+03±3.02E+02</w:t>
            </w:r>
          </w:p>
        </w:tc>
      </w:tr>
      <w:tr>
        <w:trPr>
          <w:cantSplit/>
        </w:trPr>
        <w:tc>
          <w:tcPr>
            <w:tcW w:w="386" w:type="dxa"/>
          </w:tcPr>
          <w:p>
            <w:pPr>
              <w:pStyle w:val="Compact"/>
              <w:jc w:val="left"/>
            </w:pPr>
            <w:r>
              <w:rPr>
                <w:sz w:val="12"/>
              </w:rPr>
              <w:t xml:space="preserve">F30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2.94E+03±2.31E+02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5.57E+03±3.01E+03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7.19E+03±2.60E+03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5.40E+03±3.23E+03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b/>
                <w:sz w:val="12"/>
              </w:rPr>
              <w:t xml:space="preserve">2.69E+03±1.99E+02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4.17E+03±1.35E+03</w:t>
            </w:r>
          </w:p>
        </w:tc>
        <w:tc>
          <w:tcPr>
            <w:tcW w:w="1178" w:type="dxa"/>
          </w:tcPr>
          <w:p>
            <w:pPr>
              <w:pStyle w:val="Compact"/>
              <w:jc w:val="center"/>
            </w:pPr>
            <w:r>
              <w:rPr>
                <w:sz w:val="12"/>
              </w:rPr>
              <w:t xml:space="preserve">3.46E+03±9.95E+02</w:t>
            </w:r>
          </w:p>
        </w:tc>
      </w:tr>
    </w:tbl>
    <w:bookmarkEnd w:id="9"/>
    <w:bookmarkStart w:id="26" w:name="lbl_sec_supp_pairwise"/>
    <w:p>
      <w:pPr>
        <w:pStyle w:val="Heading1"/>
      </w:pPr>
      <w:bookmarkStart w:id="232" w:name="ref_sec_supp_pairwise"/>
      <w:r>
        <w:t xml:space="preserve">S2.</w:t>
      </w:r>
      <w:bookmarkEnd w:id="232"/>
      <w:r>
        <w:tab/>
      </w:r>
      <w:r>
        <w:t xml:space="preserve"> Pairwise Matrices and Additional-Suite Detail</w:t>
      </w:r>
    </w:p>
    <w:bookmarkStart w:id="10" w:name="lbl_sec_supp_h2h"/>
    <w:p>
      <w:pPr>
        <w:pStyle w:val="Heading2"/>
      </w:pPr>
      <w:bookmarkStart w:id="233" w:name="ref_sec_supp_h2h"/>
      <w:r>
        <w:t xml:space="preserve">S2.1.</w:t>
      </w:r>
      <w:bookmarkEnd w:id="233"/>
      <w:r>
        <w:tab/>
      </w:r>
      <w:r>
        <w:t xml:space="preserve"> CEC2017 Head-to-Head Detail: DT-GSK vs. GSK</w:t>
      </w:r>
    </w:p>
    <w:p>
      <w:pPr>
        <w:pStyle w:val="FirstParagraph"/>
      </w:pPr>
      <w:r>
        <w:t xml:space="preserve">Tables </w:t>
      </w:r>
      <w:r>
        <w:fldChar w:fldCharType="begin"/>
      </w:r>
      <w:r>
        <w:instrText xml:space="preserve"> REF ref_tab_h2h_d10 \h </w:instrText>
      </w:r>
      <w:r>
        <w:fldChar w:fldCharType="separate"/>
      </w:r>
      <w:r>
        <w:t xml:space="preserve">A6</w:t>
      </w:r>
      <w:r>
        <w:fldChar w:fldCharType="end"/>
      </w:r>
      <w:r>
        <w:t xml:space="preserve">–</w:t>
      </w:r>
      <w:r>
        <w:fldChar w:fldCharType="begin"/>
      </w:r>
      <w:r>
        <w:instrText xml:space="preserve"> REF ref_tab_h2h_d100 \h </w:instrText>
      </w:r>
      <w:r>
        <w:fldChar w:fldCharType="separate"/>
      </w:r>
      <w:r>
        <w:t xml:space="preserve">A9</w:t>
      </w:r>
      <w:r>
        <w:fldChar w:fldCharType="end"/>
      </w:r>
      <w:r>
        <w:t xml:space="preserve"> report the five-statistic</w:t>
      </w:r>
      <w:r>
        <w:t xml:space="preserve"> </w:t>
      </w:r>
      <w:r>
        <w:t xml:space="preserve">head-to-head detail between DT-GSK and the original GSK on CEC2017</w:t>
      </w:r>
      <w:r>
        <w:t xml:space="preserve"> </w:t>
      </w:r>
      <w:r>
        <w:t xml:space="preserve">(best / median / worst / mean / SD of the final error over 51 runs per</w:t>
      </w:r>
      <w:r>
        <w:t xml:space="preserve"> </w:t>
      </w:r>
      <w:r>
        <w:t xml:space="preserve">function), one table per dimension.</w:t>
      </w:r>
    </w:p>
    <w:p>
      <w:pPr>
        <w:pStyle w:val="BodyText"/>
      </w:pPr>
      <w:r>
        <w:t xml:space="preserve">These are two-algorithm detail tables behind the family-panel exhibits</w:t>
      </w:r>
      <w:r>
        <w:t xml:space="preserve"> </w:t>
      </w:r>
      <w:r>
        <w:t xml:space="preserve">of the main paper; they support no panel-wide claim. The corresponding</w:t>
      </w:r>
      <w:r>
        <w:t xml:space="preserve"> </w:t>
      </w:r>
      <w:r>
        <w:t xml:space="preserve">panel-wide Wilcoxon + Holm inference against</w:t>
      </w:r>
      <w:r>
        <w:t xml:space="preserve"> </w:t>
      </w:r>
      <w:r>
        <w:rPr>
          <w:i/>
          <w:iCs/>
        </w:rPr>
        <w:t xml:space="preserve">all six</w:t>
      </w:r>
      <w:r>
        <w:t xml:space="preserve"> </w:t>
      </w:r>
      <w:r>
        <w:t xml:space="preserve">comparators</w:t>
      </w:r>
      <w:r>
        <w:t xml:space="preserve"> </w:t>
      </w:r>
      <w:r>
        <w:t xml:space="preserve">— including the cells that are unfavorable to DT-GSK — is in the</w:t>
      </w:r>
      <w:r>
        <w:t xml:space="preserve"> </w:t>
      </w:r>
      <w:r>
        <w:t xml:space="preserve">main paper (the CEC2017 across-function Wilcoxon–Holm summary table) and is not restated here.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234" w:name="ref_tab_h2h_d1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6</w:t>
      </w:r>
      <w:r>
        <w:fldChar w:fldCharType="end"/>
      </w:r>
      <w:bookmarkEnd w:id="234"/>
      <w:r>
        <w:rPr>
          <w:b/>
        </w:rPr>
        <w:t xml:space="preserve">. </w:t>
      </w:r>
      <w:r>
        <w:t xml:space="preserve">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(29 functions, 51 runs): best / median /</w:t>
      </w:r>
      <w:r>
        <w:t xml:space="preserve"> </w:t>
      </w:r>
      <w:r>
        <w:t xml:space="preserve">worst / mean / SD of the final error (success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 for GSK</w:t>
      </w:r>
      <w:r>
        <w:t xml:space="preserve"> </w:t>
      </w:r>
      <w:r>
        <w:t xml:space="preserve">vs. DT-GSK; best mean per function in bold. Two-algorithm detail</w:t>
      </w:r>
      <w:r>
        <w:t xml:space="preserve"> </w:t>
      </w:r>
      <w:r>
        <w:t xml:space="preserve">behind the family-panel exhibits — no panel-wide claim.</w:t>
      </w:r>
    </w:p>
    <w:tbl>
      <w:tblPr>
        <w:tblStyle w:val="Table"/>
        <w:tblW w:w="8536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7 D=10 (29 functions, 51 runs): GSK vs DT-GSK head-to-head descriptive statistics."/>
        <w:tblDescription w:val="CEC2017 D=10 (29 functions, 51 runs): GSK vs DT-GSK head-to-head descriptive statistics."/>
        <w:tblLook w:val="04A0" w:firstRow="1" w:lastRow="0" w:firstColumn="0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936"/>
        <w:gridCol w:w="760"/>
        <w:gridCol w:w="760"/>
        <w:gridCol w:w="760"/>
        <w:gridCol w:w="760"/>
      </w:tblGrid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Function</w:t>
            </w:r>
          </w:p>
        </w:tc>
        <w:tc>
          <w:tcPr>
            <w:tcW w:w="3800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GSK</w:t>
            </w:r>
          </w:p>
        </w:tc>
        <w:tc>
          <w:tcPr>
            <w:tcW w:w="3976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DT-GSK (Proposed)</w:t>
            </w:r>
          </w:p>
        </w:tc>
      </w:tr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  <w:tc>
          <w:tcPr>
            <w:tcW w:w="93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3.19E+00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2.98E+00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4.97E+00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1.04E+00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1.42E-06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1.60E-07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4.28E-07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3.43E+00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7.64E-01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1.99E+00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5.97E+00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7.13E+02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1.26E+02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1.02E+02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1.67E-07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6.09E-09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2.52E-08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9.95E-01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3.90E-02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1.95E-01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9.13E-01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9.61E+01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7.90E+01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2.40E-03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9.95E+01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6.77E+00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9.20E+00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6.61E+00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1.27E+00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3.11E+00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2.65E+00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2.10E-04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5.28E+00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3.26E+00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9.95E-01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3.90E-02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1.95E-01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2.57E-03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1.17E-01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5.00E-01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2.25E-01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2.17E-01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1.41E-05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1.21E-02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1.06E+00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1.10E-01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2.32E-01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1.20E-01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9.57E-01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3.66E+00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4.75E+00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2.42E-02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4.18E-01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1.46E+00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4.05E-01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2.36E-01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6.15E-01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9.76E+00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9.87E+00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6.68E+00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3.32E-01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1.31E+00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3.25E-01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2.90E-01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9.06E-03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3.74E-01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6.79E-01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2.65E+00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2.44E-05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3.22E-01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4.03E-01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6.35E-01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4.84E-03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5.49E-02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3.88E-01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8.80E-02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8.64E-02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1.94E-02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7.44E-02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1.73E-02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1.64E-02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3.12E-01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3.12E-01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8.46E-01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2.83E+00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3.12E-01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6.24E-01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1.84E-01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1.79E-01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4.76E+01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5.17E+01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7.26E-01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9.51E+01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2.01E+01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3.39E+00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1.84E+00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3.95E+01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7.93E+01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2.14E+01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1.47E+01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2.29E-13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1.40E+01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2.06E-01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7.24E-01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1.40E-13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4.20E+01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4.37E+00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3.26E+00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3.44E+01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6.02E+02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5.86E+01</w:t>
            </w:r>
          </w:p>
        </w:tc>
      </w:tr>
    </w:tbl>
    <w:p>
      <w:pPr>
        <w:pStyle w:val="TableCaption"/>
        <w:keepNext/>
        <w:keepLines/>
      </w:pPr>
      <w:r>
        <w:rPr>
          <w:b/>
        </w:rPr>
        <w:t xml:space="preserve">Table </w:t>
      </w:r>
      <w:bookmarkStart w:id="235" w:name="ref_tab_h2h_d3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7</w:t>
      </w:r>
      <w:r>
        <w:fldChar w:fldCharType="end"/>
      </w:r>
      <w:bookmarkEnd w:id="235"/>
      <w:r>
        <w:rPr>
          <w:b/>
        </w:rPr>
        <w:t xml:space="preserve">. </w:t>
      </w:r>
      <w:r>
        <w:t xml:space="preserve">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(29 functions, 51 runs): best / median /</w:t>
      </w:r>
      <w:r>
        <w:t xml:space="preserve"> </w:t>
      </w:r>
      <w:r>
        <w:t xml:space="preserve">worst / mean / SD of the final error (success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 for GSK</w:t>
      </w:r>
      <w:r>
        <w:t xml:space="preserve"> </w:t>
      </w:r>
      <w:r>
        <w:t xml:space="preserve">vs. DT-GSK; best mean per function in bold. Two-algorithm detail</w:t>
      </w:r>
      <w:r>
        <w:t xml:space="preserve"> </w:t>
      </w:r>
      <w:r>
        <w:t xml:space="preserve">behind the family-panel exhibits — no panel-wide claim.</w:t>
      </w:r>
    </w:p>
    <w:tbl>
      <w:tblPr>
        <w:tblStyle w:val="Table"/>
        <w:tblW w:w="8536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7 D=30 (29 functions, 51 runs): GSK vs DT-GSK head-to-head descriptive statistics."/>
        <w:tblDescription w:val="CEC2017 D=30 (29 functions, 51 runs): GSK vs DT-GSK head-to-head descriptive statistics."/>
        <w:tblLook w:val="04A0" w:firstRow="1" w:lastRow="0" w:firstColumn="0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936"/>
        <w:gridCol w:w="760"/>
        <w:gridCol w:w="760"/>
        <w:gridCol w:w="760"/>
        <w:gridCol w:w="760"/>
      </w:tblGrid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Function</w:t>
            </w:r>
          </w:p>
        </w:tc>
        <w:tc>
          <w:tcPr>
            <w:tcW w:w="3800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GSK</w:t>
            </w:r>
          </w:p>
        </w:tc>
        <w:tc>
          <w:tcPr>
            <w:tcW w:w="3976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DT-GSK (Proposed)</w:t>
            </w:r>
          </w:p>
        </w:tc>
      </w:tr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  <w:tc>
          <w:tcPr>
            <w:tcW w:w="93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1.30E-08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3.38E-07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3.36E-08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6.22E-08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3.69E-06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3.99E+00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7.24E+01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1.39E+01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1.16E-03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4.01E+00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7.36E+01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2.56E+01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1.23E+01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8.66E+01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9.22E+00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1.37E-07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4.67E-06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8.16E-07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1.25E-06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3.30E-06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4.90E-06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6.47E-06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1.13E+01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1.92E+01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1.08E+01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6.35E+00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8.95E-02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3.51E-03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1.76E-02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7.16E+03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7.71E+02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9.95E-01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7.10E+00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3.84E+01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7.24E+01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1.68E+01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7.85E+02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4.51E+03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6.02E+03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1.79E+04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4.17E+03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7.92E+01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9.61E+01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3.72E+01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9.95E+00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5.16E+00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9.30E-01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1.14E+01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9.73E-01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8.04E+02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7.85E+02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1.95E+02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6.80E+00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7.70E+02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1.97E+02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8.39E+01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2.91E+01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8.22E+00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2.88E+00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6.12E+00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5.51E+00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5.49E+00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8.44E+00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1.21E+02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6.49E+01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1.03E+01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9.56E+00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2.54E-13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6.43E-13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5.28E+01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9.49E+00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3.19E+01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1.95E-01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8.11E-01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2.69E+02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7.53E+01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7.40E+00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7.04E+00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3.78E+01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4.38E+01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8.53E+02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1.25E+02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5.44E+02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8.14E+01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8.15E+01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1.03E+02</w:t>
            </w:r>
          </w:p>
        </w:tc>
      </w:tr>
    </w:tbl>
    <w:p>
      <w:pPr>
        <w:pStyle w:val="TableCaption"/>
        <w:keepNext/>
        <w:keepLines/>
      </w:pPr>
      <w:r>
        <w:rPr>
          <w:b/>
        </w:rPr>
        <w:t xml:space="preserve">Table </w:t>
      </w:r>
      <w:bookmarkStart w:id="236" w:name="ref_tab_h2h_d5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8</w:t>
      </w:r>
      <w:r>
        <w:fldChar w:fldCharType="end"/>
      </w:r>
      <w:bookmarkEnd w:id="236"/>
      <w:r>
        <w:rPr>
          <w:b/>
        </w:rPr>
        <w:t xml:space="preserve">. </w:t>
      </w:r>
      <w:r>
        <w:t xml:space="preserve">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(29 functions, 51 runs): best / median /</w:t>
      </w:r>
      <w:r>
        <w:t xml:space="preserve"> </w:t>
      </w:r>
      <w:r>
        <w:t xml:space="preserve">worst / mean / SD of the final error (success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 for GSK</w:t>
      </w:r>
      <w:r>
        <w:t xml:space="preserve"> </w:t>
      </w:r>
      <w:r>
        <w:t xml:space="preserve">vs. DT-GSK; best mean per function in bold. Two-algorithm detail</w:t>
      </w:r>
      <w:r>
        <w:t xml:space="preserve"> </w:t>
      </w:r>
      <w:r>
        <w:t xml:space="preserve">behind the family-panel exhibits — no panel-wide claim.</w:t>
      </w:r>
    </w:p>
    <w:tbl>
      <w:tblPr>
        <w:tblStyle w:val="Table"/>
        <w:tblW w:w="8536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7 D=50 (29 functions, 51 runs): GSK vs DT-GSK head-to-head descriptive statistics."/>
        <w:tblDescription w:val="CEC2017 D=50 (29 functions, 51 runs): GSK vs DT-GSK head-to-head descriptive statistics."/>
        <w:tblLook w:val="04A0" w:firstRow="1" w:lastRow="0" w:firstColumn="0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936"/>
        <w:gridCol w:w="760"/>
        <w:gridCol w:w="760"/>
        <w:gridCol w:w="760"/>
        <w:gridCol w:w="760"/>
      </w:tblGrid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Function</w:t>
            </w:r>
          </w:p>
        </w:tc>
        <w:tc>
          <w:tcPr>
            <w:tcW w:w="3800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GSK</w:t>
            </w:r>
          </w:p>
        </w:tc>
        <w:tc>
          <w:tcPr>
            <w:tcW w:w="3976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DT-GSK (Proposed)</w:t>
            </w:r>
          </w:p>
        </w:tc>
      </w:tr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  <w:tc>
          <w:tcPr>
            <w:tcW w:w="93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1.77E+03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4.74E-06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1.53E-02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1.76E-01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4.41E-01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1.05E+04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1.75E+03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1.36E-06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3.45E-08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1.90E-07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1.27E-02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7.11E+01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4.43E+01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3.90E-06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6.85E+01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4.57E+01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1.59E+01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7.11E+00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4.79E-08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2.38E-06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1.72E-05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3.65E-06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3.61E-06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2.74E-05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8.74E-05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1.56E-04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8.35E-05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3.45E-05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1.21E+01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8.26E+01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9.19E+01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3.11E+01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1.26E+01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2.28E+01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4.54E-01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1.59E-02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6.72E-02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5.44E-01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9.71E-02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1.47E-01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1.30E+04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1.29E+04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3.91E+02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6.59E+02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2.67E+01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4.71E+00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7.46E+03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9.61E+03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7.48E+03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8.93E+03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1.17E+04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7.25E+03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1.39E+04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3.13E+03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9.84E+01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1.44E+01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2.48E+01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1.28E+01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9.05E+01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1.24E+01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5.12E+02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2.25E+02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1.81E+02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2.31E+02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7.17E+02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6.32E+02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6.80E+01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8.51E+01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5.51E+01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1.29E+01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3.49E+00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8.52E+02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1.91E+02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1.74E+02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5.44E+02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1.26E+01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8.17E+00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1.30E+04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1.36E+04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4.23E+03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6.48E+03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2.76E+03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1.38E+02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2.80E+01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8.25E+02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1.32E+02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8.46E+00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6.08E+02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2.94E+01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3.21E+01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5.02E+02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1.10E+02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8.71E+01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5.47E+02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5.18E+01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2.15E+01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2.34E+01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9.39E+01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6.08E+02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5.79E+05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5.81E+05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6.79E+05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5.97E+05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2.56E+04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5.79E+05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6.14E+05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7.98E+05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6.20E+05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4.38E+04</w:t>
            </w:r>
          </w:p>
        </w:tc>
      </w:tr>
    </w:tbl>
    <w:p>
      <w:pPr>
        <w:pStyle w:val="TableCaption"/>
        <w:keepNext/>
        <w:keepLines/>
      </w:pPr>
      <w:r>
        <w:rPr>
          <w:b/>
        </w:rPr>
        <w:t xml:space="preserve">Table </w:t>
      </w:r>
      <w:bookmarkStart w:id="237" w:name="ref_tab_h2h_d10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9</w:t>
      </w:r>
      <w:r>
        <w:fldChar w:fldCharType="end"/>
      </w:r>
      <w:bookmarkEnd w:id="237"/>
      <w:r>
        <w:rPr>
          <w:b/>
        </w:rPr>
        <w:t xml:space="preserve">. </w:t>
      </w:r>
      <w:r>
        <w:t xml:space="preserve">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(29 functions, 51 runs): best / median /</w:t>
      </w:r>
      <w:r>
        <w:t xml:space="preserve"> </w:t>
      </w:r>
      <w:r>
        <w:t xml:space="preserve">worst / mean / SD of the final error (success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 for GSK</w:t>
      </w:r>
      <w:r>
        <w:t xml:space="preserve"> </w:t>
      </w:r>
      <w:r>
        <w:t xml:space="preserve">vs. DT-GSK; best mean per function in bold. Two-algorithm detail</w:t>
      </w:r>
      <w:r>
        <w:t xml:space="preserve"> </w:t>
      </w:r>
      <w:r>
        <w:t xml:space="preserve">behind the family-panel exhibits — no panel-wide claim.</w:t>
      </w:r>
    </w:p>
    <w:tbl>
      <w:tblPr>
        <w:tblStyle w:val="Table"/>
        <w:tblW w:w="8536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7 D=100 (29 functions, 51 runs): GSK vs DT-GSK head-to-head descriptive statistics."/>
        <w:tblDescription w:val="CEC2017 D=100 (29 functions, 51 runs): GSK vs DT-GSK head-to-head descriptive statistics."/>
        <w:tblLook w:val="04A0" w:firstRow="1" w:lastRow="0" w:firstColumn="0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936"/>
        <w:gridCol w:w="760"/>
        <w:gridCol w:w="760"/>
        <w:gridCol w:w="760"/>
        <w:gridCol w:w="760"/>
      </w:tblGrid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Function</w:t>
            </w:r>
          </w:p>
        </w:tc>
        <w:tc>
          <w:tcPr>
            <w:tcW w:w="3800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GSK</w:t>
            </w:r>
          </w:p>
        </w:tc>
        <w:tc>
          <w:tcPr>
            <w:tcW w:w="3976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DT-GSK (Proposed)</w:t>
            </w:r>
          </w:p>
        </w:tc>
      </w:tr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  <w:tc>
          <w:tcPr>
            <w:tcW w:w="93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9.16E+01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1.42E+04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2.87E+03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4.21E-04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1.65E+01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6.53E+04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1.49E+05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1.67E+04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3.60E+01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7.71E+01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4.81E+01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8.47E+01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4.88E+01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6.47E+01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7.61E+02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3.39E+02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7.68E+01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1.83E+01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1.27E-05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8.46E-05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3.03E-02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2.79E-03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6.20E-03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7.32E-05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1.55E-04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3.71E-04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1.62E-04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6.12E-05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8.77E+02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9.27E+02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8.78E+02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2.31E+01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3.05E+01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7.48E+02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8.08E+02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3.18E+02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1.63E+01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9.02E-01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8.51E+00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9.88E+00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1.79E-01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1.06E+00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3.11E-01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2.86E-01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2.79E+04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2.95E+04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3.04E+04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2.94E+04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4.97E+02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1.02E+04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1.24E+04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1.53E+04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1.23E+04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9.65E+02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8.87E+01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6.04E+01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9.58E+03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4.54E+04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2.33E+05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5.53E+04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3.75E+04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4.01E+04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8.79E+04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1.93E+05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9.40E+04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3.80E+04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8.35E+03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2.05E+03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6.01E+03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1.28E+03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4.16E+03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7.58E+01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8.32E+03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8.09E+02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1.26E+03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7.72E+02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1.29E+02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8.08E+02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7.01E+03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2.46E+03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4.29E+02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3.39E+02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4.27E+02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1.44E+04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1.02E+05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2.48E+04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6.65E+02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7.27E+02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8.42E+03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1.91E+03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2.03E+02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2.76E+02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9.52E+02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3.25E+02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3.32E+02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1.76E+01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2.85E+04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3.03E+04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3.10E+04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3.02E+04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5.68E+02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1.13E+04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1.33E+04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1.33E+04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1.14E+03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6.42E+02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1.67E+01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7.16E+02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2.33E+01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9.01E+02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9.63E+02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1.46E+01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9.58E+02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7.42E+02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8.22E+02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9.03E+02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4.08E+01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8.22E+02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8.61E+02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8.08E+02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4.41E+01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5.24E+02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2.17E+02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7.83E+02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3.11E+01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6.81E+02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2.16E+01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6.83E+02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3.58E+01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2.62E+01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2.16E+02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3.02E+02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2.31E+02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9.95E+02</w:t>
            </w:r>
          </w:p>
        </w:tc>
      </w:tr>
    </w:tbl>
    <w:bookmarkEnd w:id="10"/>
    <w:bookmarkStart w:id="11" w:name="lbl_sec_supp_cec2011"/>
    <w:p>
      <w:pPr>
        <w:pStyle w:val="Heading2"/>
      </w:pPr>
      <w:bookmarkStart w:id="238" w:name="ref_sec_supp_cec2011"/>
      <w:r>
        <w:t xml:space="preserve">S2.2.</w:t>
      </w:r>
      <w:bookmarkEnd w:id="238"/>
      <w:r>
        <w:tab/>
      </w:r>
      <w:r>
        <w:t xml:space="preserve"> CEC2011 Detail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ref_tab_cec2011_stats \h </w:instrText>
      </w:r>
      <w:r>
        <w:fldChar w:fldCharType="separate"/>
      </w:r>
      <w:r>
        <w:t xml:space="preserve">A10</w:t>
      </w:r>
      <w:r>
        <w:fldChar w:fldCharType="end"/>
      </w:r>
      <w:r>
        <w:t xml:space="preserve"> summarizes the across-problem Wilcoxon</w:t>
      </w:r>
      <w:r>
        <w:t xml:space="preserve"> </w:t>
      </w:r>
      <w:r>
        <w:t xml:space="preserve">signed-rank comparison between DT-GSK and GSK on the 22 CEC2011</w:t>
      </w:r>
      <w:r>
        <w:t xml:space="preserve"> </w:t>
      </w:r>
      <w:r>
        <w:t xml:space="preserve">real-world problems (25 runs each, per-problem mean of the raw best</w:t>
      </w:r>
      <w:r>
        <w:t xml:space="preserve"> </w:t>
      </w:r>
      <w:r>
        <w:t xml:space="preserve">objective value).</w:t>
      </w:r>
    </w:p>
    <w:p>
      <w:pPr>
        <w:pStyle w:val="BodyText"/>
      </w:pPr>
      <w:r>
        <w:t xml:space="preserve">After Holm correction at the six-comparator family level the</w:t>
      </w:r>
      <w:r>
        <w:t xml:space="preserve"> </w:t>
      </w:r>
      <w:r>
        <w:t xml:space="preserve">DT-GSK-vs.-GSK comparison on this suite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significant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(decision</w:t>
      </w:r>
      <w:r>
        <w:t xml:space="preserve"> </w:t>
      </w:r>
      <w:r>
        <w:t xml:space="preserve">“</w:t>
      </w:r>
      <m:oMath>
        <m:r>
          <m:rPr>
            <m:sty m:val="p"/>
          </m:rPr>
          <m:t>≈</m:t>
        </m:r>
      </m:oMath>
      <w:r>
        <w:t xml:space="preserve">”</w:t>
      </w:r>
      <w:r>
        <w:t xml:space="preserve"> </w:t>
      </w:r>
      <w:r>
        <w:t xml:space="preserve">in the table), and no claim of</w:t>
      </w:r>
      <w:r>
        <w:t xml:space="preserve"> </w:t>
      </w:r>
      <w:r>
        <w:t xml:space="preserve">superiority over GSK on CEC2011 is made.</w:t>
      </w:r>
    </w:p>
    <w:p>
      <w:pPr>
        <w:pStyle w:val="BodyText"/>
      </w:pPr>
      <w:r>
        <w:t xml:space="preserve">For panel-level context, the corresponding panel-wide tests on this</w:t>
      </w:r>
      <w:r>
        <w:t xml:space="preserve"> </w:t>
      </w:r>
      <w:r>
        <w:t xml:space="preserve">suite include a statistically significant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for DT-GSK</w:t>
      </w:r>
      <w:r>
        <w:t xml:space="preserve"> </w:t>
      </w:r>
      <w:r>
        <w:t xml:space="preserve">against eGSK across problems (Wilcoxon,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22</m:t>
        </m:r>
      </m:oMath>
      <w:r>
        <w:t xml:space="preserve">, Holm-corrected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); this deficit accompanies every CEC2011</w:t>
      </w:r>
      <w:r>
        <w:t xml:space="preserve"> </w:t>
      </w:r>
      <w:r>
        <w:t xml:space="preserve">outcome statement in the main paper and is restated here so that this</w:t>
      </w:r>
      <w:r>
        <w:t xml:space="preserve"> </w:t>
      </w:r>
      <w:r>
        <w:t xml:space="preserve">section cannot be read as a panel-wide best claim.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239" w:name="ref_tab_cec2011_stats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10</w:t>
      </w:r>
      <w:r>
        <w:fldChar w:fldCharType="end"/>
      </w:r>
      <w:bookmarkEnd w:id="239"/>
      <w:r>
        <w:rPr>
          <w:b/>
        </w:rPr>
        <w:t xml:space="preserve">. </w:t>
      </w:r>
      <w:r>
        <w:t xml:space="preserve"> Across-problem Wilcoxon signed-rank summary, DT-GSK vs. GSK</w:t>
      </w:r>
      <w:r>
        <w:t xml:space="preserve"> </w:t>
      </w:r>
      <w:r>
        <w:t xml:space="preserve">on CEC2011 (</w:t>
      </w:r>
      <m:oMath>
        <m:r>
          <m:t>n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problems, 25 runs each, per-problem mean of the raw</w:t>
      </w:r>
      <w:r>
        <w:t xml:space="preserve"> </w:t>
      </w:r>
      <w:r>
        <w:t xml:space="preserve">best objective):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raw and Holm-corrected</w:t>
      </w:r>
      <w:r>
        <w:t xml:space="preserve"> </w:t>
      </w:r>
      <m:oMath>
        <m:r>
          <m:t>p</m:t>
        </m:r>
      </m:oMath>
      <w:r>
        <w:t xml:space="preserve">, and</w:t>
      </w:r>
      <w:r>
        <w:t xml:space="preserve"> </w:t>
      </w:r>
      <w:r>
        <w:t xml:space="preserve">win/tie/loss counts (tie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The</w:t>
      </w:r>
      <w:r>
        <w:t xml:space="preserve"> </w:t>
      </w:r>
      <w:r>
        <w:t xml:space="preserve">Holm-corrected decision is no significant difference. Panel-level context: the</w:t>
      </w:r>
      <w:r>
        <w:t xml:space="preserve"> </w:t>
      </w:r>
      <w:r>
        <w:t xml:space="preserve">corresponding panel-wide tests include a significant loss to eGSK</w:t>
      </w:r>
      <w:r>
        <w:t xml:space="preserve"> </w:t>
      </w:r>
      <w:r>
        <w:t xml:space="preserve">(Holm-corrected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</w:t>
      </w:r>
    </w:p>
    <w:tbl>
      <w:tblPr>
        <w:tblStyle w:val="Table"/>
        <w:tblW w:w="1498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1 Wilcoxon signed-rank summary, DT-GSK vs GSK (R+/R-, p-value, win/tie/loss)."/>
        <w:tblDescription w:val="CEC2011 Wilcoxon signed-rank summary, DT-GSK vs GSK (R+/R-, p-value, win/tie/loss)."/>
        <w:tblLook w:val="04A0" w:firstRow="1" w:lastRow="0" w:firstColumn="0" w:lastColumn="0" w:noHBand="0" w:noVBand="1"/>
      </w:tblPr>
      <w:tblGrid>
        <w:gridCol w:w="848"/>
        <w:gridCol w:w="650"/>
      </w:tblGrid>
      <w:tr>
        <w:trPr>
          <w:cantSplit/>
          <w:tblHeader/>
        </w:trPr>
        <w:tc>
          <w:tcPr>
            <w:tcW w:w="848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Metric</w:t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R+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159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R-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51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 value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0.0458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 holm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0.1374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Wins+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Ties=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Losses-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7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=</w:t>
            </w:r>
          </w:p>
        </w:tc>
      </w:tr>
    </w:tbl>
    <w:p>
      <w:pPr>
        <w:pStyle w:val="BodyText"/>
      </w:pPr>
      <w:r>
        <w:t xml:space="preserve">The per-problem five-statistic detail behind that summary — relocated here</w:t>
      </w:r>
      <w:r>
        <w:t xml:space="preserve"> </w:t>
      </w:r>
      <w:r>
        <w:t xml:space="preserve">from the main text so the main paper carries only the corroborative ranking</w:t>
      </w:r>
      <w:r>
        <w:t xml:space="preserve"> </w:t>
      </w:r>
      <w:r>
        <w:t xml:space="preserve">and significance — is given in Table </w:t>
      </w:r>
      <w:r>
        <w:fldChar w:fldCharType="begin"/>
      </w:r>
      <w:r>
        <w:instrText xml:space="preserve"> REF ref_tab_cec2011_perproblem \h </w:instrText>
      </w:r>
      <w:r>
        <w:fldChar w:fldCharType="separate"/>
      </w:r>
      <w:r>
        <w:t xml:space="preserve">A11</w:t>
      </w:r>
      <w:r>
        <w:fldChar w:fldCharType="end"/>
      </w:r>
      <w:r>
        <w:t xml:space="preserve">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240" w:name="ref_tab_cec2011_perproblem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11</w:t>
      </w:r>
      <w:r>
        <w:fldChar w:fldCharType="end"/>
      </w:r>
      <w:bookmarkEnd w:id="240"/>
      <w:r>
        <w:rPr>
          <w:b/>
        </w:rPr>
        <w:t xml:space="preserve">. </w:t>
      </w:r>
      <w:r>
        <w:t xml:space="preserve"> CEC2011 real-world suite (22 problems, native dimensions, 25 runs,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,</m:t>
        </m:r>
        <m:r>
          <m:t>000</m:t>
        </m:r>
      </m:oMath>
      <w:r>
        <w:t xml:space="preserve">): best / median / worst / mean / SD of the final</w:t>
      </w:r>
      <w:r>
        <w:t xml:space="preserve"> </w:t>
      </w:r>
      <w:r>
        <w:t xml:space="preserve">raw objective value for GSK vs. DT-GSK; best mean per problem in bold (raw</w:t>
      </w:r>
      <w:r>
        <w:t xml:space="preserve"> </w:t>
      </w:r>
      <w:r>
        <w:t xml:space="preserve">best-fitness basis; negative optima occur on some problems). Within the</w:t>
      </w:r>
      <w:r>
        <w:t xml:space="preserve"> </w:t>
      </w:r>
      <w:r>
        <w:t xml:space="preserve">seven-algorithm family panel on this suite, DT-GSK significantly loses to</w:t>
      </w:r>
      <w:r>
        <w:t xml:space="preserve"> </w:t>
      </w:r>
      <w:r>
        <w:t xml:space="preserve">eGSK across problems (Wilcoxon,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22</m:t>
        </m:r>
      </m:oMath>
      <w:r>
        <w:t xml:space="preserve">, Holm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);</w:t>
      </w:r>
      <w:r>
        <w:t xml:space="preserve"> </w:t>
      </w:r>
      <w:r>
        <w:t xml:space="preserve">these head-to-head columns show GSK vs. DT-GSK only and must not be read as</w:t>
      </w:r>
      <w:r>
        <w:t xml:space="preserve"> </w:t>
      </w:r>
      <w:r>
        <w:t xml:space="preserve">a panel-wide best claim.</w:t>
      </w:r>
    </w:p>
    <w:tbl>
      <w:tblPr>
        <w:tblStyle w:val="Table"/>
        <w:tblW w:w="9152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1 real-world suite (22 problems, 25 runs, MaxFES=150000): GSK vs DT-GSK descriptive statistics (Best/Median/Mean/Worst/SD, best-fitness basis)."/>
        <w:tblDescription w:val="CEC2011 real-world suite (22 problems, 25 runs, MaxFES=150000): GSK vs DT-GSK descriptive statistics (Best/Median/Mean/Worst/SD, best-fitness basis)."/>
        <w:tblLook w:val="04A0" w:firstRow="1" w:lastRow="0" w:firstColumn="0" w:lastColumn="0" w:noHBand="0" w:noVBand="1"/>
      </w:tblPr>
      <w:tblGrid>
        <w:gridCol w:w="760"/>
        <w:gridCol w:w="848"/>
        <w:gridCol w:w="848"/>
        <w:gridCol w:w="848"/>
        <w:gridCol w:w="848"/>
        <w:gridCol w:w="760"/>
        <w:gridCol w:w="936"/>
        <w:gridCol w:w="848"/>
        <w:gridCol w:w="848"/>
        <w:gridCol w:w="848"/>
        <w:gridCol w:w="760"/>
      </w:tblGrid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Function</w:t>
            </w:r>
          </w:p>
        </w:tc>
        <w:tc>
          <w:tcPr>
            <w:tcW w:w="4152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GSK</w:t>
            </w:r>
          </w:p>
        </w:tc>
        <w:tc>
          <w:tcPr>
            <w:tcW w:w="4240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DT-GSK (Proposed)</w:t>
            </w:r>
          </w:p>
        </w:tc>
      </w:tr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  <w:tc>
          <w:tcPr>
            <w:tcW w:w="93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1.56E-19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1.29E+01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4.99E+00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1.36E+00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3.64E+00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-1.33E+01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-1.12E+01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-9.50E+00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-1.12E+01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8.72E-01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-2.45E+01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-1.97E+01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-1.53E+01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-2.01E+01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2.28E+00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1.15E-05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1.15E-05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1.15E-05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1.40E-19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1.15E-05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1.15E-05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1.15E-05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1.15E-05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1.02E-18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2.10E+01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-2.30E+01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-2.04E+01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-1.84E+01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-2.03E+01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1.05E+00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-3.41E+01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-3.36E+01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-3.12E+01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-3.28E+01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-1.35E+01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-6.25E+00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-1.55E+00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-6.80E+00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2.45E+00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-2.73E+01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-2.29E+01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-2.19E+01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5.13E+00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F7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1.53E+00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1.81E+00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1.97E+00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1.10E-01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6.48E-01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1.03E+00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1.48E+00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2.12E-01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F8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F9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1.59E+03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2.16E+03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3.34E+03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4.44E+02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1.65E+03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2.32E+03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3.89E+03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4.73E+02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-2.18E+01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-2.16E+01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-2.14E+01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-2.16E+01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1.22E-01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-2.18E+01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-2.16E+01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-2.14E+01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-2.16E+01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1.53E-01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5.14E+04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5.22E+04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5.32E+04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5.23E+04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5.25E+02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5.13E+04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5.24E+04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5.32E+04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5.23E+04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5.82E+02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1.07E+06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1.07E+06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1.08E+06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1.07E+06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1.53E+03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1.07E+06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1.07E+06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1.08E+06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1.07E+06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2.23E+03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1.54E+04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1.54E+04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1.55E+04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1.54E+04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8.63E+00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1.54E+04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1.54E+04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1.55E+04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1.54E+04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1.82E+04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1.85E+04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1.87E+04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1.85E+04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1.22E+02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1.81E+04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1.82E+04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1.83E+04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1.82E+04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7.07E+01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3.28E+04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3.28E+04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3.29E+04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2.79E+01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3.27E+04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3.28E+04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3.28E+04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2.27E+01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1.32E+05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1.35E+05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1.38E+05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1.35E+05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1.87E+03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1.29E+05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1.31E+05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1.34E+05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1.31E+05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1.39E+03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F17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1.96E+06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2.07E+06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2.32E+06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2.09E+06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9.46E+04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1.87E+06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1.89E+06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1.93E+06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1.89E+06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1.55E+04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F18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1.03E+06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1.24E+06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1.43E+06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1.26E+06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8.77E+04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9.37E+05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9.40E+05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9.46E+05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9.41E+05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2.09E+03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F19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1.71E+06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1.95E+06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2.21E+06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1.95E+06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1.32E+05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9.41E+05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9.96E+05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4.64E+04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1.27E+06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1.54E+06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1.28E+06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8.72E+04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9.36E+05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9.40E+05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9.44E+05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9.41E+05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2.13E+03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1.34E+01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1.56E+01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2.30E+01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1.74E+00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1.35E+01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1.60E+01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1.84E+01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1.26E+00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8.62E+00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1.43E+01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1.96E+01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3.24E+00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8.65E+00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1.34E+01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3.91E+00</w:t>
            </w:r>
          </w:p>
        </w:tc>
      </w:tr>
    </w:tbl>
    <w:bookmarkEnd w:id="11"/>
    <w:bookmarkStart w:id="12" w:name="lbl_sec_supp_cec2013"/>
    <w:p>
      <w:pPr>
        <w:pStyle w:val="Heading2"/>
      </w:pPr>
      <w:bookmarkStart w:id="241" w:name="ref_sec_supp_cec2013"/>
      <w:r>
        <w:t xml:space="preserve">S2.3.</w:t>
      </w:r>
      <w:bookmarkEnd w:id="241"/>
      <w:r>
        <w:tab/>
      </w:r>
      <w:r>
        <w:t xml:space="preserve"> CEC2013 Second Comparison Suite Detail</w:t>
      </w:r>
    </w:p>
    <w:p>
      <w:pPr>
        <w:pStyle w:val="FirstParagraph"/>
      </w:pPr>
      <w:r>
        <w:t xml:space="preserve">Tables </w:t>
      </w:r>
      <w:r>
        <w:fldChar w:fldCharType="begin"/>
      </w:r>
      <w:r>
        <w:instrText xml:space="preserve"> REF ref_tab_cec2013_d10 \h </w:instrText>
      </w:r>
      <w:r>
        <w:fldChar w:fldCharType="separate"/>
      </w:r>
      <w:r>
        <w:t xml:space="preserve">A12</w:t>
      </w:r>
      <w:r>
        <w:fldChar w:fldCharType="end"/>
      </w:r>
      <w:r>
        <w:t xml:space="preserve">–</w:t>
      </w:r>
      <w:r>
        <w:fldChar w:fldCharType="begin"/>
      </w:r>
      <w:r>
        <w:instrText xml:space="preserve"> REF ref_tab_cec2013_d50 \h </w:instrText>
      </w:r>
      <w:r>
        <w:fldChar w:fldCharType="separate"/>
      </w:r>
      <w:r>
        <w:t xml:space="preserve">A14</w:t>
      </w:r>
      <w:r>
        <w:fldChar w:fldCharType="end"/>
      </w:r>
      <w:r>
        <w:t xml:space="preserve"> report the</w:t>
      </w:r>
      <w:r>
        <w:t xml:space="preserve"> </w:t>
      </w:r>
      <w:r>
        <w:t xml:space="preserve">five-statistic head-to-head detail between DT-GSK and GSK on the</w:t>
      </w:r>
      <w:r>
        <w:t xml:space="preserve"> </w:t>
      </w:r>
      <w:r>
        <w:t xml:space="preserve">CEC2013 second comparison suite (28 functions, 51 runs)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30</m:t>
        </m:r>
      </m:oMath>
      <w:r>
        <w:t xml:space="preserve">, and</w:t>
      </w:r>
      <w:r>
        <w:t xml:space="preserve"> </w:t>
      </w:r>
      <m:oMath>
        <m:r>
          <m:t>50</m:t>
        </m:r>
      </m:oMath>
      <w:r>
        <w:t xml:space="preserve">; Table </w:t>
      </w:r>
      <w:r>
        <w:fldChar w:fldCharType="begin"/>
      </w:r>
      <w:r>
        <w:instrText xml:space="preserve"> REF ref_tab_cec2013_wilcoxon \h </w:instrText>
      </w:r>
      <w:r>
        <w:fldChar w:fldCharType="separate"/>
      </w:r>
      <w:r>
        <w:t xml:space="preserve">A15</w:t>
      </w:r>
      <w:r>
        <w:fldChar w:fldCharType="end"/>
      </w:r>
      <w:r>
        <w:t xml:space="preserve"> gives the</w:t>
      </w:r>
      <w:r>
        <w:t xml:space="preserve"> </w:t>
      </w:r>
      <w:r>
        <w:t xml:space="preserve">across-function Wilcoxon signed-rank summary per dimension.</w:t>
      </w:r>
    </w:p>
    <w:p>
      <w:pPr>
        <w:pStyle w:val="BodyText"/>
      </w:pPr>
      <w:r>
        <w:t xml:space="preserve">CEC2013 is a second comparison suite reported for breadth within the</w:t>
      </w:r>
      <w:r>
        <w:t xml:space="preserve"> </w:t>
      </w:r>
      <w:r>
        <w:t xml:space="preserve">same frozen protocol; it is not an independence argument of any kind.</w:t>
      </w:r>
    </w:p>
    <w:p>
      <w:pPr>
        <w:pStyle w:val="BodyText"/>
      </w:pPr>
      <w:r>
        <w:t xml:space="preserve">The panel-level disclosure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is stated up front, alongside</w:t>
      </w:r>
      <w:r>
        <w:t xml:space="preserve"> </w:t>
      </w:r>
      <w:r>
        <w:t xml:space="preserve">— not after — the head-to-head detail: on CEC2013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DT-GSK places</w:t>
      </w:r>
      <w:r>
        <w:t xml:space="preserve"> </w:t>
      </w:r>
      <w:r>
        <w:rPr>
          <w:i/>
          <w:iCs/>
        </w:rPr>
        <w:t xml:space="preserve">third</w:t>
      </w:r>
      <w:r>
        <w:t xml:space="preserve"> </w:t>
      </w:r>
      <w:r>
        <w:t xml:space="preserve">by Friedman mean rank (</w:t>
      </w:r>
      <m:oMath>
        <m:r>
          <m:t>3.38</m:t>
        </m:r>
      </m:oMath>
      <w:r>
        <w:t xml:space="preserve">) behind</w:t>
      </w:r>
      <w:r>
        <w:t xml:space="preserve"> </w:t>
      </w:r>
      <w:r>
        <w:t xml:space="preserve">eGSK (</w:t>
      </w:r>
      <m:oMath>
        <m:r>
          <m:t>3.07</m:t>
        </m:r>
      </m:oMath>
      <w:r>
        <w:t xml:space="preserve">) and ATMALS-GSK (</w:t>
      </w:r>
      <m:oMath>
        <m:r>
          <m:t>3.34</m:t>
        </m:r>
      </m:oMath>
      <w:r>
        <w:t xml:space="preserve">).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242" w:name="ref_tab_cec2013_d1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12</w:t>
      </w:r>
      <w:r>
        <w:fldChar w:fldCharType="end"/>
      </w:r>
      <w:bookmarkEnd w:id="242"/>
      <w:r>
        <w:rPr>
          <w:b/>
        </w:rPr>
        <w:t xml:space="preserve">. </w:t>
      </w:r>
      <w:r>
        <w:t xml:space="preserve"> CEC2013 second comparison suite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(28 functions,</w:t>
      </w:r>
      <w:r>
        <w:t xml:space="preserve"> </w:t>
      </w:r>
      <w:r>
        <w:t xml:space="preserve">51 runs): best / median / worst / mean / SD of the final error for GSK</w:t>
      </w:r>
      <w:r>
        <w:t xml:space="preserve"> </w:t>
      </w:r>
      <w:r>
        <w:t xml:space="preserve">vs. DT-GSK; best mean per function in bold. CEC2013 is a second</w:t>
      </w:r>
      <w:r>
        <w:t xml:space="preserve"> </w:t>
      </w:r>
      <w:r>
        <w:t xml:space="preserve">comparison suite reported for breadth of comparison.</w:t>
      </w:r>
    </w:p>
    <w:tbl>
      <w:tblPr>
        <w:tblStyle w:val="Table"/>
        <w:tblW w:w="8536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3 second comparison suite, D=10 (28 functions, 51 runs): GSK vs DT-GSK descriptive statistics."/>
        <w:tblDescription w:val="CEC2013 second comparison suite, D=10 (28 functions, 51 runs): GSK vs DT-GSK descriptive statistics."/>
        <w:tblLook w:val="04A0" w:firstRow="1" w:lastRow="0" w:firstColumn="0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936"/>
        <w:gridCol w:w="760"/>
        <w:gridCol w:w="760"/>
        <w:gridCol w:w="760"/>
        <w:gridCol w:w="760"/>
      </w:tblGrid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Function</w:t>
            </w:r>
          </w:p>
        </w:tc>
        <w:tc>
          <w:tcPr>
            <w:tcW w:w="3800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GSK</w:t>
            </w:r>
          </w:p>
        </w:tc>
        <w:tc>
          <w:tcPr>
            <w:tcW w:w="3976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DT-GSK (Proposed)</w:t>
            </w:r>
          </w:p>
        </w:tc>
      </w:tr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  <w:tc>
          <w:tcPr>
            <w:tcW w:w="93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6.76E-03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2.27E-02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9.38E-02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2.76E-02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1.64E-02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1.37E-07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4.66E-02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1.39E-03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6.66E-03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4.73E-05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3.38E-03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3.09E-01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3.43E-02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5.57E-02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1.42E-01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6.67E-01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1.53E+00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2.04E-04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6.54E-04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2.81E-03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7.33E-04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4.48E-04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6.21E-08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1.79E-09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9.11E-09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9.81E+00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9.81E+00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7.70E+00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4.08E+00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9.81E+00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3.65E+00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4.11E-06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3.31E-05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2.35E-04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4.53E-05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3.92E-05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9.33E-04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6.55E-02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1.08E+00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1.22E-01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1.78E-01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7.53E-02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7.75E-02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1.05E-02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8.36E+00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5.37E+00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2.54E+00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9.09E-02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5.26E+00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1.39E+00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2.10E-01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4.75E-01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6.16E-01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4.64E-01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7.90E-02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7.40E-03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2.71E-02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8.76E-03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8.94E-03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7.23E+00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2.93E+00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4.55E+00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1.29E+00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4.77E+00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9.95E-01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3.46E+00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2.23E+00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1.70E+02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1.87E-01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3.55E-02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4.88E-02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1.31E+02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6.42E+02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1.29E+02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6.34E-01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1.58E+00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2.13E-01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5.24E-02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3.43E-01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1.17E+00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3.86E-01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2.55E+00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9.53E+00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2.41E+00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2.01E+00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1.19E+00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2.87E-01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6.61E-02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3.23E-01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4.16E-01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3.11E-01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6.57E-02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2.09E+00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3.05E-01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1.09E+00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2.19E+00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4.22E-01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5.74E-14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8.09E+01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6.81E+02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1.89E+02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1.69E+01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8.31E+02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1.45E+02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8.67E+02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1.75E+02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3.85E+00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2.19E+01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3.01E+00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3.45E+01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3.72E+01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8.46E+01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4.10E+01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1.19E-13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4.75E+01</w:t>
            </w:r>
          </w:p>
        </w:tc>
      </w:tr>
    </w:tbl>
    <w:p>
      <w:pPr>
        <w:pStyle w:val="TableCaption"/>
        <w:keepNext/>
        <w:keepLines/>
      </w:pPr>
      <w:r>
        <w:rPr>
          <w:b/>
        </w:rPr>
        <w:t xml:space="preserve">Table </w:t>
      </w:r>
      <w:bookmarkStart w:id="243" w:name="ref_tab_cec2013_d3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13</w:t>
      </w:r>
      <w:r>
        <w:fldChar w:fldCharType="end"/>
      </w:r>
      <w:bookmarkEnd w:id="243"/>
      <w:r>
        <w:rPr>
          <w:b/>
        </w:rPr>
        <w:t xml:space="preserve">. </w:t>
      </w:r>
      <w:r>
        <w:t xml:space="preserve"> CEC2013 second comparison suite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(28 functions,</w:t>
      </w:r>
      <w:r>
        <w:t xml:space="preserve"> </w:t>
      </w:r>
      <w:r>
        <w:t xml:space="preserve">51 runs): best / median / worst / mean / SD of the final error for GSK</w:t>
      </w:r>
      <w:r>
        <w:t xml:space="preserve"> </w:t>
      </w:r>
      <w:r>
        <w:t xml:space="preserve">vs. DT-GSK; best mean per function in bold. Panel-level context at</w:t>
      </w:r>
      <w:r>
        <w:t xml:space="preserve"> </w:t>
      </w:r>
      <w:r>
        <w:t xml:space="preserve">this dimension: DT-GSK places third by Friedman mean rank (</w:t>
      </w:r>
      <m:oMath>
        <m:r>
          <m:t>3.38</m:t>
        </m:r>
      </m:oMath>
      <w:r>
        <w:t xml:space="preserve">)</w:t>
      </w:r>
      <w:r>
        <w:t xml:space="preserve"> </w:t>
      </w:r>
      <w:r>
        <w:t xml:space="preserve">behind eGSK (</w:t>
      </w:r>
      <m:oMath>
        <m:r>
          <m:t>3.07</m:t>
        </m:r>
      </m:oMath>
      <w:r>
        <w:t xml:space="preserve">) and ATMALS-GSK (</w:t>
      </w:r>
      <m:oMath>
        <m:r>
          <m:t>3.34</m:t>
        </m:r>
      </m:oMath>
      <w:r>
        <w:t xml:space="preserve">).</w:t>
      </w:r>
    </w:p>
    <w:tbl>
      <w:tblPr>
        <w:tblStyle w:val="Table"/>
        <w:tblW w:w="8536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3 second comparison suite, D=30 (28 functions, 51 runs): GSK vs DT-GSK descriptive statistics."/>
        <w:tblDescription w:val="CEC2013 second comparison suite, D=30 (28 functions, 51 runs): GSK vs DT-GSK descriptive statistics."/>
        <w:tblLook w:val="04A0" w:firstRow="1" w:lastRow="0" w:firstColumn="0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936"/>
        <w:gridCol w:w="760"/>
        <w:gridCol w:w="760"/>
        <w:gridCol w:w="760"/>
        <w:gridCol w:w="760"/>
      </w:tblGrid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Function</w:t>
            </w:r>
          </w:p>
        </w:tc>
        <w:tc>
          <w:tcPr>
            <w:tcW w:w="3800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GSK</w:t>
            </w:r>
          </w:p>
        </w:tc>
        <w:tc>
          <w:tcPr>
            <w:tcW w:w="3976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DT-GSK (Proposed)</w:t>
            </w:r>
          </w:p>
        </w:tc>
      </w:tr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  <w:tc>
          <w:tcPr>
            <w:tcW w:w="93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2.51E+04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9.01E+04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2.57E+05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1.06E+05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5.61E+04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1.10E+04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4.15E+04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2.02E+04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4.44E-07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3.78E+01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5.10E-01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3.16E+06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3.38E+05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7.71E+05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8.86E+01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7.69E+02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1.31E+02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1.49E-03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2.14E-02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3.88E-01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4.39E-02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6.27E-02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2.88E-01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7.40E+01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2.23E+01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7.45E-01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1.54E+01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1.76E-04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4.96E-02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7.27E-01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1.32E-01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1.86E-01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9.38E-03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3.23E-01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3.37E+00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4.98E-01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5.85E-01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3.55E-02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4.79E-02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1.61E+00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2.48E+00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9.86E-03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8.13E-02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9.38E-02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4.87E-02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2.96E-02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8.61E-02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1.97E-01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8.84E-02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3.66E-02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1.63E+01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8.04E+00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1.56E+01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1.16E+01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6.08E+01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1.98E+01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6.80E+03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7.32E+03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2.66E+02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4.55E+02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6.31E+03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7.10E+03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7.06E+03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2.87E+02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6.52E+03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7.21E+02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2.48E+00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2.98E+00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2.49E+00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2.19E-01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3.81E-01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2.98E+00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5.80E-01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9.52E+00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7.29E+01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2.84E+01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7.89E+00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4.96E+00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2.35E+00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5.11E+00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5.98E+00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2.23E+00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3.57E-01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5.42E-01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8.36E+01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4.44E+02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7.50E+01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5.49E+03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7.18E+03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6.64E+03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3.39E+02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6.57E+02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6.24E+03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7.06E+03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7.03E+03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3.01E+02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4.63E+03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5.91E+03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7.33E+02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8.98E-02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1.31E+00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2.19E+01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8.26E+00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7.44E-03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1.54E-03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4.10E+01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3.74E+01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2.28E-13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4.75E+01</w:t>
            </w:r>
          </w:p>
        </w:tc>
      </w:tr>
    </w:tbl>
    <w:p>
      <w:pPr>
        <w:pStyle w:val="TableCaption"/>
        <w:keepNext/>
        <w:keepLines/>
      </w:pPr>
      <w:r>
        <w:rPr>
          <w:b/>
        </w:rPr>
        <w:t xml:space="preserve">Table </w:t>
      </w:r>
      <w:bookmarkStart w:id="244" w:name="ref_tab_cec2013_d5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14</w:t>
      </w:r>
      <w:r>
        <w:fldChar w:fldCharType="end"/>
      </w:r>
      <w:bookmarkEnd w:id="244"/>
      <w:r>
        <w:rPr>
          <w:b/>
        </w:rPr>
        <w:t xml:space="preserve">. </w:t>
      </w:r>
      <w:r>
        <w:t xml:space="preserve"> CEC2013 second comparison suite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(28 functions,</w:t>
      </w:r>
      <w:r>
        <w:t xml:space="preserve"> </w:t>
      </w:r>
      <w:r>
        <w:t xml:space="preserve">51 runs): best / median / worst / mean / SD of the final error for GSK</w:t>
      </w:r>
      <w:r>
        <w:t xml:space="preserve"> </w:t>
      </w:r>
      <w:r>
        <w:t xml:space="preserve">vs. DT-GSK; best mean per function in bold.</w:t>
      </w:r>
    </w:p>
    <w:tbl>
      <w:tblPr>
        <w:tblStyle w:val="Table"/>
        <w:tblW w:w="8536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3 second comparison suite, D=50 (28 functions, 51 runs): GSK vs DT-GSK descriptive statistics."/>
        <w:tblDescription w:val="CEC2013 second comparison suite, D=50 (28 functions, 51 runs): GSK vs DT-GSK descriptive statistics."/>
        <w:tblLook w:val="04A0" w:firstRow="1" w:lastRow="0" w:firstColumn="0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936"/>
        <w:gridCol w:w="760"/>
        <w:gridCol w:w="760"/>
        <w:gridCol w:w="760"/>
        <w:gridCol w:w="760"/>
      </w:tblGrid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Function</w:t>
            </w:r>
          </w:p>
        </w:tc>
        <w:tc>
          <w:tcPr>
            <w:tcW w:w="3800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GSK</w:t>
            </w:r>
          </w:p>
        </w:tc>
        <w:tc>
          <w:tcPr>
            <w:tcW w:w="3976" w:type="dxa"/>
            <w:gridSpan w:val="5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DT-GSK (Proposed)</w:t>
            </w:r>
          </w:p>
        </w:tc>
      </w:tr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  <w:tc>
          <w:tcPr>
            <w:tcW w:w="93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Best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Median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Worst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Mean</w:t>
            </w:r>
          </w:p>
        </w:tc>
        <w:tc>
          <w:tcPr>
            <w:tcW w:w="76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SD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9.40E+04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2.24E+05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5.80E+05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2.36E+05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9.18E+04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4.50E+04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1.06E+05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2.89E+05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1.19E+05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5.64E+04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1.77E-02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8.12E+02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1.58E+06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5.45E+04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2.28E+05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1.08E+05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3.95E+06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4.15E+05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7.59E+05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3.37E+02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9.99E-03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7.04E-02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3.87E-01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8.86E-02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7.65E-02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9.68E+01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5.04E+01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1.67E+01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7.64E-03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3.26E-01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1.83E+00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6.05E+00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1.52E+00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2.28E-02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5.56E-01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5.99E+00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8.94E-01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9.81E-01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4.11E-02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4.52E-02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6.52E+01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7.32E+01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7.02E+01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1.67E+00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4.04E+00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6.40E-02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2.14E-01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6.13E-01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2.37E-01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1.10E-01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3.69E-02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1.40E-01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4.08E-02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2.71E-02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1.34E+02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9.55E+01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1.35E+01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3.25E+02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1.43E+01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4.38E+01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2.52E+01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1.56E+01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5.91E+01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3.81E+01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1.16E+04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1.31E+04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1.36E+04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1.30E+04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3.60E+02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1.29E+03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8.45E+02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1.27E+04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1.47E+04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1.38E+04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3.82E+02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4.73E+03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6.48E+03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7.85E+03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6.54E+03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7.14E+02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3.35E+00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2.98E-01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3.12E-01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9.06E-01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9.86E-01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4.07E-01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1.37E+01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6.72E+01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8.40E+01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4.20E+01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1.29E+01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6.79E+01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5.11E+01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F19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1.62E+00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1.45E+01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7.38E+00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4.20E+00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5.97E+00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2.58E+01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8.04E+00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4.96E+00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F20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2.19E+01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2.13E+01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3.67E-01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1.77E+01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1.94E+01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1.96E+01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8.06E-01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F21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8.36E+02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8.53E+02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3.32E+02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8.36E+02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6.09E+02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4.17E+02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1.20E+04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1.27E+04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1.34E+04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1.26E+04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3.58E+02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1.63E+03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5.37E+03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3.90E+03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9.60E+02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1.22E+04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1.36E+04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1.42E+04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1.35E+04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3.77E+02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5.23E+03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6.42E+03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9.33E+03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6.53E+03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8.33E+02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F24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1.12E+01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2.03E+02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2.18E+02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3.58E+00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F25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2.97E+02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3.94E+02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3.72E+02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3.76E+01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3.84E+02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3.66E+02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1.21E+01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F26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4.80E+02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6.95E+01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4.17E+02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7.05E+01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F27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3.47E+02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5.34E+02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9.11E+02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5.64E+02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1.37E+02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3.48E+02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5.79E+02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1.05E+03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5.91E+02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1.58E+02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F28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3.34E+03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5.15E+02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5.75E+02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4.00E+02</w:t>
            </w:r>
          </w:p>
        </w:tc>
        <w:tc>
          <w:tcPr>
            <w:tcW w:w="76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0.00E+00</w:t>
            </w:r>
          </w:p>
        </w:tc>
      </w:tr>
    </w:tbl>
    <w:p>
      <w:pPr>
        <w:pStyle w:val="TableCaption"/>
        <w:keepNext/>
        <w:keepLines/>
      </w:pPr>
      <w:r>
        <w:rPr>
          <w:b/>
        </w:rPr>
        <w:t xml:space="preserve">Table </w:t>
      </w:r>
      <w:bookmarkStart w:id="245" w:name="ref_tab_cec2013_wilcoxon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15</w:t>
      </w:r>
      <w:r>
        <w:fldChar w:fldCharType="end"/>
      </w:r>
      <w:bookmarkEnd w:id="245"/>
      <w:r>
        <w:rPr>
          <w:b/>
        </w:rPr>
        <w:t xml:space="preserve">. </w:t>
      </w:r>
      <w:r>
        <w:t xml:space="preserve"> Across-function Wilcoxon signed-rank summary, DT-GSK vs. GSK</w:t>
      </w:r>
      <w:r>
        <w:t xml:space="preserve"> </w:t>
      </w:r>
      <w:r>
        <w:t xml:space="preserve">on the CEC2013 second comparison suite per dimension (</w:t>
      </w:r>
      <m:oMath>
        <m:r>
          <m:t>n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functions,</w:t>
      </w:r>
      <w:r>
        <w:t xml:space="preserve"> </w:t>
      </w:r>
      <w:r>
        <w:t xml:space="preserve">51 runs, per-function mean error):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raw and</w:t>
      </w:r>
      <w:r>
        <w:t xml:space="preserve"> </w:t>
      </w:r>
      <w:r>
        <w:t xml:space="preserve">Holm-corrected</w:t>
      </w:r>
      <w:r>
        <w:t xml:space="preserve"> </w:t>
      </w:r>
      <m:oMath>
        <m:r>
          <m:t>p</m:t>
        </m:r>
      </m:oMath>
      <w:r>
        <w:t xml:space="preserve">, win/tie/loss (tie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), and the</w:t>
      </w:r>
      <w:r>
        <w:t xml:space="preserve"> </w:t>
      </w:r>
      <w:r>
        <w:t xml:space="preserve">decision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Panel-level context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:</w:t>
      </w:r>
      <w:r>
        <w:t xml:space="preserve"> </w:t>
      </w:r>
      <w:r>
        <w:t xml:space="preserve">DT-GSK places third by Friedman mean rank behind eGSK and</w:t>
      </w:r>
      <w:r>
        <w:t xml:space="preserve"> </w:t>
      </w:r>
      <w:r>
        <w:t xml:space="preserve">ATMALS-GSK.</w:t>
      </w:r>
    </w:p>
    <w:tbl>
      <w:tblPr>
        <w:tblStyle w:val="Table"/>
        <w:tblW w:w="3194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EC2013 per-dimension Wilcoxon signed-rank summary, DT-GSK vs GSK (R+/R-, p-value, win/tie/loss; D=10/30/50)."/>
        <w:tblDescription w:val="CEC2013 per-dimension Wilcoxon signed-rank summary, DT-GSK vs GSK (R+/R-, p-value, win/tie/loss; D=10/30/50)."/>
        <w:tblLook w:val="04A0" w:firstRow="1" w:lastRow="0" w:firstColumn="0" w:lastColumn="0" w:noHBand="0" w:noVBand="1"/>
      </w:tblPr>
      <w:tblGrid>
        <w:gridCol w:w="848"/>
        <w:gridCol w:w="848"/>
        <w:gridCol w:w="650"/>
        <w:gridCol w:w="848"/>
      </w:tblGrid>
      <w:tr>
        <w:trPr>
          <w:cantSplit/>
          <w:tblHeader/>
        </w:trPr>
        <w:tc>
          <w:tcPr>
            <w:tcW w:w="848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Metric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D10</w:t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D30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D50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R+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340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286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314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R-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65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37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p-value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&lt;10-4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0.0052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4.57E-04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pHolm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1.87E-04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0.0313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0.0027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Wins (+)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Ties (≈)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Losses (-)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</w:t>
            </w:r>
          </w:p>
        </w:tc>
      </w:tr>
    </w:tbl>
    <w:p>
      <w:pPr>
        <w:pStyle w:val="TableCaption"/>
        <w:keepNext/>
        <w:keepLines/>
      </w:pPr>
      <w:r>
        <w:rPr>
          <w:b/>
        </w:rPr>
        <w:t xml:space="preserve">Table </w:t>
      </w:r>
      <w:bookmarkStart w:id="246" w:name="ref_tab_cec2013_pairwise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16</w:t>
      </w:r>
      <w:r>
        <w:fldChar w:fldCharType="end"/>
      </w:r>
      <w:bookmarkEnd w:id="246"/>
      <w:r>
        <w:rPr>
          <w:b/>
        </w:rPr>
        <w:t xml:space="preserve">. </w:t>
      </w:r>
      <w:r>
        <w:t xml:space="preserve"> Complete across-function Wilcoxon–Holm matrix on the CEC2013 second</w:t>
      </w:r>
      <w:r>
        <w:t xml:space="preserve"> </w:t>
      </w:r>
      <w:r>
        <w:t xml:space="preserve">comparison suite: DT-GSK against each of the six comparators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paired per-function mean errors; zero differences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tie rule are discarded before ranking, and the</w:t>
      </w:r>
      <w:r>
        <w:t xml:space="preserve"> </w:t>
      </w:r>
      <w:r>
        <w:t xml:space="preserve">per-cell effective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recorded in the released workbooks). Columns are the raw</w:t>
      </w:r>
      <w:r>
        <w:t xml:space="preserve"> </w:t>
      </w:r>
      <m:oMath>
        <m:r>
          <m:t>p</m:t>
        </m:r>
      </m:oMath>
      <w:r>
        <w:t xml:space="preserve">,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adjusted by</w:t>
      </w:r>
      <w:r>
        <w:t xml:space="preserve"> </w:t>
      </w:r>
      <w:r>
        <w:t xml:space="preserve">Holm step-down within that dimension’s six-comparison family, the matched-pairs</w:t>
      </w:r>
      <w:r>
        <w:t xml:space="preserve"> </w:t>
      </w:r>
      <w:r>
        <w:t xml:space="preserve">rank-biserial correlation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favors DT-GSK), and the decision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This is the matrix underlying the CEC2013 standing reported in</w:t>
      </w:r>
      <w:r>
        <w:t xml:space="preserve"> </w:t>
      </w:r>
      <w:r>
        <w:t xml:space="preserve">the main text, which prints only the DT-GSK-versus-GSK column</w:t>
      </w:r>
      <w:r>
        <w:t xml:space="preserve"> </w:t>
      </w:r>
      <w:r>
        <w:t xml:space="preserve">(Table </w:t>
      </w:r>
      <w:r>
        <w:fldChar w:fldCharType="begin"/>
      </w:r>
      <w:r>
        <w:instrText xml:space="preserve"> REF ref_tab_cec2013_wilcoxon \h </w:instrText>
      </w:r>
      <w:r>
        <w:fldChar w:fldCharType="separate"/>
      </w:r>
      <w:r>
        <w:t xml:space="preserve">A15</w:t>
      </w:r>
      <w:r>
        <w:fldChar w:fldCharType="end"/>
      </w:r>
      <w:r>
        <w:t xml:space="preserve">). Of the eighteen contrasts, five are</w:t>
      </w:r>
      <w:r>
        <w:t xml:space="preserve"> </w:t>
      </w:r>
      <w:r>
        <w:t xml:space="preserve">Holm-significant and all five favor DT-GSK: GSK at all three dimensions,</w:t>
      </w:r>
      <w:r>
        <w:t xml:space="preserve"> </w:t>
      </w:r>
      <w:r>
        <w:t xml:space="preserve">and ATMALS-GSK and eGSK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. The remaining thirteen are not</w:t>
      </w:r>
      <w:r>
        <w:t xml:space="preserve"> </w:t>
      </w:r>
      <w:r>
        <w:t xml:space="preserve">separated, including every contrast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except GSK.</w:t>
      </w:r>
      <w:r>
        <w:t xml:space="preserve"> </w:t>
      </w:r>
      <w:r>
        <w:t xml:space="preserve">Win/tie/loss counts are not tabulated because no released CEC2013 artifact</w:t>
      </w:r>
      <w:r>
        <w:t xml:space="preserve"> </w:t>
      </w:r>
      <w:r>
        <w:t xml:space="preserve">records them.</w:t>
      </w:r>
    </w:p>
    <w:tbl>
      <w:tblPr>
        <w:tblStyle w:val="Table"/>
        <w:tblW w:w="6811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Complete across-function Wilcoxon-Holm matrix on the CEC2013 second comparison suite: DT-GSK against each of the six comparators at D in 10, 30, 50 (n = 28 paired per-function mean errors)."/>
        <w:tblDescription w:val="Complete across-function Wilcoxon-Holm matrix on the CEC2013 second comparison suite: DT-GSK against each of the six comparators at D in 10, 30, 50 (n = 28 paired per-function mean errors)."/>
        <w:tblLook w:val="04A0" w:firstRow="1" w:lastRow="0" w:firstColumn="0" w:lastColumn="0" w:noHBand="0" w:noVBand="1"/>
      </w:tblPr>
      <w:tblGrid>
        <w:gridCol w:w="826"/>
        <w:gridCol w:w="518"/>
        <w:gridCol w:w="518"/>
        <w:gridCol w:w="518"/>
        <w:gridCol w:w="441"/>
        <w:gridCol w:w="518"/>
        <w:gridCol w:w="518"/>
        <w:gridCol w:w="518"/>
        <w:gridCol w:w="441"/>
        <w:gridCol w:w="518"/>
        <w:gridCol w:w="518"/>
        <w:gridCol w:w="518"/>
        <w:gridCol w:w="441"/>
      </w:tblGrid>
      <w:tr>
        <w:trPr>
          <w:cantSplit/>
          <w:tblHeader/>
        </w:trPr>
        <w:tc>
          <w:tcPr>
            <w:tcW w:w="826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4"/>
              </w:rPr>
              <w:t xml:space="preserve">Algorithm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p (D10)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p_Holm (D10)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r (D10)</w:t>
            </w:r>
          </w:p>
        </w:tc>
        <w:tc>
          <w:tcPr>
            <w:tcW w:w="441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Dec. (D10)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p (D30)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p_Holm (D30)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r (D30)</w:t>
            </w:r>
          </w:p>
        </w:tc>
        <w:tc>
          <w:tcPr>
            <w:tcW w:w="441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Dec. (D30)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p (D50)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p_Holm (D50)</w:t>
            </w:r>
          </w:p>
        </w:tc>
        <w:tc>
          <w:tcPr>
            <w:tcW w:w="51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r (D50)</w:t>
            </w:r>
          </w:p>
        </w:tc>
        <w:tc>
          <w:tcPr>
            <w:tcW w:w="441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4"/>
              </w:rPr>
              <w:t xml:space="preserve">Dec. (D50)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GSK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&lt;10^-4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+0.937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0.0052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0.0313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+0.630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0.0005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0.0027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+0.789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AGSK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0.1462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0.2409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+0.335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0.0422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0.2108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+0.459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0.0133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0.0617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+0.569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APGSK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0.0900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0.2409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+0.391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0.1041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0.3122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+0.368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0.0123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0.0617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+0.575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FDB-AGSK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0.0803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0.2409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+0.403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0.0422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0.2108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+0.459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0.0166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0.0617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+0.551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ATMALS-GSK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0.0004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0.0017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+0.795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0.3740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0.7481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-0.202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0.1340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0.2680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+0.339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</w:tr>
      <w:tr>
        <w:trPr>
          <w:cantSplit/>
        </w:trPr>
        <w:tc>
          <w:tcPr>
            <w:tcW w:w="826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eGSK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0.0003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0.0017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+0.822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0.4209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0.7481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-0.180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0.4349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0.4349</w:t>
            </w:r>
          </w:p>
        </w:tc>
        <w:tc>
          <w:tcPr>
            <w:tcW w:w="518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+0.175</w:t>
            </w:r>
          </w:p>
        </w:tc>
        <w:tc>
          <w:tcPr>
            <w:tcW w:w="44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=</w:t>
            </w:r>
          </w:p>
        </w:tc>
      </w:tr>
    </w:tbl>
    <w:bookmarkEnd w:id="12"/>
    <w:bookmarkStart w:id="13" w:name="lbl_sec_supp_bca"/>
    <w:p>
      <w:pPr>
        <w:pStyle w:val="Heading2"/>
      </w:pPr>
      <w:bookmarkStart w:id="247" w:name="ref_sec_supp_bca"/>
      <w:r>
        <w:t xml:space="preserve">S2.4.</w:t>
      </w:r>
      <w:bookmarkEnd w:id="247"/>
      <w:r>
        <w:tab/>
      </w:r>
      <w:r>
        <w:t xml:space="preserve"> Descriptive Bootstrap Rank-Stability Intervals on the CEC2017 Friedman Mean Ranks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ref_tab_bca_ci \h </w:instrText>
      </w:r>
      <w:r>
        <w:fldChar w:fldCharType="separate"/>
      </w:r>
      <w:r>
        <w:t xml:space="preserve">A17</w:t>
      </w:r>
      <w:r>
        <w:fldChar w:fldCharType="end"/>
      </w:r>
      <w:r>
        <w:t xml:space="preserve"> attaches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bias-corrected and accelerated</w:t>
      </w:r>
      <w:r>
        <w:t xml:space="preserve"> </w:t>
      </w:r>
      <w:r>
        <w:t xml:space="preserve">(BCa) bootstrap descriptive rank-stability intervals </w:t>
      </w:r>
      <w:r>
        <w:fldChar w:fldCharType="begin"/>
      </w:r>
      <w:r>
        <w:instrText xml:space="preserve"> CITATION efron1993introduction \l 1033 </w:instrText>
      </w:r>
      <w:r>
        <w:fldChar w:fldCharType="separate"/>
      </w:r>
      <w:r>
        <w:t xml:space="preserve">[10]</w:t>
      </w:r>
      <w:r>
        <w:fldChar w:fldCharType="end"/>
      </w:r>
      <w:r>
        <w:t xml:space="preserve"> to the</w:t>
      </w:r>
      <w:r>
        <w:t xml:space="preserve"> </w:t>
      </w:r>
      <w:r>
        <w:t xml:space="preserve">CEC2017 Friedman mean ranks of the main paper: per dimension, the 29</w:t>
      </w:r>
      <w:r>
        <w:t xml:space="preserve"> </w:t>
      </w:r>
      <w:r>
        <w:t xml:space="preserve">function-level midranks are resampled 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boot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seeded replicates (base seed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260</m:t>
        </m:r>
        <m:r>
          <m:rPr>
            <m:sty m:val="p"/>
          </m:rPr>
          <m:t>,</m:t>
        </m:r>
        <m:r>
          <m:t>422</m:t>
        </m:r>
      </m:oMath>
      <w:r>
        <w:t xml:space="preserve">), and the point</w:t>
      </w:r>
      <w:r>
        <w:t xml:space="preserve"> </w:t>
      </w:r>
      <w:r>
        <w:t xml:space="preserve">estimates reproduce the main-text rank table exactly at two-decimal</w:t>
      </w:r>
      <w:r>
        <w:t xml:space="preserve"> </w:t>
      </w:r>
      <w:r>
        <w:t xml:space="preserve">display.</w:t>
      </w:r>
      <w:r>
        <w:t xml:space="preserve"> </w:t>
      </w:r>
      <w:r>
        <w:t xml:space="preserve">Because these intervals resample each algorithm’s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per-function</w:t>
      </w:r>
      <w:r>
        <w:t xml:space="preserve"> </w:t>
      </w:r>
      <w:r>
        <w:t xml:space="preserve">midranks rather than re-ranking the algorithms within every bootstrap</w:t>
      </w:r>
      <w:r>
        <w:t xml:space="preserve"> </w:t>
      </w:r>
      <w:r>
        <w:t xml:space="preserve">sample, they are</w:t>
      </w:r>
      <w:r>
        <w:t xml:space="preserve"> </w:t>
      </w:r>
      <w:r>
        <w:rPr>
          <w:i/>
          <w:iCs/>
        </w:rPr>
        <w:t xml:space="preserve">descriptive</w:t>
      </w:r>
      <w:r>
        <w:t xml:space="preserve"> </w:t>
      </w:r>
      <w:r>
        <w:t xml:space="preserve">rank-stability intervals — summarizing</w:t>
      </w:r>
      <w:r>
        <w:t xml:space="preserve"> </w:t>
      </w:r>
      <w:r>
        <w:t xml:space="preserve">how stable each mean rank is under function resampling — and not</w:t>
      </w:r>
      <w:r>
        <w:t xml:space="preserve"> </w:t>
      </w:r>
      <w:r>
        <w:t xml:space="preserve">inferential rank-uncertainty (confidence) intervals; no ordering probability</w:t>
      </w:r>
      <w:r>
        <w:t xml:space="preserve"> </w:t>
      </w:r>
      <w:r>
        <w:t xml:space="preserve">is read from them.</w:t>
      </w:r>
    </w:p>
    <w:p>
      <w:pPr>
        <w:pStyle w:val="BodyText"/>
      </w:pPr>
      <w:r>
        <w:t xml:space="preserve">Two qualifications accompany this table wherever its ranks are used.</w:t>
      </w:r>
      <w:r>
        <w:t xml:space="preserve"> </w:t>
      </w:r>
      <w:r>
        <w:t xml:space="preserve">First, rank-ordering statements are qualified by the prespecified</w:t>
      </w:r>
      <w:r>
        <w:t xml:space="preserve"> </w:t>
      </w:r>
      <w:r>
        <w:t xml:space="preserve">robustness battery: median-based re-ranking (variant r01) changes</w:t>
      </w:r>
      <w:r>
        <w:t xml:space="preserve"> </w:t>
      </w:r>
      <w:r>
        <w:t xml:space="preserve">adjacent ordinal positions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(APGSK/eGSK swap) and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(FDB-AGSK/ATMALS-GSK swap) and shifts win/tie/loss counts,</w:t>
      </w:r>
      <w:r>
        <w:t xml:space="preserve"> </w:t>
      </w:r>
      <w:r>
        <w:t xml:space="preserve">and disputed-cell exclusion (variant r04, APGSK removed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–</w:t>
      </w:r>
      <m:oMath>
        <m:r>
          <m:t>50</m:t>
        </m:r>
      </m:oMath>
      <w:r>
        <w:t xml:space="preserve">) changes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ordering (GSK and FDB-AGSK swap</w:t>
      </w:r>
      <w:r>
        <w:t xml:space="preserve"> </w:t>
      </w:r>
      <w:r>
        <w:t xml:space="preserve">ordinal positions 4/5); mean-based ranks are the prespecified</w:t>
      </w:r>
      <w:r>
        <w:t xml:space="preserve"> </w:t>
      </w:r>
      <w:r>
        <w:t xml:space="preserve">primary, DT-GSK’s own ordinal position is identical under both of these</w:t>
      </w:r>
      <w:r>
        <w:t xml:space="preserve"> </w:t>
      </w:r>
      <w:r>
        <w:t xml:space="preserve">robustness variants, but panel orderings between comparators are not fully robust.</w:t>
      </w:r>
      <w:r>
        <w:t xml:space="preserve"> </w:t>
      </w:r>
      <w:r>
        <w:t xml:space="preserve">Under the median endpoint DT-GSK’s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first place becomes an</w:t>
      </w:r>
      <w:r>
        <w:t xml:space="preserve"> </w:t>
      </w:r>
      <w:r>
        <w:t xml:space="preserve">exact tie with eGSK (both 2.59).</w:t>
      </w:r>
    </w:p>
    <w:p>
      <w:pPr>
        <w:pStyle w:val="BodyText"/>
      </w:pPr>
      <w:r>
        <w:t xml:space="preserve">Second, DT-GSK and eGSK are never separated by the Nemenyi</w:t>
      </w:r>
      <w:r>
        <w:t xml:space="preserve"> </w:t>
      </w:r>
      <w:r>
        <w:t xml:space="preserve">critical difference at any dimension (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1.673</m:t>
        </m:r>
      </m:oMath>
      <w:r>
        <w:t xml:space="preserve">): differences inside a common CD</w:t>
      </w:r>
      <w:r>
        <w:t xml:space="preserve"> </w:t>
      </w:r>
      <w:r>
        <w:t xml:space="preserve">band are reported as not statistically</w:t>
      </w:r>
      <w:r>
        <w:t xml:space="preserve"> </w:t>
      </w:r>
      <w:r>
        <w:t xml:space="preserve">separable </w:t>
      </w:r>
      <w:r>
        <w:fldChar w:fldCharType="begin"/>
      </w:r>
      <w:r>
        <w:instrText xml:space="preserve"> CITATION demsar2006statistical \l 1033 </w:instrText>
      </w:r>
      <w:r>
        <w:fldChar w:fldCharType="separate"/>
      </w:r>
      <w:r>
        <w:t xml:space="preserve">[9]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The APGSK evidence limitation of Section </w:t>
      </w:r>
      <w:r>
        <w:fldChar w:fldCharType="begin"/>
      </w:r>
      <w:r>
        <w:instrText xml:space="preserve"> REF ref_sec_supp_cec2017_tables \h </w:instrText>
      </w:r>
      <w:r>
        <w:fldChar w:fldCharType="separate"/>
      </w:r>
      <w:r>
        <w:t xml:space="preserve">S1</w:t>
      </w:r>
      <w:r>
        <w:fldChar w:fldCharType="end"/>
      </w:r>
      <w:r>
        <w:t xml:space="preserve"> </w:t>
      </w:r>
      <w:r>
        <w:t xml:space="preserve">applies to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–</w:t>
      </w:r>
      <m:oMath>
        <m:r>
          <m:t>50</m:t>
        </m:r>
      </m:oMath>
      <w:r>
        <w:t xml:space="preserve"> </w:t>
      </w:r>
      <w:r>
        <w:t xml:space="preserve">columns here as well.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248" w:name="ref_tab_bca_ci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17</w:t>
      </w:r>
      <w:r>
        <w:fldChar w:fldCharType="end"/>
      </w:r>
      <w:bookmarkEnd w:id="248"/>
      <w:r>
        <w:rPr>
          <w:b/>
        </w:rPr>
        <w:t xml:space="preserve">.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bootstrap BCa descriptive rank-stability intervals on the CEC2017</w:t>
      </w:r>
      <w:r>
        <w:t xml:space="preserve"> </w:t>
      </w:r>
      <w:r>
        <w:t xml:space="preserve">Friedman mean ranks of the seven-algorithm GSK-family panel (per dimension;</w:t>
      </w:r>
      <w:r>
        <w:t xml:space="preserve"> </w:t>
      </w:r>
      <w:r>
        <w:t xml:space="preserve">29 function-level midranks resampled,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boot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,</w:t>
      </w:r>
      <w:r>
        <w:t xml:space="preserve"> </w:t>
      </w:r>
      <w:r>
        <w:t xml:space="preserve">seeded with base seed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260</m:t>
        </m:r>
        <m:r>
          <m:rPr>
            <m:sty m:val="p"/>
          </m:rPr>
          <m:t>,</m:t>
        </m:r>
        <m:r>
          <m:t>422</m:t>
        </m:r>
      </m:oMath>
      <w:r>
        <w:t xml:space="preserve">); point estimates reproduce the</w:t>
      </w:r>
      <w:r>
        <w:t xml:space="preserve"> </w:t>
      </w:r>
      <w:r>
        <w:t xml:space="preserve">main-text Friedman rank table exactly at 2-decimal display. Lower is</w:t>
      </w:r>
      <w:r>
        <w:t xml:space="preserve"> </w:t>
      </w:r>
      <w:r>
        <w:t xml:space="preserve">better. Rank orderings between comparators are not fully robust under</w:t>
      </w:r>
      <w:r>
        <w:t xml:space="preserve"> </w:t>
      </w:r>
      <w:r>
        <w:t xml:space="preserve">the prespecified r01/r04 robustness variants, and DT-GSK and</w:t>
      </w:r>
      <w:r>
        <w:t xml:space="preserve"> </w:t>
      </w:r>
      <w:r>
        <w:t xml:space="preserve">eGSK are never Nemenyi-separable (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1.673</m:t>
        </m:r>
      </m:oMath>
      <w:r>
        <w:t xml:space="preserve">). APGSK</w:t>
      </w:r>
      <w:r>
        <w:t xml:space="preserve"> </w:t>
      </w:r>
      <w:r>
        <w:t xml:space="preserve">columns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–</w:t>
      </w:r>
      <m:oMath>
        <m:r>
          <m:t>50</m:t>
        </m:r>
      </m:oMath>
      <w:r>
        <w:t xml:space="preserve"> </w:t>
      </w:r>
      <w:r>
        <w:t xml:space="preserve">rest on the disclosed per-generation-log</w:t>
      </w:r>
      <w:r>
        <w:t xml:space="preserve"> </w:t>
      </w:r>
      <w:r>
        <w:t xml:space="preserve">evidence basis.</w:t>
      </w:r>
    </w:p>
    <w:tbl>
      <w:tblPr>
        <w:tblStyle w:val="Table"/>
        <w:tblW w:w="3646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BCa 95% CI companion to the CEC2017 Friedman mean ranks (rank-CI table; frozen T16bca.tex content)"/>
        <w:tblDescription w:val="BCa 95% CI companion to the CEC2017 Friedman mean ranks (rank-CI table; frozen T16bca.tex content)"/>
        <w:tblLook w:val="04A0" w:firstRow="1" w:lastRow="0" w:firstColumn="0" w:lastColumn="0" w:noHBand="0" w:noVBand="1"/>
      </w:tblPr>
      <w:tblGrid>
        <w:gridCol w:w="1046"/>
        <w:gridCol w:w="650"/>
        <w:gridCol w:w="650"/>
        <w:gridCol w:w="650"/>
        <w:gridCol w:w="650"/>
      </w:tblGrid>
      <w:tr>
        <w:trPr>
          <w:cantSplit/>
          <w:tblHeader/>
        </w:trPr>
        <w:tc>
          <w:tcPr>
            <w:tcW w:w="1046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Algorithm</w:t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D10</w:t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D30</w:t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D50</w:t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D100</w:t>
            </w:r>
          </w:p>
        </w:tc>
      </w:tr>
      <w:tr>
        <w:trPr>
          <w:cantSplit/>
          <w:tblHeader/>
        </w:trPr>
        <w:tc>
          <w:tcPr>
            <w:tcW w:w="1046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Mean [95% BCa CI]</w:t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Mean [95% BCa CI]</w:t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Mean [95% BCa CI]</w:t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Mean [95% BCa CI]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GSK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5.52 [4.88, 6.02]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4.50 [3.64, 5.28]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4.76 [3.86, 5.52]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4.03 [3.21, 4.79]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AGSK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3.05 [2.59, 3.55]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4.69 [4.24, 4.97]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4.79 [4.10, 5.24]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4.83 [4.28, 5.24]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APGSK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3.57 [2.95, 4.16]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5.41 [4.45, 6.03]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5.34 [4.76, 5.79]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5.90 [5.21, 6.34]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FDB-AGSK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3.45 [2.83, 4.10]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4.41 [3.90, 4.90]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3.97 [3.45, 4.41]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4.55 [3.86, 5.00]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ATMALS-GSK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5.29 [4.67, 5.83]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4.19 [3.71, 4.72]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4.31 [3.66, 4.90]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3.66 [3.14, 4.17]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eGSK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4.24 [3.53, 4.86]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2.29 [1.78, 3.09]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2.62 [1.93, 3.41]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2.69 [2.00, 3.55]</w:t>
            </w:r>
          </w:p>
        </w:tc>
      </w:tr>
      <w:tr>
        <w:trPr>
          <w:cantSplit/>
        </w:trPr>
        <w:tc>
          <w:tcPr>
            <w:tcW w:w="10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DT-GSK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2.88 [2.29, 3.43]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2.50 [2.07, 3.10]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2.21 [1.86, 2.69]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2.34 [1.90, 2.83]</w:t>
            </w:r>
          </w:p>
        </w:tc>
      </w:tr>
    </w:tbl>
    <w:bookmarkEnd w:id="13"/>
    <w:bookmarkStart w:id="16" w:name="lbl_sec_supp_posthoc"/>
    <w:p>
      <w:pPr>
        <w:pStyle w:val="Heading2"/>
      </w:pPr>
      <w:bookmarkStart w:id="249" w:name="ref_sec_supp_posthoc"/>
      <w:r>
        <w:t xml:space="preserve">S2.5.</w:t>
      </w:r>
      <w:bookmarkEnd w:id="249"/>
      <w:r>
        <w:tab/>
      </w:r>
      <w:r>
        <w:t xml:space="preserve"> Post-hoc Robustness: Endpoint Choice and Randomization Inference</w:t>
      </w:r>
    </w:p>
    <w:p>
      <w:pPr>
        <w:pStyle w:val="FirstParagraph"/>
      </w:pPr>
      <w:r>
        <w:t xml:space="preserve">This subsection reports two</w:t>
      </w:r>
      <w:r>
        <w:t xml:space="preserve"> </w:t>
      </w:r>
      <w:r>
        <w:rPr>
          <w:i/>
          <w:iCs/>
        </w:rPr>
        <w:t xml:space="preserve">post-hoc</w:t>
      </w:r>
      <w:r>
        <w:t xml:space="preserve"> </w:t>
      </w:r>
      <w:r>
        <w:t xml:space="preserve">sensitivity checks — not part of</w:t>
      </w:r>
      <w:r>
        <w:t xml:space="preserve"> </w:t>
      </w:r>
      <w:r>
        <w:t xml:space="preserve">the prespecified analysis plan, which fixes the raw-error endpoint and the</w:t>
      </w:r>
      <w:r>
        <w:t xml:space="preserve"> </w:t>
      </w:r>
      <w:r>
        <w:t xml:space="preserve">normal-approximation Wilcoxon signed-rank test. Both are computed from the</w:t>
      </w:r>
      <w:r>
        <w:t xml:space="preserve"> </w:t>
      </w:r>
      <w:r>
        <w:t xml:space="preserve">frozen per-run and descriptive-statistics artifacts of the evidence release (no</w:t>
      </w:r>
      <w:r>
        <w:t xml:space="preserve"> </w:t>
      </w:r>
      <w:r>
        <w:t xml:space="preserve">new runs) and confirm that the primary CEC2017 conclusions are not artifacts of</w:t>
      </w:r>
      <w:r>
        <w:t xml:space="preserve"> </w:t>
      </w:r>
      <w:r>
        <w:t xml:space="preserve">those two prespecified choices.</w:t>
      </w:r>
    </w:p>
    <w:bookmarkStart w:id="14" w:name="lbl_endpoint_invariance"/>
    <w:p>
      <w:pPr>
        <w:pStyle w:val="Heading4"/>
      </w:pPr>
      <w:r>
        <w:t xml:space="preserve">Endpoint invariance.</w:t>
      </w:r>
    </w:p>
    <w:p>
      <w:pPr>
        <w:pStyle w:val="FirstParagraph"/>
      </w:pPr>
      <w:r>
        <w:t xml:space="preserve">Re-deriving the Friedman mean ranks under a median endpoint and a</w:t>
      </w:r>
      <w:r>
        <w:t xml:space="preserve"> </w:t>
      </w:r>
      <w:r>
        <w:t xml:space="preserve">scale-invariant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-error endpoint (floored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 leaves</w:t>
      </w:r>
      <w:r>
        <w:t xml:space="preserve"> </w:t>
      </w:r>
      <w:r>
        <w:t xml:space="preserve">DT-GSK’s rank position unchanged at every dimension, matching the</w:t>
      </w:r>
      <w:r>
        <w:t xml:space="preserve"> </w:t>
      </w:r>
      <w:r>
        <w:t xml:space="preserve">prespecified raw-error ranking: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raw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error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</m:oMath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DT-GSK place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second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</w:t>
            </w:r>
          </w:p>
        </w:tc>
      </w:tr>
    </w:tbl>
    <w:p>
      <w:pPr>
        <w:pStyle w:val="BodyText"/>
      </w:pPr>
      <w:r>
        <w:t xml:space="preserve">Values are the DT-GSK Friedman mean rank (lower is better; seven-algorithm</w:t>
      </w:r>
      <w:r>
        <w:t xml:space="preserve"> </w:t>
      </w:r>
      <w:r>
        <w:t xml:space="preserve">panel). The raw-error column reproduces the frozen main-text Friedman ranks;</w:t>
      </w:r>
      <w:r>
        <w:t xml:space="preserve"> </w:t>
      </w:r>
      <w:r>
        <w:t xml:space="preserve">the median 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columns rank DT-GSK first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second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(behind eGSK, as in the main text) under every endpoint;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that median-endpoint first place is shared with eGSK (both 2.59).</w:t>
      </w:r>
    </w:p>
    <w:bookmarkEnd w:id="14"/>
    <w:bookmarkStart w:id="15" w:name="lbl_monte_carlo_sign_flip_inference"/>
    <w:p>
      <w:pPr>
        <w:pStyle w:val="Heading4"/>
      </w:pPr>
      <w:r>
        <w:t xml:space="preserve">Monte Carlo sign-flip inference.</w:t>
      </w:r>
    </w:p>
    <w:p>
      <w:pPr>
        <w:pStyle w:val="FirstParagraph"/>
      </w:pPr>
      <w:r>
        <w:t xml:space="preserve">Replacing the normal-approximation</w:t>
      </w:r>
      <w:r>
        <w:t xml:space="preserve"> </w:t>
      </w:r>
      <m:oMath>
        <m:r>
          <m:t>p</m:t>
        </m:r>
      </m:oMath>
      <w:r>
        <w:t xml:space="preserve">-value of the headline pairwise Wilcoxon</w:t>
      </w:r>
      <w:r>
        <w:t xml:space="preserve"> </w:t>
      </w:r>
      <w:r>
        <w:t xml:space="preserve">signed-rank comparison (DT-GSK versus each of the six comparators, paired</w:t>
      </w:r>
      <w:r>
        <w:t xml:space="preserve"> </w:t>
      </w:r>
      <w:r>
        <w:t xml:space="preserve">across the 29 scored functions) with a Monte Carlo sign-flip randomization of the</w:t>
      </w:r>
      <w:r>
        <w:t xml:space="preserve"> </w:t>
      </w:r>
      <w:r>
        <w:t xml:space="preserve">signed-rank statistic (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random sign assignments, base seed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240</m:t>
        </m:r>
        <m:r>
          <m:rPr>
            <m:sty m:val="p"/>
          </m:rPr>
          <m:t>,</m:t>
        </m:r>
        <m:r>
          <m:t>620</m:t>
        </m:r>
      </m:oMath>
      <w:r>
        <w:t xml:space="preserve">)</w:t>
      </w:r>
      <w:r>
        <w:t xml:space="preserve"> </w:t>
      </w:r>
      <w:r>
        <w:t xml:space="preserve">preserves every Holm-adjusted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decision: across the four dimensions</w:t>
      </w:r>
      <w:r>
        <w:t xml:space="preserve"> </w:t>
      </w:r>
      <w:r>
        <w:t xml:space="preserve">and six comparators,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decisions change. The prespecified normal</w:t>
      </w:r>
      <w:r>
        <w:t xml:space="preserve"> </w:t>
      </w:r>
      <w:r>
        <w:t xml:space="preserve">approximation is therefore not the source of any reported significance.</w:t>
      </w:r>
    </w:p>
    <w:bookmarkEnd w:id="15"/>
    <w:bookmarkEnd w:id="16"/>
    <w:bookmarkStart w:id="25" w:name="lbl_sec_supp_rankviews"/>
    <w:p>
      <w:pPr>
        <w:pStyle w:val="Heading2"/>
      </w:pPr>
      <w:bookmarkStart w:id="250" w:name="ref_sec_supp_rankviews"/>
      <w:r>
        <w:t xml:space="preserve">S2.6.</w:t>
      </w:r>
      <w:bookmarkEnd w:id="250"/>
      <w:r>
        <w:tab/>
      </w:r>
      <w:r>
        <w:t xml:space="preserve"> Additional CEC2017 Rank Views: Overall Bars and Dimension Trend</w:t>
      </w:r>
    </w:p>
    <w:p>
      <w:pPr>
        <w:pStyle w:val="FirstParagraph"/>
      </w:pPr>
      <w:r>
        <w:t xml:space="preserve">For completeness, Figures </w:t>
      </w:r>
      <w:r>
        <w:fldChar w:fldCharType="begin"/>
      </w:r>
      <w:r>
        <w:instrText xml:space="preserve"> REF ref_fig_supp_overall_ranks \h </w:instrText>
      </w:r>
      <w:r>
        <w:fldChar w:fldCharType="separate"/>
      </w:r>
      <w:r>
        <w:t xml:space="preserve">B1</w:t>
      </w:r>
      <w:r>
        <w:fldChar w:fldCharType="end"/>
      </w:r>
      <w:r>
        <w:t xml:space="preserve"> and </w:t>
      </w:r>
      <w:r>
        <w:fldChar w:fldCharType="begin"/>
      </w:r>
      <w:r>
        <w:instrText xml:space="preserve"> REF ref_fig_supp_rank_trend \h </w:instrText>
      </w:r>
      <w:r>
        <w:fldChar w:fldCharType="separate"/>
      </w:r>
      <w:r>
        <w:t xml:space="preserve">B2</w:t>
      </w:r>
      <w:r>
        <w:fldChar w:fldCharType="end"/>
      </w:r>
      <w:r>
        <w:t xml:space="preserve"> </w:t>
      </w:r>
      <w:r>
        <w:t xml:space="preserve">render the same seven-algorithm CEC2017 Friedman mean ranks reported by the main</w:t>
      </w:r>
      <w:r>
        <w:t xml:space="preserve"> </w:t>
      </w:r>
      <w:r>
        <w:t xml:space="preserve">paper’s family-panel rank table (the authoritative numbers) and its per-dimension</w:t>
      </w:r>
      <w:r>
        <w:t xml:space="preserve"> </w:t>
      </w:r>
      <w:r>
        <w:t xml:space="preserve">bar chart — here as the overall aggregate ranking and as a rank-versus-dimension</w:t>
      </w:r>
      <w:r>
        <w:t xml:space="preserve"> </w:t>
      </w:r>
      <w:r>
        <w:t xml:space="preserve">trend. They are relocated from the main text to reduce redundancy among the rank</w:t>
      </w:r>
      <w:r>
        <w:t xml:space="preserve"> </w:t>
      </w:r>
      <w:r>
        <w:t xml:space="preserve">exhibits: all such renderings derive from a single analysis output (the per-dimension</w:t>
      </w:r>
      <w:r>
        <w:t xml:space="preserve"> </w:t>
      </w:r>
      <w:r>
        <w:t xml:space="preserve">Friedman-rank CSVs), so they add no data and support no claim beyond the main-paper</w:t>
      </w:r>
      <w:r>
        <w:t xml:space="preserve"> </w:t>
      </w:r>
      <w:r>
        <w:t xml:space="preserve">table.</w:t>
      </w:r>
    </w:p>
    <w:bookmarkStart w:id="20" w:name="lbl_fig_supp_overall_ranks"/>
    <w:p>
      <w:pPr>
        <w:pStyle w:val="CaptionedFigure"/>
        <w:keepNext/>
        <w:keepLines/>
      </w:pPr>
      <w:r>
        <w:drawing>
          <wp:inline>
            <wp:extent cx="4398264" cy="2283576"/>
            <wp:effectExtent b="0" l="0" r="0" t="0"/>
            <wp:docPr descr="Figure B1.  Overall (dimension-aggregated) Friedman mean rank of the seven GSK-family algorithms on CEC2017; lower is better. Same ranks, qualifications, and provenance as the main paper’s family-panel rank table." title="" id="18" name="Picture"/>
            <a:graphic>
              <a:graphicData uri="http://schemas.openxmlformats.org/drawingml/2006/picture">
                <pic:pic>
                  <pic:nvPicPr>
                    <pic:cNvPr descr="figures/ranks/friedman_gsk_family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264" cy="2283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51" w:name="ref_fig_supp_overall_ranks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</w:t>
      </w:r>
      <w:r>
        <w:fldChar w:fldCharType="end"/>
      </w:r>
      <w:bookmarkEnd w:id="251"/>
      <w:r>
        <w:rPr>
          <w:b/>
        </w:rPr>
        <w:t xml:space="preserve">. </w:t>
      </w:r>
      <w:r>
        <w:t xml:space="preserve"> Overall (dimension-aggregated) Friedman mean rank of the seven GSK-family</w:t>
      </w:r>
      <w:r>
        <w:t xml:space="preserve"> </w:t>
      </w:r>
      <w:r>
        <w:t xml:space="preserve">algorithms on CEC2017; lower is better. Same ranks, qualifications, and provenance as</w:t>
      </w:r>
      <w:r>
        <w:t xml:space="preserve"> </w:t>
      </w:r>
      <w:r>
        <w:t xml:space="preserve">the main paper’s family-panel rank table.</w:t>
      </w:r>
    </w:p>
    <w:bookmarkEnd w:id="20"/>
    <w:bookmarkStart w:id="24" w:name="lbl_fig_supp_rank_trend"/>
    <w:p>
      <w:pPr>
        <w:pStyle w:val="CaptionedFigure"/>
        <w:keepNext/>
        <w:keepLines/>
      </w:pPr>
      <w:r>
        <w:drawing>
          <wp:inline>
            <wp:extent cx="5009134" cy="3088378"/>
            <wp:effectExtent b="0" l="0" r="0" t="0"/>
            <wp:docPr descr="Figure B2.  CEC2017 Friedman mean rank against problem dimension () for the seven GSK-family algorithms (DT-GSK solid black); the plotted per-dimension values are exactly those of the main paper’s family-panel rank table." title="" id="22" name="Picture"/>
            <a:graphic>
              <a:graphicData uri="http://schemas.openxmlformats.org/drawingml/2006/picture">
                <pic:pic>
                  <pic:nvPicPr>
                    <pic:cNvPr descr="figures/ranks/rank_vs_dim_cec201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134" cy="3088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52" w:name="ref_fig_supp_rank_trend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2</w:t>
      </w:r>
      <w:r>
        <w:fldChar w:fldCharType="end"/>
      </w:r>
      <w:bookmarkEnd w:id="252"/>
      <w:r>
        <w:rPr>
          <w:b/>
        </w:rPr>
        <w:t xml:space="preserve">. </w:t>
      </w:r>
      <w:r>
        <w:t xml:space="preserve"> CEC2017 Friedman mean rank against problem dimension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) for the seven GSK-family algorithms (DT-GSK solid</w:t>
      </w:r>
      <w:r>
        <w:t xml:space="preserve"> </w:t>
      </w:r>
      <w:r>
        <w:t xml:space="preserve">black); the plotted per-dimension values are exactly those of the</w:t>
      </w:r>
      <w:r>
        <w:t xml:space="preserve"> </w:t>
      </w:r>
      <w:r>
        <w:t xml:space="preserve">main paper’s family-panel rank table.</w:t>
      </w:r>
    </w:p>
    <w:bookmarkEnd w:id="24"/>
    <w:bookmarkEnd w:id="25"/>
    <w:bookmarkEnd w:id="26"/>
    <w:bookmarkStart w:id="122" w:name="lbl_sec_supp_convergence"/>
    <w:p>
      <w:pPr>
        <w:pStyle w:val="Heading1"/>
      </w:pPr>
      <w:bookmarkStart w:id="253" w:name="ref_sec_supp_convergence"/>
      <w:r>
        <w:t xml:space="preserve">S3.</w:t>
      </w:r>
      <w:bookmarkEnd w:id="253"/>
      <w:r>
        <w:tab/>
      </w:r>
      <w:r>
        <w:t xml:space="preserve"> Convergence Figure Sets</w:t>
      </w:r>
    </w:p>
    <w:p>
      <w:pPr>
        <w:pStyle w:val="FirstParagraph"/>
      </w:pPr>
      <w:r>
        <w:t xml:space="preserve">This section provides the complete convergence record behind the</w:t>
      </w:r>
      <w:r>
        <w:t xml:space="preserve"> </w:t>
      </w:r>
      <w:r>
        <w:t xml:space="preserve">main-text convergence subset: every scored function of the three suites</w:t>
      </w:r>
      <w:r>
        <w:t xml:space="preserve"> </w:t>
      </w:r>
      <w:r>
        <w:t xml:space="preserve">whose convergence record this section carries — CEC2017 at all four</w:t>
      </w:r>
      <w:r>
        <w:t xml:space="preserve"> </w:t>
      </w:r>
      <w:r>
        <w:t xml:space="preserve">dimensions, CEC2011 at native dimensions, and CEC2013 (bound-constrained)</w:t>
      </w:r>
      <w:r>
        <w:t xml:space="preserve"> </w:t>
      </w:r>
      <w:r>
        <w:t xml:space="preserve">at the prespecified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— one panel per function, with all 7 panel</w:t>
      </w:r>
      <w:r>
        <w:t xml:space="preserve"> </w:t>
      </w:r>
      <w:r>
        <w:t xml:space="preserve">algorithms overlaid in every panel. The CEC2020 and CEC2013LSGO suites</w:t>
      </w:r>
      <w:r>
        <w:t xml:space="preserve"> </w:t>
      </w:r>
      <w:r>
        <w:t xml:space="preserve">(Sections S8 and S7) carry no convergence figure set: their releases</w:t>
      </w:r>
      <w:r>
        <w:t xml:space="preserve"> </w:t>
      </w:r>
      <w:r>
        <w:t xml:space="preserve">promote no curve files, an exclusion recorded in their manifests.</w:t>
      </w:r>
      <w:r>
        <w:t xml:space="preserve"> </w:t>
      </w:r>
      <w:r>
        <w:t xml:space="preserve">The aggregation basis is identical for all curves in this section: each</w:t>
      </w:r>
      <w:r>
        <w:t xml:space="preserve"> </w:t>
      </w:r>
      <w:r>
        <w:t xml:space="preserve">curve is the per-checkpoint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across all runs for that</w:t>
      </w:r>
      <w:r>
        <w:t xml:space="preserve"> </w:t>
      </w:r>
      <w:r>
        <w:t xml:space="preserve">algorithm (51 runs for CEC2017/CEC2013, 25 for CEC2011), with no</w:t>
      </w:r>
      <w:r>
        <w:t xml:space="preserve"> </w:t>
      </w:r>
      <w:r>
        <w:t xml:space="preserve">smoothing and no interpolation.</w:t>
      </w:r>
    </w:p>
    <w:p>
      <w:pPr>
        <w:pStyle w:val="BodyText"/>
      </w:pPr>
      <w:r>
        <w:t xml:space="preserve">Axes are log-error with a display-only floor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for exact</w:t>
      </w:r>
      <w:r>
        <w:t xml:space="preserve"> </w:t>
      </w:r>
      <w:r>
        <w:t xml:space="preserve">zeros; the floor never enters any reported statistic.</w:t>
      </w:r>
    </w:p>
    <w:p>
      <w:pPr>
        <w:pStyle w:val="BodyText"/>
      </w:pPr>
      <w:r>
        <w:t xml:space="preserve">Line styles follow a fixed color/linestyle map (Okabe–Ito palette,</w:t>
      </w:r>
      <w:r>
        <w:t xml:space="preserve"> </w:t>
      </w:r>
      <w:r>
        <w:t xml:space="preserve">DT-GSK solid black) with one shared legend per grid, and every panel</w:t>
      </w:r>
      <w:r>
        <w:t xml:space="preserve"> </w:t>
      </w:r>
      <w:r>
        <w:t xml:space="preserve">carries the full 7/7 series (companion disclosure logs</w:t>
      </w:r>
      <w:r>
        <w:t xml:space="preserve"> </w:t>
      </w:r>
      <w:r>
        <w:t xml:space="preserve">cec2017_missing.log, cec2011_missing.log,</w:t>
      </w:r>
      <w:r>
        <w:t xml:space="preserve"> </w:t>
      </w:r>
      <w:r>
        <w:t xml:space="preserve">cec2013_missing.log record zero absences).</w:t>
      </w:r>
    </w:p>
    <w:bookmarkStart w:id="91" w:name="lbl_sec_supp_conv2017"/>
    <w:p>
      <w:pPr>
        <w:pStyle w:val="Heading2"/>
      </w:pPr>
      <w:bookmarkStart w:id="254" w:name="ref_sec_supp_conv2017"/>
      <w:r>
        <w:t xml:space="preserve">S3.1.</w:t>
      </w:r>
      <w:bookmarkEnd w:id="254"/>
      <w:r>
        <w:tab/>
      </w:r>
      <w:r>
        <w:t xml:space="preserve"> CEC2017: All 29 Functions at Each Dimension</w:t>
      </w:r>
    </w:p>
    <w:p>
      <w:pPr>
        <w:pStyle w:val="FirstParagraph"/>
      </w:pPr>
      <w:r>
        <w:t xml:space="preserve">Figures </w:t>
      </w:r>
      <w:r>
        <w:fldChar w:fldCharType="begin"/>
      </w:r>
      <w:r>
        <w:instrText xml:space="preserve"> REF ref_fig_sconv_cec2017_d10_a \h </w:instrText>
      </w:r>
      <w:r>
        <w:fldChar w:fldCharType="separate"/>
      </w:r>
      <w:r>
        <w:t xml:space="preserve">B3</w:t>
      </w:r>
      <w:r>
        <w:fldChar w:fldCharType="end"/>
      </w:r>
      <w:r>
        <w:t xml:space="preserve">–</w:t>
      </w:r>
      <w:r>
        <w:fldChar w:fldCharType="begin"/>
      </w:r>
      <w:r>
        <w:instrText xml:space="preserve"> REF ref_fig_sconv_cec2017_d100_d \h </w:instrText>
      </w:r>
      <w:r>
        <w:fldChar w:fldCharType="separate"/>
      </w:r>
      <w:r>
        <w:t xml:space="preserve">B18</w:t>
      </w:r>
      <w:r>
        <w:fldChar w:fldCharType="end"/>
      </w:r>
      <w:r>
        <w:t xml:space="preserve"> </w:t>
      </w:r>
      <w:r>
        <w:t xml:space="preserve">cover all 29 CEC2017 functions at each of the four dimensions, split</w:t>
      </w:r>
      <w:r>
        <w:t xml:space="preserve"> </w:t>
      </w:r>
      <w:r>
        <w:t xml:space="preserve">into four sub-grids per dimension (F1, F3–F9 / F10–F17 / F18–F25 / F26–F30).</w:t>
      </w:r>
      <w:r>
        <w:t xml:space="preserve"> </w:t>
      </w:r>
      <w:r>
        <w:t xml:space="preserve">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30</m:t>
        </m:r>
      </m:oMath>
      <w:r>
        <w:t xml:space="preserve">, and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the APGSK checkpoint evidence derives</w:t>
      </w:r>
      <w:r>
        <w:t xml:space="preserve"> </w:t>
      </w:r>
      <w:r>
        <w:t xml:space="preserve">from per-generation logs whose producing environment is unrecorded (the</w:t>
      </w:r>
      <w:r>
        <w:t xml:space="preserve"> </w:t>
      </w:r>
      <w:r>
        <w:t xml:space="preserve">disclosed APGSK evidence limitation); the curves are shown with that</w:t>
      </w:r>
      <w:r>
        <w:t xml:space="preserve"> </w:t>
      </w:r>
      <w:r>
        <w:t xml:space="preserve">qualification.</w:t>
      </w:r>
    </w:p>
    <w:bookmarkStart w:id="30" w:name="lbl_fig_sconv_cec2017_d10_a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3.  Family-overlay convergence on CEC2017 at , functions F1, F3–F9 (sub-grid a of 4): per-checkpoint mean error across 51 runs per algorithm (identical basis for all 7 curves; no smoothing), fixed Okabe–Ito style map, DT-GSK solid black, one shared legend, log-error -axis with display-only floor  for exact zeros. All panels carry the full 7/7 series. APGSK checkpoint evidence at this dimension derives from per-generation logs (disclosed limitation). " title="" id="28" name="Picture"/>
            <a:graphic>
              <a:graphicData uri="http://schemas.openxmlformats.org/drawingml/2006/picture">
                <pic:pic>
                  <pic:nvPicPr>
                    <pic:cNvPr descr="figures/convergence/all_funcs_D10_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55" w:name="ref_fig_sconv_cec2017_d10_a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3</w:t>
      </w:r>
      <w:r>
        <w:fldChar w:fldCharType="end"/>
      </w:r>
      <w:bookmarkEnd w:id="255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functions</w:t>
      </w:r>
      <w:r>
        <w:t xml:space="preserve"> </w:t>
      </w:r>
      <w:r>
        <w:t xml:space="preserve">F1, F3–F9 (sub-grid a of 4): per-checkpoint mean error across 51 runs</w:t>
      </w:r>
      <w:r>
        <w:t xml:space="preserve"> </w:t>
      </w:r>
      <w:r>
        <w:t xml:space="preserve">per algorithm (identical basis for all 7 curves; no smoothing), fixed</w:t>
      </w:r>
      <w:r>
        <w:t xml:space="preserve"> </w:t>
      </w:r>
      <w:r>
        <w:t xml:space="preserve">Okabe–Ito style map, DT-GSK solid black, one shared legend,</w:t>
      </w:r>
      <w:r>
        <w:t xml:space="preserve"> </w:t>
      </w:r>
      <w:r>
        <w:t xml:space="preserve">log-error</w:t>
      </w:r>
      <w:r>
        <w:t xml:space="preserve"> </w:t>
      </w:r>
      <m:oMath>
        <m:r>
          <m:t>y</m:t>
        </m:r>
      </m:oMath>
      <w:r>
        <w:t xml:space="preserve">-axis with display-only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for exact zeros.</w:t>
      </w:r>
      <w:r>
        <w:t xml:space="preserve"> </w:t>
      </w:r>
      <w:r>
        <w:t xml:space="preserve">All panels carry the full 7/7 series.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30"/>
    <w:bookmarkStart w:id="34" w:name="lbl_fig_sconv_cec2017_d10_b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4.  Family-overlay convergence on CEC2017 at , functions F10–F17 (sub-grid b of 4): per-checkpoint mean error across 51 runs per algorithm, 7-curve overlay, log-error -axis (display floor ), one shared legend. APGSK checkpoint evidence at this dimension derives from per-generation logs (disclosed limitation). " title="" id="32" name="Picture"/>
            <a:graphic>
              <a:graphicData uri="http://schemas.openxmlformats.org/drawingml/2006/picture">
                <pic:pic>
                  <pic:nvPicPr>
                    <pic:cNvPr descr="figures/convergence/all_funcs_D10_b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56" w:name="ref_fig_sconv_cec2017_d10_b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4</w:t>
      </w:r>
      <w:r>
        <w:fldChar w:fldCharType="end"/>
      </w:r>
      <w:bookmarkEnd w:id="256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functions</w:t>
      </w:r>
      <w:r>
        <w:t xml:space="preserve"> </w:t>
      </w:r>
      <w:r>
        <w:t xml:space="preserve">F10–F17 (sub-grid b of 4): per-checkpoint mean error across 51 runs per</w:t>
      </w:r>
      <w:r>
        <w:t xml:space="preserve"> </w:t>
      </w:r>
      <w:r>
        <w:t xml:space="preserve">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34"/>
    <w:bookmarkStart w:id="38" w:name="lbl_fig_sconv_cec2017_d10_c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5.  Family-overlay convergence on CEC2017 at , functions F18–F25 (sub-grid c of 4): per-checkpoint mean error across 51 runs per algorithm, 7-curve overlay, log-error -axis (display floor ), one shared legend. APGSK checkpoint evidence at this dimension derives from per-generation logs (disclosed limitation). " title="" id="36" name="Picture"/>
            <a:graphic>
              <a:graphicData uri="http://schemas.openxmlformats.org/drawingml/2006/picture">
                <pic:pic>
                  <pic:nvPicPr>
                    <pic:cNvPr descr="figures/convergence/all_funcs_D10_c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57" w:name="ref_fig_sconv_cec2017_d10_c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5</w:t>
      </w:r>
      <w:r>
        <w:fldChar w:fldCharType="end"/>
      </w:r>
      <w:bookmarkEnd w:id="257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functions</w:t>
      </w:r>
      <w:r>
        <w:t xml:space="preserve"> </w:t>
      </w:r>
      <w:r>
        <w:t xml:space="preserve">F18–F25 (sub-grid c of 4): per-checkpoint mean error across 51 runs per</w:t>
      </w:r>
      <w:r>
        <w:t xml:space="preserve"> </w:t>
      </w:r>
      <w:r>
        <w:t xml:space="preserve">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38"/>
    <w:bookmarkStart w:id="42" w:name="lbl_fig_sconv_cec2017_d10_d"/>
    <w:p>
      <w:pPr>
        <w:pStyle w:val="CaptionedFigure"/>
        <w:keepNext/>
        <w:keepLines/>
      </w:pPr>
      <w:r>
        <w:drawing>
          <wp:inline>
            <wp:extent cx="5654600" cy="5091892"/>
            <wp:effectExtent b="0" l="0" r="0" t="0"/>
            <wp:docPr descr="Figure B6.  Family-overlay convergence on CEC2017 at , functions F26–F30 (sub-grid d of 4): per-checkpoint mean error across 51 runs per algorithm, 7-curve overlay, log-error -axis (display floor ), one shared legend. APGSK checkpoint evidence at this dimension derives from per-generation logs (disclosed limitation). " title="" id="40" name="Picture"/>
            <a:graphic>
              <a:graphicData uri="http://schemas.openxmlformats.org/drawingml/2006/picture">
                <pic:pic>
                  <pic:nvPicPr>
                    <pic:cNvPr descr="figures/convergence/all_funcs_D10_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509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58" w:name="ref_fig_sconv_cec2017_d10_d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6</w:t>
      </w:r>
      <w:r>
        <w:fldChar w:fldCharType="end"/>
      </w:r>
      <w:bookmarkEnd w:id="258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functions</w:t>
      </w:r>
      <w:r>
        <w:t xml:space="preserve"> </w:t>
      </w:r>
      <w:r>
        <w:t xml:space="preserve">F26–F30 (sub-grid d of 4): per-checkpoint mean error across 51 runs per</w:t>
      </w:r>
      <w:r>
        <w:t xml:space="preserve"> </w:t>
      </w:r>
      <w:r>
        <w:t xml:space="preserve">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42"/>
    <w:bookmarkStart w:id="46" w:name="lbl_fig_sconv_cec2017_d30_a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7.  Family-overlay convergence on CEC2017 at , functions F1, F3–F9 (sub-grid a of 4): per-checkpoint mean error across 51 runs per algorithm (identical basis for all 7 curves; no smoothing), fixed Okabe–Ito style map, DT-GSK solid black, one shared legend, log-error -axis with display-only floor  for exact zeros. All panels carry the full 7/7 series. APGSK checkpoint evidence at this dimension derives from per-generation logs (disclosed limitation). " title="" id="44" name="Picture"/>
            <a:graphic>
              <a:graphicData uri="http://schemas.openxmlformats.org/drawingml/2006/picture">
                <pic:pic>
                  <pic:nvPicPr>
                    <pic:cNvPr descr="figures/convergence/all_funcs_D30_a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59" w:name="ref_fig_sconv_cec2017_d30_a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7</w:t>
      </w:r>
      <w:r>
        <w:fldChar w:fldCharType="end"/>
      </w:r>
      <w:bookmarkEnd w:id="259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functions</w:t>
      </w:r>
      <w:r>
        <w:t xml:space="preserve"> </w:t>
      </w:r>
      <w:r>
        <w:t xml:space="preserve">F1, F3–F9 (sub-grid a of 4): per-checkpoint mean error across 51 runs</w:t>
      </w:r>
      <w:r>
        <w:t xml:space="preserve"> </w:t>
      </w:r>
      <w:r>
        <w:t xml:space="preserve">per algorithm (identical basis for all 7 curves; no smoothing), fixed</w:t>
      </w:r>
      <w:r>
        <w:t xml:space="preserve"> </w:t>
      </w:r>
      <w:r>
        <w:t xml:space="preserve">Okabe–Ito style map, DT-GSK solid black, one shared legend,</w:t>
      </w:r>
      <w:r>
        <w:t xml:space="preserve"> </w:t>
      </w:r>
      <w:r>
        <w:t xml:space="preserve">log-error</w:t>
      </w:r>
      <w:r>
        <w:t xml:space="preserve"> </w:t>
      </w:r>
      <m:oMath>
        <m:r>
          <m:t>y</m:t>
        </m:r>
      </m:oMath>
      <w:r>
        <w:t xml:space="preserve">-axis with display-only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for exact zeros.</w:t>
      </w:r>
      <w:r>
        <w:t xml:space="preserve"> </w:t>
      </w:r>
      <w:r>
        <w:t xml:space="preserve">All panels carry the full 7/7 series.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46"/>
    <w:bookmarkStart w:id="50" w:name="lbl_fig_sconv_cec2017_d30_b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8.  Family-overlay convergence on CEC2017 at , functions F10–F17 (sub-grid b of 4): per-checkpoint mean error across 51 runs per algorithm, 7-curve overlay, log-error -axis (display floor ), one shared legend. APGSK checkpoint evidence at this dimension derives from per-generation logs (disclosed limitation). " title="" id="48" name="Picture"/>
            <a:graphic>
              <a:graphicData uri="http://schemas.openxmlformats.org/drawingml/2006/picture">
                <pic:pic>
                  <pic:nvPicPr>
                    <pic:cNvPr descr="figures/convergence/all_funcs_D30_b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60" w:name="ref_fig_sconv_cec2017_d30_b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8</w:t>
      </w:r>
      <w:r>
        <w:fldChar w:fldCharType="end"/>
      </w:r>
      <w:bookmarkEnd w:id="260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functions</w:t>
      </w:r>
      <w:r>
        <w:t xml:space="preserve"> </w:t>
      </w:r>
      <w:r>
        <w:t xml:space="preserve">F10–F17 (sub-grid b of 4): per-checkpoint mean error across 51 runs per</w:t>
      </w:r>
      <w:r>
        <w:t xml:space="preserve"> </w:t>
      </w:r>
      <w:r>
        <w:t xml:space="preserve">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50"/>
    <w:bookmarkStart w:id="54" w:name="lbl_fig_sconv_cec2017_d30_c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9.  Family-overlay convergence on CEC2017 at , functions F18–F25 (sub-grid c of 4): per-checkpoint mean error across 51 runs per algorithm, 7-curve overlay, log-error -axis (display floor ), one shared legend. APGSK checkpoint evidence at this dimension derives from per-generation logs (disclosed limitation). " title="" id="52" name="Picture"/>
            <a:graphic>
              <a:graphicData uri="http://schemas.openxmlformats.org/drawingml/2006/picture">
                <pic:pic>
                  <pic:nvPicPr>
                    <pic:cNvPr descr="figures/convergence/all_funcs_D30_c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61" w:name="ref_fig_sconv_cec2017_d30_c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9</w:t>
      </w:r>
      <w:r>
        <w:fldChar w:fldCharType="end"/>
      </w:r>
      <w:bookmarkEnd w:id="261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functions</w:t>
      </w:r>
      <w:r>
        <w:t xml:space="preserve"> </w:t>
      </w:r>
      <w:r>
        <w:t xml:space="preserve">F18–F25 (sub-grid c of 4): per-checkpoint mean error across 51 runs per</w:t>
      </w:r>
      <w:r>
        <w:t xml:space="preserve"> </w:t>
      </w:r>
      <w:r>
        <w:t xml:space="preserve">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54"/>
    <w:bookmarkStart w:id="58" w:name="lbl_fig_sconv_cec2017_d30_d"/>
    <w:p>
      <w:pPr>
        <w:pStyle w:val="CaptionedFigure"/>
        <w:keepNext/>
        <w:keepLines/>
      </w:pPr>
      <w:r>
        <w:drawing>
          <wp:inline>
            <wp:extent cx="5654600" cy="5091892"/>
            <wp:effectExtent b="0" l="0" r="0" t="0"/>
            <wp:docPr descr="Figure B10.  Family-overlay convergence on CEC2017 at , functions F26–F30 (sub-grid d of 4): per-checkpoint mean error across 51 runs per algorithm, 7-curve overlay, log-error -axis (display floor ), one shared legend. APGSK checkpoint evidence at this dimension derives from per-generation logs (disclosed limitation). " title="" id="56" name="Picture"/>
            <a:graphic>
              <a:graphicData uri="http://schemas.openxmlformats.org/drawingml/2006/picture">
                <pic:pic>
                  <pic:nvPicPr>
                    <pic:cNvPr descr="figures/convergence/all_funcs_D30_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509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62" w:name="ref_fig_sconv_cec2017_d30_d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10</w:t>
      </w:r>
      <w:r>
        <w:fldChar w:fldCharType="end"/>
      </w:r>
      <w:bookmarkEnd w:id="262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functions</w:t>
      </w:r>
      <w:r>
        <w:t xml:space="preserve"> </w:t>
      </w:r>
      <w:r>
        <w:t xml:space="preserve">F26–F30 (sub-grid d of 4): per-checkpoint mean error across 51 runs per</w:t>
      </w:r>
      <w:r>
        <w:t xml:space="preserve"> </w:t>
      </w:r>
      <w:r>
        <w:t xml:space="preserve">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58"/>
    <w:bookmarkStart w:id="62" w:name="lbl_fig_sconv_cec2017_d50_a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11.  Family-overlay convergence on CEC2017 at , functions F1, F3–F9 (sub-grid a of 4): per-checkpoint mean error across 51 runs per algorithm (identical basis for all 7 curves; no smoothing), fixed Okabe–Ito style map, DT-GSK solid black, one shared legend, log-error -axis with display-only floor  for exact zeros. All panels carry the full 7/7 series. APGSK checkpoint evidence at this dimension derives from per-generation logs (disclosed limitation). " title="" id="60" name="Picture"/>
            <a:graphic>
              <a:graphicData uri="http://schemas.openxmlformats.org/drawingml/2006/picture">
                <pic:pic>
                  <pic:nvPicPr>
                    <pic:cNvPr descr="figures/convergence/all_funcs_D50_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63" w:name="ref_fig_sconv_cec2017_d50_a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11</w:t>
      </w:r>
      <w:r>
        <w:fldChar w:fldCharType="end"/>
      </w:r>
      <w:bookmarkEnd w:id="263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, functions</w:t>
      </w:r>
      <w:r>
        <w:t xml:space="preserve"> </w:t>
      </w:r>
      <w:r>
        <w:t xml:space="preserve">F1, F3–F9 (sub-grid a of 4): per-checkpoint mean error across 51 runs</w:t>
      </w:r>
      <w:r>
        <w:t xml:space="preserve"> </w:t>
      </w:r>
      <w:r>
        <w:t xml:space="preserve">per algorithm (identical basis for all 7 curves; no smoothing), fixed</w:t>
      </w:r>
      <w:r>
        <w:t xml:space="preserve"> </w:t>
      </w:r>
      <w:r>
        <w:t xml:space="preserve">Okabe–Ito style map, DT-GSK solid black, one shared legend,</w:t>
      </w:r>
      <w:r>
        <w:t xml:space="preserve"> </w:t>
      </w:r>
      <w:r>
        <w:t xml:space="preserve">log-error</w:t>
      </w:r>
      <w:r>
        <w:t xml:space="preserve"> </w:t>
      </w:r>
      <m:oMath>
        <m:r>
          <m:t>y</m:t>
        </m:r>
      </m:oMath>
      <w:r>
        <w:t xml:space="preserve">-axis with display-only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for exact zeros.</w:t>
      </w:r>
      <w:r>
        <w:t xml:space="preserve"> </w:t>
      </w:r>
      <w:r>
        <w:t xml:space="preserve">All panels carry the full 7/7 series.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62"/>
    <w:bookmarkStart w:id="66" w:name="lbl_fig_sconv_cec2017_d50_b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12.  Family-overlay convergence on CEC2017 at , functions F10–F17 (sub-grid b of 4): per-checkpoint mean error across 51 runs per algorithm, 7-curve overlay, log-error -axis (display floor ), one shared legend. APGSK checkpoint evidence at this dimension derives from per-generation logs (disclosed limitation). " title="" id="64" name="Picture"/>
            <a:graphic>
              <a:graphicData uri="http://schemas.openxmlformats.org/drawingml/2006/picture">
                <pic:pic>
                  <pic:nvPicPr>
                    <pic:cNvPr descr="figures/convergence/all_funcs_D50_b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64" w:name="ref_fig_sconv_cec2017_d50_b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12</w:t>
      </w:r>
      <w:r>
        <w:fldChar w:fldCharType="end"/>
      </w:r>
      <w:bookmarkEnd w:id="264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, functions</w:t>
      </w:r>
      <w:r>
        <w:t xml:space="preserve"> </w:t>
      </w:r>
      <w:r>
        <w:t xml:space="preserve">F10–F17 (sub-grid b of 4): per-checkpoint mean error across 51 runs per</w:t>
      </w:r>
      <w:r>
        <w:t xml:space="preserve"> </w:t>
      </w:r>
      <w:r>
        <w:t xml:space="preserve">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66"/>
    <w:bookmarkStart w:id="70" w:name="lbl_fig_sconv_cec2017_d50_c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13.  Family-overlay convergence on CEC2017 at , functions F18–F25 (sub-grid c of 4): per-checkpoint mean error across 51 runs per algorithm, 7-curve overlay, log-error -axis (display floor ), one shared legend. APGSK checkpoint evidence at this dimension derives from per-generation logs (disclosed limitation). " title="" id="68" name="Picture"/>
            <a:graphic>
              <a:graphicData uri="http://schemas.openxmlformats.org/drawingml/2006/picture">
                <pic:pic>
                  <pic:nvPicPr>
                    <pic:cNvPr descr="figures/convergence/all_funcs_D50_c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65" w:name="ref_fig_sconv_cec2017_d50_c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13</w:t>
      </w:r>
      <w:r>
        <w:fldChar w:fldCharType="end"/>
      </w:r>
      <w:bookmarkEnd w:id="265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, functions</w:t>
      </w:r>
      <w:r>
        <w:t xml:space="preserve"> </w:t>
      </w:r>
      <w:r>
        <w:t xml:space="preserve">F18–F25 (sub-grid c of 4): per-checkpoint mean error across 51 runs per</w:t>
      </w:r>
      <w:r>
        <w:t xml:space="preserve"> </w:t>
      </w:r>
      <w:r>
        <w:t xml:space="preserve">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70"/>
    <w:bookmarkStart w:id="74" w:name="lbl_fig_sconv_cec2017_d50_d"/>
    <w:p>
      <w:pPr>
        <w:pStyle w:val="CaptionedFigure"/>
        <w:keepNext/>
        <w:keepLines/>
      </w:pPr>
      <w:r>
        <w:drawing>
          <wp:inline>
            <wp:extent cx="5654600" cy="5091892"/>
            <wp:effectExtent b="0" l="0" r="0" t="0"/>
            <wp:docPr descr="Figure B14.  Family-overlay convergence on CEC2017 at , functions F26–F30 (sub-grid d of 4): per-checkpoint mean error across 51 runs per algorithm, 7-curve overlay, log-error -axis (display floor ), one shared legend. APGSK checkpoint evidence at this dimension derives from per-generation logs (disclosed limitation). " title="" id="72" name="Picture"/>
            <a:graphic>
              <a:graphicData uri="http://schemas.openxmlformats.org/drawingml/2006/picture">
                <pic:pic>
                  <pic:nvPicPr>
                    <pic:cNvPr descr="figures/convergence/all_funcs_D50_d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509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66" w:name="ref_fig_sconv_cec2017_d50_d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14</w:t>
      </w:r>
      <w:r>
        <w:fldChar w:fldCharType="end"/>
      </w:r>
      <w:bookmarkEnd w:id="266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, functions</w:t>
      </w:r>
      <w:r>
        <w:t xml:space="preserve"> </w:t>
      </w:r>
      <w:r>
        <w:t xml:space="preserve">F26–F30 (sub-grid d of 4): per-checkpoint mean error across 51 runs per</w:t>
      </w:r>
      <w:r>
        <w:t xml:space="preserve"> </w:t>
      </w:r>
      <w:r>
        <w:t xml:space="preserve">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74"/>
    <w:bookmarkStart w:id="78" w:name="lbl_fig_sconv_cec2017_d100_a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15.  Family-overlay convergence on CEC2017 at , functions F1, F3–F9 (sub-grid a of 4): per-checkpoint mean error across 51 runs per algorithm (identical basis for all 7 curves; no smoothing), fixed Okabe–Ito style map, DT-GSK solid black, one shared legend, log-error -axis with display-only floor  for exact zeros. All panels carry the full 7/7 series. APGSK checkpoint evidence at this dimension derives from per-generation logs (disclosed limitation). " title="" id="76" name="Picture"/>
            <a:graphic>
              <a:graphicData uri="http://schemas.openxmlformats.org/drawingml/2006/picture">
                <pic:pic>
                  <pic:nvPicPr>
                    <pic:cNvPr descr="figures/convergence/all_funcs_D100_a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67" w:name="ref_fig_sconv_cec2017_d100_a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15</w:t>
      </w:r>
      <w:r>
        <w:fldChar w:fldCharType="end"/>
      </w:r>
      <w:bookmarkEnd w:id="267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functions</w:t>
      </w:r>
      <w:r>
        <w:t xml:space="preserve"> </w:t>
      </w:r>
      <w:r>
        <w:t xml:space="preserve">F1, F3–F9 (sub-grid a of 4): per-checkpoint mean error across 51 runs</w:t>
      </w:r>
      <w:r>
        <w:t xml:space="preserve"> </w:t>
      </w:r>
      <w:r>
        <w:t xml:space="preserve">per algorithm (identical basis for all 7 curves; no smoothing), fixed</w:t>
      </w:r>
      <w:r>
        <w:t xml:space="preserve"> </w:t>
      </w:r>
      <w:r>
        <w:t xml:space="preserve">Okabe–Ito style map, DT-GSK solid black, one shared legend,</w:t>
      </w:r>
      <w:r>
        <w:t xml:space="preserve"> </w:t>
      </w:r>
      <w:r>
        <w:t xml:space="preserve">log-error</w:t>
      </w:r>
      <w:r>
        <w:t xml:space="preserve"> </w:t>
      </w:r>
      <m:oMath>
        <m:r>
          <m:t>y</m:t>
        </m:r>
      </m:oMath>
      <w:r>
        <w:t xml:space="preserve">-axis with display-only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for exact zeros.</w:t>
      </w:r>
      <w:r>
        <w:t xml:space="preserve"> </w:t>
      </w:r>
      <w:r>
        <w:t xml:space="preserve">All panels carry the full 7/7 series.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78"/>
    <w:bookmarkStart w:id="82" w:name="lbl_fig_sconv_cec2017_d100_b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16.  Family-overlay convergence on CEC2017 at , functions F10–F17 (sub-grid b of 4): per-checkpoint mean error across 51 runs per algorithm, 7-curve overlay, log-error -axis (display floor ), one shared legend. APGSK checkpoint evidence at this dimension derives from per-generation logs (disclosed limitation). " title="" id="80" name="Picture"/>
            <a:graphic>
              <a:graphicData uri="http://schemas.openxmlformats.org/drawingml/2006/picture">
                <pic:pic>
                  <pic:nvPicPr>
                    <pic:cNvPr descr="figures/convergence/all_funcs_D100_b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68" w:name="ref_fig_sconv_cec2017_d100_b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16</w:t>
      </w:r>
      <w:r>
        <w:fldChar w:fldCharType="end"/>
      </w:r>
      <w:bookmarkEnd w:id="268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functions</w:t>
      </w:r>
      <w:r>
        <w:t xml:space="preserve"> </w:t>
      </w:r>
      <w:r>
        <w:t xml:space="preserve">F10–F17 (sub-grid b of 4): per-checkpoint mean error across 51 runs per</w:t>
      </w:r>
      <w:r>
        <w:t xml:space="preserve"> </w:t>
      </w:r>
      <w:r>
        <w:t xml:space="preserve">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82"/>
    <w:bookmarkStart w:id="86" w:name="lbl_fig_sconv_cec2017_d100_c"/>
    <w:p>
      <w:pPr>
        <w:pStyle w:val="CaptionedFigure"/>
        <w:keepNext/>
        <w:keepLines/>
      </w:pPr>
      <w:r>
        <w:drawing>
          <wp:inline>
            <wp:extent cx="5654600" cy="6789190"/>
            <wp:effectExtent b="0" l="0" r="0" t="0"/>
            <wp:docPr descr="Figure B17.  Family-overlay convergence on CEC2017 at , functions F18–F25 (sub-grid c of 4): per-checkpoint mean error across 51 runs per algorithm, 7-curve overlay, log-error -axis (display floor ), one shared legend. APGSK checkpoint evidence at this dimension derives from per-generation logs (disclosed limitation). " title="" id="84" name="Picture"/>
            <a:graphic>
              <a:graphicData uri="http://schemas.openxmlformats.org/drawingml/2006/picture">
                <pic:pic>
                  <pic:nvPicPr>
                    <pic:cNvPr descr="figures/convergence/all_funcs_D100_c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8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69" w:name="ref_fig_sconv_cec2017_d100_c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17</w:t>
      </w:r>
      <w:r>
        <w:fldChar w:fldCharType="end"/>
      </w:r>
      <w:bookmarkEnd w:id="269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functions</w:t>
      </w:r>
      <w:r>
        <w:t xml:space="preserve"> </w:t>
      </w:r>
      <w:r>
        <w:t xml:space="preserve">F18–F25 (sub-grid c of 4): per-checkpoint mean error across 51 runs per</w:t>
      </w:r>
      <w:r>
        <w:t xml:space="preserve"> </w:t>
      </w:r>
      <w:r>
        <w:t xml:space="preserve">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86"/>
    <w:bookmarkStart w:id="90" w:name="lbl_fig_sconv_cec2017_d100_d"/>
    <w:p>
      <w:pPr>
        <w:pStyle w:val="CaptionedFigure"/>
        <w:keepNext/>
        <w:keepLines/>
      </w:pPr>
      <w:r>
        <w:drawing>
          <wp:inline>
            <wp:extent cx="5654600" cy="5091892"/>
            <wp:effectExtent b="0" l="0" r="0" t="0"/>
            <wp:docPr descr="Figure B18.  Family-overlay convergence on CEC2017 at , functions F26–F30 (sub-grid d of 4): per-checkpoint mean error across 51 runs per algorithm, 7-curve overlay, log -axis (display floor ), one shared legend. APGSK checkpoint evidence at this dimension derives from per-generation logs (disclosed limitation). " title="" id="88" name="Picture"/>
            <a:graphic>
              <a:graphicData uri="http://schemas.openxmlformats.org/drawingml/2006/picture">
                <pic:pic>
                  <pic:nvPicPr>
                    <pic:cNvPr descr="figures/convergence/all_funcs_D100_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509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70" w:name="ref_fig_sconv_cec2017_d100_d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18</w:t>
      </w:r>
      <w:r>
        <w:fldChar w:fldCharType="end"/>
      </w:r>
      <w:bookmarkEnd w:id="270"/>
      <w:r>
        <w:rPr>
          <w:b/>
        </w:rPr>
        <w:t xml:space="preserve">. </w:t>
      </w:r>
      <w:r>
        <w:t xml:space="preserve"> Family-overlay convergence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functions</w:t>
      </w:r>
      <w:r>
        <w:t xml:space="preserve"> </w:t>
      </w:r>
      <w:r>
        <w:t xml:space="preserve">F26–F30 (sub-grid d of 4): per-checkpoint mean error across 51 runs per</w:t>
      </w:r>
      <w:r>
        <w:t xml:space="preserve"> </w:t>
      </w:r>
      <w:r>
        <w:t xml:space="preserve">algorithm, 7-curve overlay, log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APGSK checkpoint evidence at this</w:t>
      </w:r>
      <w:r>
        <w:t xml:space="preserve"> </w:t>
      </w:r>
      <w:r>
        <w:t xml:space="preserve">dimension derives from per-generation logs (disclosed limitation).</w:t>
      </w:r>
      <w:r>
        <w:t xml:space="preserve"> </w:t>
      </w:r>
    </w:p>
    <w:bookmarkEnd w:id="90"/>
    <w:bookmarkEnd w:id="91"/>
    <w:bookmarkStart w:id="104" w:name="lbl_sec_supp_conv2011"/>
    <w:p>
      <w:pPr>
        <w:pStyle w:val="Heading2"/>
      </w:pPr>
      <w:bookmarkStart w:id="271" w:name="ref_sec_supp_conv2011"/>
      <w:r>
        <w:t xml:space="preserve">S3.2.</w:t>
      </w:r>
      <w:bookmarkEnd w:id="271"/>
      <w:r>
        <w:tab/>
      </w:r>
      <w:r>
        <w:t xml:space="preserve"> CEC2011: All 22 Real-World Problems</w:t>
      </w:r>
    </w:p>
    <w:p>
      <w:pPr>
        <w:pStyle w:val="FirstParagraph"/>
      </w:pPr>
      <w:r>
        <w:t xml:space="preserve">Figures </w:t>
      </w:r>
      <w:r>
        <w:fldChar w:fldCharType="begin"/>
      </w:r>
      <w:r>
        <w:instrText xml:space="preserve"> REF ref_fig_sconv_cec2011_a \h </w:instrText>
      </w:r>
      <w:r>
        <w:fldChar w:fldCharType="separate"/>
      </w:r>
      <w:r>
        <w:t xml:space="preserve">B19</w:t>
      </w:r>
      <w:r>
        <w:fldChar w:fldCharType="end"/>
      </w:r>
      <w:r>
        <w:t xml:space="preserve">–</w:t>
      </w:r>
      <w:r>
        <w:fldChar w:fldCharType="begin"/>
      </w:r>
      <w:r>
        <w:instrText xml:space="preserve"> REF ref_fig_sconv_cec2011_c \h </w:instrText>
      </w:r>
      <w:r>
        <w:fldChar w:fldCharType="separate"/>
      </w:r>
      <w:r>
        <w:t xml:space="preserve">B21</w:t>
      </w:r>
      <w:r>
        <w:fldChar w:fldCharType="end"/>
      </w:r>
      <w:r>
        <w:t xml:space="preserve"> cover all</w:t>
      </w:r>
      <w:r>
        <w:t xml:space="preserve"> </w:t>
      </w:r>
      <w:r>
        <w:t xml:space="preserve">22 CEC2011 real-world problems at their native dimensions, split into</w:t>
      </w:r>
      <w:r>
        <w:t xml:space="preserve"> </w:t>
      </w:r>
      <w:r>
        <w:t xml:space="preserve">three sub-grids (problems P1–P8 / P9–P16 / P17–P22; each panel is</w:t>
      </w:r>
      <w:r>
        <w:t xml:space="preserve"> </w:t>
      </w:r>
      <w:r>
        <w:t xml:space="preserve">titled by the suite’s function identifier and native dimension).</w:t>
      </w:r>
      <w:r>
        <w:t xml:space="preserve"> </w:t>
      </w:r>
      <w:r>
        <w:t xml:space="preserve">Because several CEC2011 problems have negative optima, the plotted</w:t>
      </w:r>
      <w:r>
        <w:t xml:space="preserve"> </w:t>
      </w:r>
      <w:r>
        <w:t xml:space="preserve">quantity is the per-checkpoint mean of the</w:t>
      </w:r>
      <w:r>
        <w:t xml:space="preserve"> </w:t>
      </w:r>
      <w:r>
        <w:rPr>
          <w:i/>
          <w:iCs/>
        </w:rPr>
        <w:t xml:space="preserve">raw best objective</w:t>
      </w:r>
      <w:r>
        <w:t xml:space="preserve"> </w:t>
      </w:r>
      <w:r>
        <w:t xml:space="preserve">across 25 runs, and four panels whose means are negative fall back from</w:t>
      </w:r>
      <w:r>
        <w:t xml:space="preserve"> </w:t>
      </w:r>
      <w:r>
        <w:t xml:space="preserve">the log axis to a linear</w:t>
      </w:r>
      <w:r>
        <w:t xml:space="preserve"> </w:t>
      </w:r>
      <m:oMath>
        <m:r>
          <m:t>y</m:t>
        </m:r>
      </m:oMath>
      <w:r>
        <w:t xml:space="preserve">-axis with an in-panel disclosure: P2, P5,</w:t>
      </w:r>
      <w:r>
        <w:t xml:space="preserve"> </w:t>
      </w:r>
      <w:r>
        <w:t xml:space="preserve">and P6 in sub-grid a, and P10 in sub-grid b; all other panels use the</w:t>
      </w:r>
      <w:r>
        <w:t xml:space="preserve"> </w:t>
      </w:r>
      <w:r>
        <w:t xml:space="preserve">log axis with 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Outcome context for this suite (disclosed alongside the figures, not</w:t>
      </w:r>
      <w:r>
        <w:t xml:space="preserve"> </w:t>
      </w:r>
      <w:r>
        <w:t xml:space="preserve">after them): within the family panel, DT-GSK’s across-problem</w:t>
      </w:r>
      <w:r>
        <w:t xml:space="preserve"> </w:t>
      </w:r>
      <w:r>
        <w:t xml:space="preserve">Wilcoxon versus eGSK on CEC2011 is a statistically significant loss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22</m:t>
        </m:r>
      </m:oMath>
      <w:r>
        <w:t xml:space="preserve">, Holm-corrected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</w:t>
      </w:r>
    </w:p>
    <w:bookmarkStart w:id="95" w:name="lbl_fig_sconv_cec2011_a"/>
    <w:p>
      <w:pPr>
        <w:pStyle w:val="CaptionedFigure"/>
        <w:keepNext/>
        <w:keepLines/>
      </w:pPr>
      <w:r>
        <w:drawing>
          <wp:inline>
            <wp:extent cx="5654600" cy="6798365"/>
            <wp:effectExtent b="0" l="0" r="0" t="0"/>
            <wp:docPr descr="Figure B19.  Family-overlay convergence on the CEC2011 real-world optimization benchmark suite, problems P1–P8 at native dimensions (sub-grid a of 3): per-checkpoint mean of the raw best objective across 25 runs per algorithm, 7-curve overlay, one shared legend. The three panels with negative means (P2, P5, P6) fall back to a linear -axis with an in-panel disclosure; all other panels use the log axis with display floor . All panels carry 7/7 series. Suite-level outcome context: DT-GSK significantly loses to" title="" id="93" name="Picture"/>
            <a:graphic>
              <a:graphicData uri="http://schemas.openxmlformats.org/drawingml/2006/picture">
                <pic:pic>
                  <pic:nvPicPr>
                    <pic:cNvPr descr="figures/convergence/cec2011_a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9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72" w:name="ref_fig_sconv_cec2011_a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19</w:t>
      </w:r>
      <w:r>
        <w:fldChar w:fldCharType="end"/>
      </w:r>
      <w:bookmarkEnd w:id="272"/>
      <w:r>
        <w:rPr>
          <w:b/>
        </w:rPr>
        <w:t xml:space="preserve">. </w:t>
      </w:r>
      <w:r>
        <w:t xml:space="preserve"> Family-overlay convergence on the CEC2011 real-world optimization benchmark suite,</w:t>
      </w:r>
      <w:r>
        <w:t xml:space="preserve"> </w:t>
      </w:r>
      <w:r>
        <w:t xml:space="preserve">problems P1–P8 at native dimensions (sub-grid a of 3): per-checkpoint</w:t>
      </w:r>
      <w:r>
        <w:t xml:space="preserve"> </w:t>
      </w:r>
      <w:r>
        <w:t xml:space="preserve">mean of the raw best objective across 25 runs per algorithm, 7-curve</w:t>
      </w:r>
      <w:r>
        <w:t xml:space="preserve"> </w:t>
      </w:r>
      <w:r>
        <w:t xml:space="preserve">overlay, one shared legend. The three panels with negative means (P2,</w:t>
      </w:r>
      <w:r>
        <w:t xml:space="preserve"> </w:t>
      </w:r>
      <w:r>
        <w:t xml:space="preserve">P5, P6) fall back to a linear</w:t>
      </w:r>
      <w:r>
        <w:t xml:space="preserve"> </w:t>
      </w:r>
      <m:oMath>
        <m:r>
          <m:t>y</m:t>
        </m:r>
      </m:oMath>
      <w:r>
        <w:t xml:space="preserve">-axis with an in-panel disclosure; all</w:t>
      </w:r>
      <w:r>
        <w:t xml:space="preserve"> </w:t>
      </w:r>
      <w:r>
        <w:t xml:space="preserve">other panels use the log axis with 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 All</w:t>
      </w:r>
      <w:r>
        <w:t xml:space="preserve"> </w:t>
      </w:r>
      <w:r>
        <w:t xml:space="preserve">panels carry 7/7 series. Suite-level outcome context: DT-GSK</w:t>
      </w:r>
      <w:r>
        <w:t xml:space="preserve"> </w:t>
      </w:r>
      <w:r>
        <w:t xml:space="preserve">significantly loses to eGSK across problems on this suite</w:t>
      </w:r>
      <w:r>
        <w:t xml:space="preserve"> </w:t>
      </w:r>
      <w:r>
        <w:t xml:space="preserve">(Holm-corrected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</w:p>
    <w:bookmarkEnd w:id="95"/>
    <w:bookmarkStart w:id="99" w:name="lbl_fig_sconv_cec2011_b"/>
    <w:p>
      <w:pPr>
        <w:pStyle w:val="CaptionedFigure"/>
        <w:keepNext/>
        <w:keepLines/>
      </w:pPr>
      <w:r>
        <w:drawing>
          <wp:inline>
            <wp:extent cx="5654600" cy="6798365"/>
            <wp:effectExtent b="0" l="0" r="0" t="0"/>
            <wp:docPr descr="Figure B20.  Family-overlay convergence on the CEC2011 real-world optimization benchmark suite, problems P9–P16 at native dimensions (sub-grid b of 3): per-checkpoint mean of the raw best objective across 25 runs per algorithm, 7-curve overlay, one shared legend. The panel with negative means (P10) falls back to a linear -axis with an in-panel disclosure; all other panels use the log axis with display floor . All panels carry 7/7 series. Suite-level outcome context: DT-GSK significantly loses to eGSK across" title="" id="97" name="Picture"/>
            <a:graphic>
              <a:graphicData uri="http://schemas.openxmlformats.org/drawingml/2006/picture">
                <pic:pic>
                  <pic:nvPicPr>
                    <pic:cNvPr descr="figures/convergence/cec2011_b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9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73" w:name="ref_fig_sconv_cec2011_b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20</w:t>
      </w:r>
      <w:r>
        <w:fldChar w:fldCharType="end"/>
      </w:r>
      <w:bookmarkEnd w:id="273"/>
      <w:r>
        <w:rPr>
          <w:b/>
        </w:rPr>
        <w:t xml:space="preserve">. </w:t>
      </w:r>
      <w:r>
        <w:t xml:space="preserve"> Family-overlay convergence on the CEC2011 real-world optimization benchmark suite,</w:t>
      </w:r>
      <w:r>
        <w:t xml:space="preserve"> </w:t>
      </w:r>
      <w:r>
        <w:t xml:space="preserve">problems P9–P16 at native dimensions (sub-grid b of 3): per-checkpoint</w:t>
      </w:r>
      <w:r>
        <w:t xml:space="preserve"> </w:t>
      </w:r>
      <w:r>
        <w:t xml:space="preserve">mean of the raw best objective across 25 runs per algorithm, 7-curve</w:t>
      </w:r>
      <w:r>
        <w:t xml:space="preserve"> </w:t>
      </w:r>
      <w:r>
        <w:t xml:space="preserve">overlay, one shared legend. The panel with negative means (P10) falls</w:t>
      </w:r>
      <w:r>
        <w:t xml:space="preserve"> </w:t>
      </w:r>
      <w:r>
        <w:t xml:space="preserve">back to a linear</w:t>
      </w:r>
      <w:r>
        <w:t xml:space="preserve"> </w:t>
      </w:r>
      <m:oMath>
        <m:r>
          <m:t>y</m:t>
        </m:r>
      </m:oMath>
      <w:r>
        <w:t xml:space="preserve">-axis with an in-panel disclosure; all other panels</w:t>
      </w:r>
      <w:r>
        <w:t xml:space="preserve"> </w:t>
      </w:r>
      <w:r>
        <w:t xml:space="preserve">use the log axis with 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 All panels carry 7/7</w:t>
      </w:r>
      <w:r>
        <w:t xml:space="preserve"> </w:t>
      </w:r>
      <w:r>
        <w:t xml:space="preserve">series. Suite-level outcome context: DT-GSK significantly loses to</w:t>
      </w:r>
      <w:r>
        <w:t xml:space="preserve"> </w:t>
      </w:r>
      <w:r>
        <w:t xml:space="preserve">eGSK across problems on this suite (Holm-corrected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</w:p>
    <w:bookmarkEnd w:id="99"/>
    <w:bookmarkStart w:id="103" w:name="lbl_fig_sconv_cec2011_c"/>
    <w:p>
      <w:pPr>
        <w:pStyle w:val="CaptionedFigure"/>
        <w:keepNext/>
        <w:keepLines/>
      </w:pPr>
      <w:r>
        <w:drawing>
          <wp:inline>
            <wp:extent cx="5654600" cy="5247860"/>
            <wp:effectExtent b="0" l="0" r="0" t="0"/>
            <wp:docPr descr="Figure B21.  Family-overlay convergence on the CEC2011 real-world optimization benchmark suite, problems P17–P22 at native dimensions (sub-grid c of 3): per-checkpoint mean of the raw best objective across 25 runs per algorithm, 7-curve overlay, log-error -axis with display floor , one shared legend. All panels carry 7/7 series. Suite-level outcome context: DT-GSK significantly loses to eGSK across problems on this suite (Holm-corrected ). " title="" id="101" name="Picture"/>
            <a:graphic>
              <a:graphicData uri="http://schemas.openxmlformats.org/drawingml/2006/picture">
                <pic:pic>
                  <pic:nvPicPr>
                    <pic:cNvPr descr="figures/convergence/cec2011_c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5247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74" w:name="ref_fig_sconv_cec2011_c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21</w:t>
      </w:r>
      <w:r>
        <w:fldChar w:fldCharType="end"/>
      </w:r>
      <w:bookmarkEnd w:id="274"/>
      <w:r>
        <w:rPr>
          <w:b/>
        </w:rPr>
        <w:t xml:space="preserve">. </w:t>
      </w:r>
      <w:r>
        <w:t xml:space="preserve"> Family-overlay convergence on the CEC2011 real-world optimization benchmark suite,</w:t>
      </w:r>
      <w:r>
        <w:t xml:space="preserve"> </w:t>
      </w:r>
      <w:r>
        <w:t xml:space="preserve">problems P17–P22 at native dimensions (sub-grid c of 3): per-checkpoint</w:t>
      </w:r>
      <w:r>
        <w:t xml:space="preserve"> </w:t>
      </w:r>
      <w:r>
        <w:t xml:space="preserve">mean of the raw best objective across 25 runs per algorithm, 7-curve</w:t>
      </w:r>
      <w:r>
        <w:t xml:space="preserve"> </w:t>
      </w:r>
      <w:r>
        <w:t xml:space="preserve">overlay, log-error</w:t>
      </w:r>
      <w:r>
        <w:t xml:space="preserve"> </w:t>
      </w:r>
      <m:oMath>
        <m:r>
          <m:t>y</m:t>
        </m:r>
      </m:oMath>
      <w:r>
        <w:t xml:space="preserve">-axis with 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, one shared</w:t>
      </w:r>
      <w:r>
        <w:t xml:space="preserve"> </w:t>
      </w:r>
      <w:r>
        <w:t xml:space="preserve">legend. All panels carry 7/7 series. Suite-level outcome context:</w:t>
      </w:r>
      <w:r>
        <w:t xml:space="preserve"> </w:t>
      </w:r>
      <w:r>
        <w:t xml:space="preserve">DT-GSK significantly loses to eGSK across problems on this suite</w:t>
      </w:r>
      <w:r>
        <w:t xml:space="preserve"> </w:t>
      </w:r>
      <w:r>
        <w:t xml:space="preserve">(Holm-corrected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</w:p>
    <w:bookmarkEnd w:id="103"/>
    <w:bookmarkEnd w:id="104"/>
    <w:bookmarkStart w:id="121" w:name="lbl_sec_supp_conv2013"/>
    <w:p>
      <w:pPr>
        <w:pStyle w:val="Heading2"/>
      </w:pPr>
      <w:bookmarkStart w:id="275" w:name="ref_sec_supp_conv2013"/>
      <w:r>
        <w:t xml:space="preserve">S3.3.</w:t>
      </w:r>
      <w:bookmarkEnd w:id="275"/>
      <w:r>
        <w:tab/>
      </w:r>
      <w:r>
        <w:t xml:space="preserve"> CEC2013 Second Comparison Suite: All 28 Functions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</w:p>
    <w:p>
      <w:pPr>
        <w:pStyle w:val="FirstParagraph"/>
      </w:pPr>
      <w:r>
        <w:t xml:space="preserve">Figures </w:t>
      </w:r>
      <w:r>
        <w:fldChar w:fldCharType="begin"/>
      </w:r>
      <w:r>
        <w:instrText xml:space="preserve"> REF ref_fig_sconv_cec2013_d30_a \h </w:instrText>
      </w:r>
      <w:r>
        <w:fldChar w:fldCharType="separate"/>
      </w:r>
      <w:r>
        <w:t xml:space="preserve">B22</w:t>
      </w:r>
      <w:r>
        <w:fldChar w:fldCharType="end"/>
      </w:r>
      <w:r>
        <w:t xml:space="preserve">–</w:t>
      </w:r>
      <w:r>
        <w:fldChar w:fldCharType="begin"/>
      </w:r>
      <w:r>
        <w:instrText xml:space="preserve"> REF ref_fig_sconv_cec2013_d30_d \h </w:instrText>
      </w:r>
      <w:r>
        <w:fldChar w:fldCharType="separate"/>
      </w:r>
      <w:r>
        <w:t xml:space="preserve">B25</w:t>
      </w:r>
      <w:r>
        <w:fldChar w:fldCharType="end"/>
      </w:r>
      <w:r>
        <w:t xml:space="preserve"> </w:t>
      </w:r>
      <w:r>
        <w:t xml:space="preserve">cover all 28 functions of the CEC2013 second comparison suite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— the only prespecified CEC2013 convergence dimension —</w:t>
      </w:r>
      <w:r>
        <w:t xml:space="preserve"> </w:t>
      </w:r>
      <w:r>
        <w:t xml:space="preserve">split into four sub-grids (F1–F8 / F9–F16 / F17–F24 / F25–F28).</w:t>
      </w:r>
    </w:p>
    <w:p>
      <w:pPr>
        <w:pStyle w:val="BodyText"/>
      </w:pPr>
      <w:r>
        <w:t xml:space="preserve">The panel-level outcome disclosure for this suite and dimension applies</w:t>
      </w:r>
      <w:r>
        <w:t xml:space="preserve"> </w:t>
      </w:r>
      <w:r>
        <w:t xml:space="preserve">here as in Section </w:t>
      </w:r>
      <w:r>
        <w:fldChar w:fldCharType="begin"/>
      </w:r>
      <w:r>
        <w:instrText xml:space="preserve"> REF ref_sec_supp_cec2013 \h </w:instrText>
      </w:r>
      <w:r>
        <w:fldChar w:fldCharType="separate"/>
      </w:r>
      <w:r>
        <w:t xml:space="preserve">S2.3</w:t>
      </w:r>
      <w:r>
        <w:fldChar w:fldCharType="end"/>
      </w:r>
      <w:r>
        <w:t xml:space="preserve">: DT-GSK places third by</w:t>
      </w:r>
      <w:r>
        <w:t xml:space="preserve"> </w:t>
      </w:r>
      <w:r>
        <w:t xml:space="preserve">Friedman mean rank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behind eGSK and ATMALS-GSK.</w:t>
      </w:r>
    </w:p>
    <w:bookmarkStart w:id="108" w:name="lbl_fig_sconv_cec2013_d30_a"/>
    <w:p>
      <w:pPr>
        <w:pStyle w:val="CaptionedFigure"/>
        <w:keepNext/>
        <w:keepLines/>
      </w:pPr>
      <w:r>
        <w:drawing>
          <wp:inline>
            <wp:extent cx="5654600" cy="6798365"/>
            <wp:effectExtent b="0" l="0" r="0" t="0"/>
            <wp:docPr descr="Figure B22.  Family-overlay convergence on the CEC2013 second comparison suite at , functions F1–F8 (sub-grid a of 4): per-checkpoint mean error across 51 runs per algorithm, 7-curve overlay, log-error -axis (display floor ), one shared legend. All panels carry 7/7 series. Panel-level context at this dimension: DT-GSK places third by Friedman mean rank behind eGSK and ATMALS-GSK. " title="" id="106" name="Picture"/>
            <a:graphic>
              <a:graphicData uri="http://schemas.openxmlformats.org/drawingml/2006/picture">
                <pic:pic>
                  <pic:nvPicPr>
                    <pic:cNvPr descr="figures/convergence/cec2013_a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9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76" w:name="ref_fig_sconv_cec2013_d30_a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22</w:t>
      </w:r>
      <w:r>
        <w:fldChar w:fldCharType="end"/>
      </w:r>
      <w:bookmarkEnd w:id="276"/>
      <w:r>
        <w:rPr>
          <w:b/>
        </w:rPr>
        <w:t xml:space="preserve">. </w:t>
      </w:r>
      <w:r>
        <w:t xml:space="preserve"> Family-overlay convergence on the CEC2013 second comparison</w:t>
      </w:r>
      <w:r>
        <w:t xml:space="preserve"> </w:t>
      </w:r>
      <w:r>
        <w:t xml:space="preserve">suite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functions F1–F8 (sub-grid a of 4): per-checkpoint</w:t>
      </w:r>
      <w:r>
        <w:t xml:space="preserve"> </w:t>
      </w:r>
      <w:r>
        <w:t xml:space="preserve">mean error across 51 runs per 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All panels</w:t>
      </w:r>
      <w:r>
        <w:t xml:space="preserve"> </w:t>
      </w:r>
      <w:r>
        <w:t xml:space="preserve">carry 7/7 series. Panel-level context at this dimension: DT-GSK</w:t>
      </w:r>
      <w:r>
        <w:t xml:space="preserve"> </w:t>
      </w:r>
      <w:r>
        <w:t xml:space="preserve">places third by Friedman mean rank behind eGSK and ATMALS-GSK.</w:t>
      </w:r>
      <w:r>
        <w:t xml:space="preserve"> </w:t>
      </w:r>
    </w:p>
    <w:bookmarkEnd w:id="108"/>
    <w:bookmarkStart w:id="112" w:name="lbl_fig_sconv_cec2013_d30_b"/>
    <w:p>
      <w:pPr>
        <w:pStyle w:val="CaptionedFigure"/>
        <w:keepNext/>
        <w:keepLines/>
      </w:pPr>
      <w:r>
        <w:drawing>
          <wp:inline>
            <wp:extent cx="5654600" cy="6798365"/>
            <wp:effectExtent b="0" l="0" r="0" t="0"/>
            <wp:docPr descr="Figure B23.  Family-overlay convergence on the CEC2013 second comparison suite at , functions F9–F16 (sub-grid b of 4): per-checkpoint mean error across 51 runs per algorithm, 7-curve overlay, log-error -axis (display floor ), one shared legend. All panels carry 7/7 series. " title="" id="110" name="Picture"/>
            <a:graphic>
              <a:graphicData uri="http://schemas.openxmlformats.org/drawingml/2006/picture">
                <pic:pic>
                  <pic:nvPicPr>
                    <pic:cNvPr descr="figures/convergence/cec2013_b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9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77" w:name="ref_fig_sconv_cec2013_d30_b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23</w:t>
      </w:r>
      <w:r>
        <w:fldChar w:fldCharType="end"/>
      </w:r>
      <w:bookmarkEnd w:id="277"/>
      <w:r>
        <w:rPr>
          <w:b/>
        </w:rPr>
        <w:t xml:space="preserve">. </w:t>
      </w:r>
      <w:r>
        <w:t xml:space="preserve"> Family-overlay convergence on the CEC2013 second comparison</w:t>
      </w:r>
      <w:r>
        <w:t xml:space="preserve"> </w:t>
      </w:r>
      <w:r>
        <w:t xml:space="preserve">suite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functions F9–F16 (sub-grid b of 4): per-checkpoint</w:t>
      </w:r>
      <w:r>
        <w:t xml:space="preserve"> </w:t>
      </w:r>
      <w:r>
        <w:t xml:space="preserve">mean error across 51 runs per 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All panels</w:t>
      </w:r>
      <w:r>
        <w:t xml:space="preserve"> </w:t>
      </w:r>
      <w:r>
        <w:t xml:space="preserve">carry 7/7 series.</w:t>
      </w:r>
      <w:r>
        <w:t xml:space="preserve"> </w:t>
      </w:r>
    </w:p>
    <w:bookmarkEnd w:id="112"/>
    <w:bookmarkStart w:id="116" w:name="lbl_fig_sconv_cec2013_d30_c"/>
    <w:p>
      <w:pPr>
        <w:pStyle w:val="CaptionedFigure"/>
        <w:keepNext/>
        <w:keepLines/>
      </w:pPr>
      <w:r>
        <w:drawing>
          <wp:inline>
            <wp:extent cx="5654600" cy="6798365"/>
            <wp:effectExtent b="0" l="0" r="0" t="0"/>
            <wp:docPr descr="Figure B24.  Family-overlay convergence on the CEC2013 second comparison suite at , functions F17–F24 (sub-grid c of 4): per-checkpoint mean error across 51 runs per algorithm, 7-curve overlay, log-error -axis (display floor ), one shared legend. All panels carry 7/7 series. " title="" id="114" name="Picture"/>
            <a:graphic>
              <a:graphicData uri="http://schemas.openxmlformats.org/drawingml/2006/picture">
                <pic:pic>
                  <pic:nvPicPr>
                    <pic:cNvPr descr="figures/convergence/cec2013_c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679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78" w:name="ref_fig_sconv_cec2013_d30_c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24</w:t>
      </w:r>
      <w:r>
        <w:fldChar w:fldCharType="end"/>
      </w:r>
      <w:bookmarkEnd w:id="278"/>
      <w:r>
        <w:rPr>
          <w:b/>
        </w:rPr>
        <w:t xml:space="preserve">. </w:t>
      </w:r>
      <w:r>
        <w:t xml:space="preserve"> Family-overlay convergence on the CEC2013 second comparison</w:t>
      </w:r>
      <w:r>
        <w:t xml:space="preserve"> </w:t>
      </w:r>
      <w:r>
        <w:t xml:space="preserve">suite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functions F17–F24 (sub-grid c of 4): per-checkpoint</w:t>
      </w:r>
      <w:r>
        <w:t xml:space="preserve"> </w:t>
      </w:r>
      <w:r>
        <w:t xml:space="preserve">mean error across 51 runs per 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All panels</w:t>
      </w:r>
      <w:r>
        <w:t xml:space="preserve"> </w:t>
      </w:r>
      <w:r>
        <w:t xml:space="preserve">carry 7/7 series.</w:t>
      </w:r>
      <w:r>
        <w:t xml:space="preserve"> </w:t>
      </w:r>
    </w:p>
    <w:bookmarkEnd w:id="116"/>
    <w:bookmarkStart w:id="120" w:name="lbl_fig_sconv_cec2013_d30_d"/>
    <w:p>
      <w:pPr>
        <w:pStyle w:val="CaptionedFigure"/>
        <w:keepNext/>
        <w:keepLines/>
      </w:pPr>
      <w:r>
        <w:drawing>
          <wp:inline>
            <wp:extent cx="5654600" cy="3633134"/>
            <wp:effectExtent b="0" l="0" r="0" t="0"/>
            <wp:docPr descr="Figure B25.  Family-overlay convergence on the CEC2013 second comparison suite at , functions F25–F28 (sub-grid d of 4): per-checkpoint mean error across 51 runs per algorithm, 7-curve overlay, log-error -axis (display floor ), one shared legend. All panels carry 7/7 series. " title="" id="118" name="Picture"/>
            <a:graphic>
              <a:graphicData uri="http://schemas.openxmlformats.org/drawingml/2006/picture">
                <pic:pic>
                  <pic:nvPicPr>
                    <pic:cNvPr descr="figures/convergence/cec2013_d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00" cy="363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79" w:name="ref_fig_sconv_cec2013_d30_d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25</w:t>
      </w:r>
      <w:r>
        <w:fldChar w:fldCharType="end"/>
      </w:r>
      <w:bookmarkEnd w:id="279"/>
      <w:r>
        <w:rPr>
          <w:b/>
        </w:rPr>
        <w:t xml:space="preserve">. </w:t>
      </w:r>
      <w:r>
        <w:t xml:space="preserve"> Family-overlay convergence on the CEC2013 second comparison</w:t>
      </w:r>
      <w:r>
        <w:t xml:space="preserve"> </w:t>
      </w:r>
      <w:r>
        <w:t xml:space="preserve">suite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functions F25–F28 (sub-grid d of 4): per-checkpoint</w:t>
      </w:r>
      <w:r>
        <w:t xml:space="preserve"> </w:t>
      </w:r>
      <w:r>
        <w:t xml:space="preserve">mean error across 51 runs per algorithm, 7-curve overlay, log-error</w:t>
      </w:r>
      <w:r>
        <w:t xml:space="preserve"> </w:t>
      </w:r>
      <m:oMath>
        <m:r>
          <m:t>y</m:t>
        </m:r>
      </m:oMath>
      <w:r>
        <w:t xml:space="preserve">-axis (display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), one shared legend. All panels</w:t>
      </w:r>
      <w:r>
        <w:t xml:space="preserve"> </w:t>
      </w:r>
      <w:r>
        <w:t xml:space="preserve">carry 7/7 series.</w:t>
      </w:r>
      <w:r>
        <w:t xml:space="preserve"> </w:t>
      </w:r>
    </w:p>
    <w:bookmarkEnd w:id="120"/>
    <w:bookmarkEnd w:id="121"/>
    <w:bookmarkEnd w:id="122"/>
    <w:bookmarkStart w:id="127" w:name="lbl_sec_supp_diagnostics"/>
    <w:p>
      <w:pPr>
        <w:pStyle w:val="Heading1"/>
      </w:pPr>
      <w:bookmarkStart w:id="280" w:name="ref_sec_supp_diagnostics"/>
      <w:r>
        <w:t xml:space="preserve">S4.</w:t>
      </w:r>
      <w:bookmarkEnd w:id="280"/>
      <w:r>
        <w:tab/>
      </w:r>
      <w:r>
        <w:t xml:space="preserve"> Population-Schedule Visualization and Diagnostic Availability</w:t>
      </w:r>
    </w:p>
    <w:p>
      <w:pPr>
        <w:pStyle w:val="FirstParagraph"/>
      </w:pPr>
      <w:r>
        <w:t xml:space="preserve">Figure </w:t>
      </w:r>
      <w:r>
        <w:fldChar w:fldCharType="begin"/>
      </w:r>
      <w:r>
        <w:instrText xml:space="preserve"> REF ref_fig_nlpsr_schedule \h </w:instrText>
      </w:r>
      <w:r>
        <w:fldChar w:fldCharType="separate"/>
      </w:r>
      <w:r>
        <w:t xml:space="preserve">B26</w:t>
      </w:r>
      <w:r>
        <w:fldChar w:fldCharType="end"/>
      </w:r>
      <w:r>
        <w:t xml:space="preserve"> plots the analytic trajectory of the</w:t>
      </w:r>
      <w:r>
        <w:t xml:space="preserve"> </w:t>
      </w:r>
      <w:r>
        <w:t xml:space="preserve">tier-floored Nonlinear Population-Size Reduction (NLPSR) schedule under</w:t>
      </w:r>
      <w:r>
        <w:t xml:space="preserve"> </w:t>
      </w:r>
      <w:r>
        <w:t xml:space="preserve">the frozen configuration for all four dimension tiers</w:t>
      </w:r>
      <w:r>
        <w:t xml:space="preserve"> </w:t>
      </w:r>
      <w:r>
        <w:t xml:space="preserve">(</w:t>
      </w:r>
      <m:oMath>
        <m:r>
          <m:t>N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/</m:t>
        </m:r>
        <m:r>
          <m:t>25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/</m:t>
        </m:r>
        <m:r>
          <m:t>100</m:t>
        </m:r>
      </m:oMath>
      <w:r>
        <w:t xml:space="preserve">): population size versus consumed budget fraction.</w:t>
      </w:r>
    </w:p>
    <w:p>
      <w:pPr>
        <w:pStyle w:val="BodyText"/>
      </w:pPr>
      <w:r>
        <w:t xml:space="preserve">This is an analytic evaluation of the frozen schedule formula and</w:t>
      </w:r>
      <w:r>
        <w:t xml:space="preserve"> </w:t>
      </w:r>
      <w:r>
        <w:t xml:space="preserve">contains no empirical result values; it is included so that the</w:t>
      </w:r>
      <w:r>
        <w:t xml:space="preserve"> </w:t>
      </w:r>
      <w:r>
        <w:t xml:space="preserve">population-size trajectory quoted in the main paper can be inspected</w:t>
      </w:r>
      <w:r>
        <w:t xml:space="preserve"> </w:t>
      </w:r>
      <w:r>
        <w:t xml:space="preserve">without re-deriving the schedule.</w:t>
      </w:r>
    </w:p>
    <w:bookmarkStart w:id="126" w:name="lbl_fig_nlpsr_schedule"/>
    <w:p>
      <w:pPr>
        <w:pStyle w:val="CaptionedFigure"/>
        <w:keepNext/>
        <w:keepLines/>
      </w:pPr>
      <w:r>
        <w:drawing>
          <wp:inline>
            <wp:extent cx="5192395" cy="2990727"/>
            <wp:effectExtent b="0" l="0" r="0" t="0"/>
            <wp:docPr descr="Figure B26.  Analytic trajectory of the tier-floored nonlinear population size reduction schedule under the frozen configuration for all four dimension tiers (; ): population size vs. consumed budget fraction. Analytic evaluation of the frozen formula — no empirical result values." title="" id="124" name="Picture"/>
            <a:graphic>
              <a:graphicData uri="http://schemas.openxmlformats.org/drawingml/2006/picture">
                <pic:pic>
                  <pic:nvPicPr>
                    <pic:cNvPr descr="figures/concept/fig_nlpsr_schedul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299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281" w:name="ref_fig_nlpsr_schedule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26</w:t>
      </w:r>
      <w:r>
        <w:fldChar w:fldCharType="end"/>
      </w:r>
      <w:bookmarkEnd w:id="281"/>
      <w:r>
        <w:rPr>
          <w:b/>
        </w:rPr>
        <w:t xml:space="preserve">. </w:t>
      </w:r>
      <w:r>
        <w:t xml:space="preserve"> Analytic trajectory of the tier-floored nonlinear population</w:t>
      </w:r>
      <w:r>
        <w:t xml:space="preserve"> </w:t>
      </w:r>
      <w:r>
        <w:t xml:space="preserve">size reduction schedule under the frozen configuration for all</w:t>
      </w:r>
      <w:r>
        <w:t xml:space="preserve"> </w:t>
      </w:r>
      <w:r>
        <w:t xml:space="preserve">four dimension tiers (</w:t>
      </w:r>
      <m:oMath>
        <m:r>
          <m:t>N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/</m:t>
        </m:r>
        <m:r>
          <m:t>25</m:t>
        </m:r>
      </m:oMath>
      <w:r>
        <w:t xml:space="preserve">): population size vs. consumed budget</w:t>
      </w:r>
      <w:r>
        <w:t xml:space="preserve"> </w:t>
      </w:r>
      <w:r>
        <w:t xml:space="preserve">fraction. Analytic evaluation of the frozen formula — no empirical</w:t>
      </w:r>
      <w:r>
        <w:t xml:space="preserve"> </w:t>
      </w:r>
      <w:r>
        <w:t xml:space="preserve">result values.</w:t>
      </w:r>
    </w:p>
    <w:bookmarkEnd w:id="126"/>
    <w:p>
      <w:pPr>
        <w:pStyle w:val="BodyText"/>
      </w:pPr>
      <w:r>
        <w:t xml:space="preserve">Per-generation mechanism-trace figures (interaction-structure-memory</w:t>
      </w:r>
      <w:r>
        <w:t xml:space="preserve"> </w:t>
      </w:r>
      <w:r>
        <w:t xml:space="preserve">traces and the adaptive-parameter panel) are not included in this</w:t>
      </w:r>
      <w:r>
        <w:t xml:space="preserve"> </w:t>
      </w:r>
      <w:r>
        <w:t xml:space="preserve">Supplementary Material: no promoted per-generation diagnostic release</w:t>
      </w:r>
      <w:r>
        <w:t xml:space="preserve"> </w:t>
      </w:r>
      <w:r>
        <w:t xml:space="preserve">exists in the accompanying evidence release, so these</w:t>
      </w:r>
      <w:r>
        <w:t xml:space="preserve"> </w:t>
      </w:r>
      <w:r>
        <w:t xml:space="preserve">exhibits cannot be produced under the strict-source rule of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ref_sec_repro \h </w:instrText>
      </w:r>
      <w:r>
        <w:fldChar w:fldCharType="separate"/>
      </w:r>
      <w:r>
        <w:t xml:space="preserve">S5</w:t>
      </w:r>
      <w:r>
        <w:fldChar w:fldCharType="end"/>
      </w:r>
      <w:r>
        <w:t xml:space="preserve"> and are disclosed as unavailable rather than</w:t>
      </w:r>
      <w:r>
        <w:t xml:space="preserve"> </w:t>
      </w:r>
      <w:r>
        <w:t xml:space="preserve">substituted or fabricated.</w:t>
      </w:r>
    </w:p>
    <w:bookmarkEnd w:id="127"/>
    <w:bookmarkStart w:id="156" w:name="lbl_sec_repro"/>
    <w:p>
      <w:pPr>
        <w:pStyle w:val="Heading1"/>
      </w:pPr>
      <w:bookmarkStart w:id="282" w:name="ref_sec_repro"/>
      <w:r>
        <w:t xml:space="preserve">S5.</w:t>
      </w:r>
      <w:bookmarkEnd w:id="282"/>
      <w:r>
        <w:tab/>
      </w:r>
      <w:r>
        <w:t xml:space="preserve"> Reproducibility Appendix</w:t>
      </w:r>
    </w:p>
    <w:p>
      <w:pPr>
        <w:pStyle w:val="FirstParagraph"/>
      </w:pPr>
      <w:r>
        <w:t xml:space="preserve">This appendix documents the mechanisms that make every reported number</w:t>
      </w:r>
      <w:r>
        <w:t xml:space="preserve"> </w:t>
      </w:r>
      <w:r>
        <w:t xml:space="preserve">re-derivable from the released artifacts: the paired</w:t>
      </w:r>
      <w:r>
        <w:t xml:space="preserve"> </w:t>
      </w:r>
      <w:r>
        <w:t xml:space="preserve">optimizer-independent seed schedule, the hash-frozen configuration, the</w:t>
      </w:r>
      <w:r>
        <w:t xml:space="preserve"> </w:t>
      </w:r>
      <w:r>
        <w:t xml:space="preserve">promoted read-only evidence release, and the deterministic RNG layer.</w:t>
      </w:r>
    </w:p>
    <w:p>
      <w:pPr>
        <w:pStyle w:val="BodyText"/>
      </w:pPr>
      <w:r>
        <w:t xml:space="preserve">No byte-stability guarantee is extended to comparator</w:t>
      </w:r>
      <w:r>
        <w:t xml:space="preserve"> </w:t>
      </w:r>
      <w:r>
        <w:t xml:space="preserve">reimplementations; the guarantees below are properties of the DT-GSK</w:t>
      </w:r>
      <w:r>
        <w:t xml:space="preserve"> </w:t>
      </w:r>
      <w:r>
        <w:t xml:space="preserve">implementation and of the evidence pipeline.</w:t>
      </w:r>
    </w:p>
    <w:bookmarkStart w:id="129" w:name="lbl_sec_repro_seeds"/>
    <w:p>
      <w:pPr>
        <w:pStyle w:val="Heading2"/>
      </w:pPr>
      <w:bookmarkStart w:id="283" w:name="ref_sec_repro_seeds"/>
      <w:r>
        <w:t xml:space="preserve">S5.1.</w:t>
      </w:r>
      <w:bookmarkEnd w:id="283"/>
      <w:r>
        <w:tab/>
      </w:r>
      <w:r>
        <w:t xml:space="preserve"> Seed Schedule and Pairing</w:t>
      </w:r>
    </w:p>
    <w:p>
      <w:pPr>
        <w:pStyle w:val="FirstParagraph"/>
      </w:pPr>
      <w:r>
        <w:t xml:space="preserve">Every run in the evidence release is seeded by one deterministic,</w:t>
      </w:r>
      <w:r>
        <w:t xml:space="preserve"> </w:t>
      </w:r>
      <w:r>
        <w:t xml:space="preserve">optimizer-independent formula keyed on the (dimension, function, run)</w:t>
      </w:r>
      <w:r>
        <w:t xml:space="preserve"> </w:t>
      </w:r>
      <w:r>
        <w:t xml:space="preserve">triple, with base seed</w:t>
      </w:r>
      <w:r>
        <w:t xml:space="preserve"> </w:t>
      </w:r>
      <m:oMath>
        <m:r>
          <m:t>20240620</m:t>
        </m:r>
      </m:oMath>
      <w:r>
        <w:t xml:space="preserve">: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  <m:r>
          <m:t> </m:t>
        </m:r>
        <m:r>
          <m:rPr>
            <m:sty m:val="p"/>
          </m:rPr>
          <m:t>=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20240620</m:t>
            </m:r>
            <m:r>
              <m:rPr>
                <m:sty m:val="p"/>
              </m:rPr>
              <m:t>+</m:t>
            </m:r>
            <m:r>
              <m:t>1000003</m:t>
            </m:r>
            <m:r>
              <m:t> </m:t>
            </m:r>
            <m:r>
              <m:t>D</m:t>
            </m:r>
            <m:r>
              <m:rPr>
                <m:sty m:val="p"/>
              </m:rPr>
              <m:t>+</m:t>
            </m:r>
            <m:r>
              <m:t>1000033</m:t>
            </m:r>
            <m:r>
              <m:t> </m:t>
            </m:r>
            <m:r>
              <m:t>f</m:t>
            </m:r>
            <m:r>
              <m:rPr>
                <m:sty m:val="p"/>
              </m:rPr>
              <m:t>+</m:t>
            </m:r>
            <m:r>
              <m:t>1000037</m:t>
            </m:r>
            <m:r>
              <m:t> </m:t>
            </m:r>
            <m:r>
              <m:t>r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2147483646</m:t>
        </m:r>
        <m:r>
          <m:t> </m:t>
        </m:r>
        <m:r>
          <m:rPr>
            <m:sty m:val="p"/>
          </m:rPr>
          <m:t>+</m:t>
        </m:r>
        <m:r>
          <m:t> </m:t>
        </m:r>
        <m:r>
          <m:t>1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284" w:name="ref_eq_supp_seed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1</w:t>
      </w:r>
      <w:r>
        <w:fldChar w:fldCharType="end"/>
      </w:r>
      <w:bookmarkEnd w:id="284"/>
      <w:r>
        <w:t xml:space="preserve">)</w:t>
      </w:r>
    </w:p>
    <w:p>
      <w:pPr>
        <w:pStyle w:val="BodyText"/>
      </w:pPr>
      <w:r>
        <w:t xml:space="preserve">The generator is the counter-based threefry generator in every</w:t>
      </w:r>
      <w:r>
        <w:t xml:space="preserve"> </w:t>
      </w:r>
      <w:r>
        <w:t xml:space="preserve">panel cell.</w:t>
      </w:r>
    </w:p>
    <w:p>
      <w:pPr>
        <w:pStyle w:val="BodyText"/>
      </w:pPr>
      <w:r>
        <w:t xml:space="preserve">Because the formula contains no optimizer term, run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any two panel</w:t>
      </w:r>
      <w:r>
        <w:t xml:space="preserve"> </w:t>
      </w:r>
      <w:r>
        <w:t xml:space="preserve">algorithms on the same (suite, function, dimension) cell consumes the</w:t>
      </w:r>
      <w:r>
        <w:t xml:space="preserve"> </w:t>
      </w:r>
      <w:r>
        <w:t xml:space="preserve">same seed and starts from the same runner-generated shared initial</w:t>
      </w:r>
      <w:r>
        <w:t xml:space="preserve"> </w:t>
      </w:r>
      <w:r>
        <w:t xml:space="preserve">population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; the single documented exception is DT-GSK</w:t>
      </w:r>
      <w:r>
        <w:t xml:space="preserve"> </w:t>
      </w:r>
      <w:r>
        <w:t xml:space="preserve">self-initialization, which draws its own</w:t>
      </w:r>
      <w:r>
        <w:t xml:space="preserve"> </w:t>
      </w:r>
      <m:oMath>
        <m:r>
          <m:t>5</m:t>
        </m:r>
        <m:r>
          <m:t>D</m:t>
        </m:r>
      </m:oMath>
      <w:r>
        <w:t xml:space="preserve">-point initial population</w:t>
      </w:r>
      <w:r>
        <w:t xml:space="preserve"> </w:t>
      </w:r>
      <w:r>
        <w:t xml:space="preserve">from the same seed-paired stream.</w:t>
      </w:r>
    </w:p>
    <w:p>
      <w:pPr>
        <w:pStyle w:val="BodyText"/>
      </w:pPr>
      <w:r>
        <w:t xml:space="preserve">The evidence audit recomputed every row of every stored seed</w:t>
      </w:r>
      <w:r>
        <w:t xml:space="preserve"> </w:t>
      </w:r>
      <w:r>
        <w:t xml:space="preserve">schedule against Equation (</w:t>
      </w:r>
      <w:r>
        <w:fldChar w:fldCharType="begin"/>
      </w:r>
      <w:r>
        <w:instrText xml:space="preserve"> REF ref_eq_supp_seed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) — 70</w:t>
      </w:r>
      <w:r>
        <w:t xml:space="preserve">,</w:t>
      </w:r>
      <w:r>
        <w:t xml:space="preserve">813 stored schedule rows</w:t>
      </w:r>
      <w:r>
        <w:t xml:space="preserve"> </w:t>
      </w:r>
      <w:r>
        <w:t xml:space="preserve">across the 21 (suite, optimizer) cells, plus the APGSK CEC2017</w:t>
      </w:r>
      <w:r>
        <w:t xml:space="preserve"> </w:t>
      </w:r>
      <w:r>
        <w:t xml:space="preserve">low-dimension seeds recovered and verified from the surviving generation</w:t>
      </w:r>
      <w:r>
        <w:t xml:space="preserve"> </w:t>
      </w:r>
      <w:r>
        <w:t xml:space="preserve">logs after their single-file sidecars were overwritten by a later run — with zero mismatches, zero</w:t>
      </w:r>
      <w:r>
        <w:t xml:space="preserve"> </w:t>
      </w:r>
      <w:r>
        <w:t xml:space="preserve">duplicate keys and, within each schedule, zero duplicate seed values (the</w:t>
      </w:r>
      <w:r>
        <w:t xml:space="preserve"> </w:t>
      </w:r>
      <w:r>
        <w:t xml:space="preserve">schedule is intentionally optimizer-independent, so the same key maps to</w:t>
      </w:r>
      <w:r>
        <w:t xml:space="preserve"> </w:t>
      </w:r>
      <w:r>
        <w:t xml:space="preserve">the same seed across all seven algorithms — the basis of the paired</w:t>
      </w:r>
      <w:r>
        <w:t xml:space="preserve"> </w:t>
      </w:r>
      <w:r>
        <w:t xml:space="preserve">comparison), and verified pairing validity for every comparator pair on</w:t>
      </w:r>
      <w:r>
        <w:t xml:space="preserve"> </w:t>
      </w:r>
      <w:r>
        <w:t xml:space="preserve">the primary release’s three suites.</w:t>
      </w:r>
    </w:p>
    <w:p>
      <w:pPr>
        <w:pStyle w:val="BodyText"/>
      </w:pPr>
      <w:r>
        <w:t xml:space="preserve">Within a run, a 13-substream append-only, prefix-locked counter-based</w:t>
      </w:r>
      <w:r>
        <w:t xml:space="preserve"> </w:t>
      </w:r>
      <w:r>
        <w:t xml:space="preserve">RNG layer child-seeds all subsystems from the one run seed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t xml:space="preserve">, with stream 0 the</w:t>
      </w:r>
      <w:r>
        <w:t xml:space="preserve"> </w:t>
      </w:r>
      <w:r>
        <w:t xml:space="preserve">run seed verbatim), so toggling any subsystem cannot disturb any other</w:t>
      </w:r>
      <w:r>
        <w:t xml:space="preserve"> </w:t>
      </w:r>
      <w:r>
        <w:t xml:space="preserve">subsystem’s draw order — the property that makes exact reproduction</w:t>
      </w:r>
      <w:r>
        <w:t xml:space="preserve"> </w:t>
      </w:r>
      <w:r>
        <w:t xml:space="preserve">byte-stable and test-enforced. Table </w:t>
      </w:r>
      <w:r>
        <w:fldChar w:fldCharType="begin"/>
      </w:r>
      <w:r>
        <w:instrText xml:space="preserve"> REF ref_tab_notation_rng \h </w:instrText>
      </w:r>
      <w:r>
        <w:fldChar w:fldCharType="separate"/>
      </w:r>
      <w:r>
        <w:t xml:space="preserve">A18</w:t>
      </w:r>
      <w:r>
        <w:fldChar w:fldCharType="end"/>
      </w:r>
      <w:r>
        <w:t xml:space="preserve"> gives the</w:t>
      </w:r>
      <w:r>
        <w:t xml:space="preserve"> </w:t>
      </w:r>
      <w:r>
        <w:t xml:space="preserve">substream key referenced by the main-text core notation table.</w:t>
      </w:r>
    </w:p>
    <w:bookmarkStart w:id="128" w:name="lbl_tab_notation_rng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285" w:name="ref_tab_notation_rng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18</w:t>
      </w:r>
      <w:r>
        <w:fldChar w:fldCharType="end"/>
      </w:r>
      <w:bookmarkEnd w:id="285"/>
      <w:r>
        <w:rPr>
          <w:b/>
        </w:rPr>
        <w:t xml:space="preserve">. </w:t>
      </w:r>
      <w:r>
        <w:t xml:space="preserve"> RNG substream key. The 13 append-only, prefix-locked substreams of</w:t>
      </w:r>
      <w:r>
        <w:t xml:space="preserve"> </w:t>
      </w:r>
      <w:r>
        <w:t xml:space="preserve">the counter-based (threefry) layer, child-seeded from the single run</w:t>
      </w:r>
      <w:r>
        <w:t xml:space="preserve"> </w:t>
      </w:r>
      <w:r>
        <w:t xml:space="preserve">seed; stream 0 is the run seed verbatim (self-init).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NG substream key. The 13 append-only, prefix-locked substreams of the counter-based (threefry) layer, child-seeded from the single run seed; stream 0 is the run seed verbatim (self-init).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13 substreams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init, core, ace, kexp, div, bse, arch, link, de, control, flow, basin, trust (append-only, prefix-locked)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init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threefry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seed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stream 0 = run seed verbatim (self-init)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safe seed (child-seed modulus)</w:t>
            </w:r>
          </w:p>
        </w:tc>
      </w:tr>
    </w:tbl>
    <w:bookmarkEnd w:id="128"/>
    <w:p>
      <w:pPr>
        <w:pStyle w:val="BodyText"/>
      </w:pPr>
      <w:r>
        <w:t xml:space="preserve">All objective evaluations, including polish and escape evaluations, are</w:t>
      </w:r>
      <w:r>
        <w:t xml:space="preserve"> </w:t>
      </w:r>
      <w:r>
        <w:t xml:space="preserve">charged through a single strict budget-accounting path, so runs are</w:t>
      </w:r>
      <w:r>
        <w:t xml:space="preserve"> </w:t>
      </w:r>
      <w:r>
        <w:t xml:space="preserve">budget-exact, monotone, and repeat-identical per the frozen</w:t>
      </w:r>
      <w:r>
        <w:t xml:space="preserve"> </w:t>
      </w:r>
      <w:r>
        <w:t xml:space="preserve">deterministic trace.</w:t>
      </w:r>
    </w:p>
    <w:bookmarkEnd w:id="129"/>
    <w:bookmarkStart w:id="131" w:name="lbl_sec_repro_freeze"/>
    <w:p>
      <w:pPr>
        <w:pStyle w:val="Heading2"/>
      </w:pPr>
      <w:bookmarkStart w:id="286" w:name="ref_sec_repro_freeze"/>
      <w:r>
        <w:t xml:space="preserve">S5.2.</w:t>
      </w:r>
      <w:bookmarkEnd w:id="286"/>
      <w:r>
        <w:tab/>
      </w:r>
      <w:r>
        <w:t xml:space="preserve"> Frozen Configuration and Freeze Manifest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ref_tab_comparator_params \h </w:instrText>
      </w:r>
      <w:r>
        <w:fldChar w:fldCharType="separate"/>
      </w:r>
      <w:r>
        <w:t xml:space="preserve">A19</w:t>
      </w:r>
      <w:r>
        <w:fldChar w:fldCharType="end"/>
      </w:r>
      <w:r>
        <w:t xml:space="preserve"> lists the parameter settings of the six</w:t>
      </w:r>
      <w:r>
        <w:t xml:space="preserve"> </w:t>
      </w:r>
      <w:r>
        <w:t xml:space="preserve">comparators — GSK </w:t>
      </w:r>
      <w:r>
        <w:fldChar w:fldCharType="begin"/>
      </w:r>
      <w:r>
        <w:instrText xml:space="preserve"> CITATION mohamed2020gaining \l 1033 </w:instrText>
      </w:r>
      <w:r>
        <w:fldChar w:fldCharType="separate"/>
      </w:r>
      <w:r>
        <w:t xml:space="preserve">[11]</w:t>
      </w:r>
      <w:r>
        <w:fldChar w:fldCharType="end"/>
      </w:r>
      <w:r>
        <w:t xml:space="preserve">, AGSK </w:t>
      </w:r>
      <w:r>
        <w:fldChar w:fldCharType="begin"/>
      </w:r>
      <w:r>
        <w:instrText xml:space="preserve"> CITATION mohamed2020agsk \l 1033 </w:instrText>
      </w:r>
      <w:r>
        <w:fldChar w:fldCharType="separate"/>
      </w:r>
      <w:r>
        <w:t xml:space="preserve">[12]</w:t>
      </w:r>
      <w:r>
        <w:fldChar w:fldCharType="end"/>
      </w:r>
      <w:r>
        <w:t xml:space="preserve">,</w:t>
      </w:r>
      <w:r>
        <w:t xml:space="preserve"> </w:t>
      </w:r>
      <w:r>
        <w:t xml:space="preserve">APGSK </w:t>
      </w:r>
      <w:r>
        <w:fldChar w:fldCharType="begin"/>
      </w:r>
      <w:r>
        <w:instrText xml:space="preserve"> CITATION apgsk2021 \l 1033 </w:instrText>
      </w:r>
      <w:r>
        <w:fldChar w:fldCharType="separate"/>
      </w:r>
      <w:r>
        <w:t xml:space="preserve">[13]</w:t>
      </w:r>
      <w:r>
        <w:fldChar w:fldCharType="end"/>
      </w:r>
      <w:r>
        <w:t xml:space="preserve">, FDB-AGSK </w:t>
      </w:r>
      <w:r>
        <w:fldChar w:fldCharType="begin"/>
      </w:r>
      <w:r>
        <w:instrText xml:space="preserve"> CITATION fdbagsk2023 \l 1033 </w:instrText>
      </w:r>
      <w:r>
        <w:fldChar w:fldCharType="separate"/>
      </w:r>
      <w:r>
        <w:t xml:space="preserve">[14]</w:t>
      </w:r>
      <w:r>
        <w:fldChar w:fldCharType="end"/>
      </w:r>
      <w:r>
        <w:t xml:space="preserve">,</w:t>
      </w:r>
      <w:r>
        <w:t xml:space="preserve"> </w:t>
      </w:r>
      <w:r>
        <w:t xml:space="preserve">ATMALS-GSK </w:t>
      </w:r>
      <w:r>
        <w:fldChar w:fldCharType="begin"/>
      </w:r>
      <w:r>
        <w:instrText xml:space="preserve"> CITATION alfadli2025atmals \l 1033 </w:instrText>
      </w:r>
      <w:r>
        <w:fldChar w:fldCharType="separate"/>
      </w:r>
      <w:r>
        <w:t xml:space="preserve">[15]</w:t>
      </w:r>
      <w:r>
        <w:fldChar w:fldCharType="end"/>
      </w:r>
      <w:r>
        <w:t xml:space="preserve"> and eGSK </w:t>
      </w:r>
      <w:r>
        <w:fldChar w:fldCharType="begin"/>
      </w:r>
      <w:r>
        <w:instrText xml:space="preserve"> CITATION jawad2024egsk \l 1033 </w:instrText>
      </w:r>
      <w:r>
        <w:fldChar w:fldCharType="separate"/>
      </w:r>
      <w:r>
        <w:t xml:space="preserve">[16]</w:t>
      </w:r>
      <w:r>
        <w:fldChar w:fldCharType="end"/>
      </w:r>
      <w:r>
        <w:t xml:space="preserve"> — exactly</w:t>
      </w:r>
      <w:r>
        <w:t xml:space="preserve"> </w:t>
      </w:r>
      <w:r>
        <w:t xml:space="preserve">as run here, so comparator fairness can be checked against stated values rather</w:t>
      </w:r>
      <w:r>
        <w:t xml:space="preserve"> </w:t>
      </w:r>
      <w:r>
        <w:t xml:space="preserve">than inferred from six source publications. Every entry is read programmatically</w:t>
      </w:r>
      <w:r>
        <w:t xml:space="preserve"> </w:t>
      </w:r>
      <w:r>
        <w:t xml:space="preserve">from the shipped optimizer modules; the frozen run_config.json records</w:t>
      </w:r>
      <w:r>
        <w:t xml:space="preserve"> </w:t>
      </w:r>
      <w:r>
        <w:t xml:space="preserve">an empty optimizer_options for each comparator, so those module</w:t>
      </w:r>
      <w:r>
        <w:t xml:space="preserve"> </w:t>
      </w:r>
      <w:r>
        <w:t xml:space="preserve">defaults are the settings of record.</w:t>
      </w:r>
    </w:p>
    <w:bookmarkStart w:id="130" w:name="lbl_tab_comparator_param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287" w:name="ref_tab_comparator_params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19</w:t>
      </w:r>
      <w:r>
        <w:fldChar w:fldCharType="end"/>
      </w:r>
      <w:bookmarkEnd w:id="287"/>
      <w:r>
        <w:rPr>
          <w:b/>
        </w:rPr>
        <w:t xml:space="preserve">. </w:t>
      </w:r>
      <w:r>
        <w:t xml:space="preserve"> GSK-family comparator parameter settings as run in this study. Values</w:t>
      </w:r>
      <w:r>
        <w:t xml:space="preserve"> </w:t>
      </w:r>
      <w:r>
        <w:t xml:space="preserve">are read from src/gsk_family/optimizers/ (module constants imported;</w:t>
      </w:r>
      <w:r>
        <w:t xml:space="preserve"> </w:t>
      </w:r>
      <w:r>
        <w:t xml:space="preserve">_option_value and np.arange defaults extracted from source),</w:t>
      </w:r>
      <w:r>
        <w:t xml:space="preserve"> </w:t>
      </w:r>
      <w:r>
        <w:t xml:space="preserve">never hand-transcribed. Pools are written first:step:last. DT-GSK is</w:t>
      </w:r>
      <w:r>
        <w:t xml:space="preserve"> </w:t>
      </w:r>
      <w:r>
        <w:t xml:space="preserve">omitted here: its frozen tier-resolved configuration is given in full in the</w:t>
      </w:r>
      <w:r>
        <w:t xml:space="preserve"> </w:t>
      </w:r>
      <w:r>
        <w:t xml:space="preserve">main-text parameter table.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SK-family comparator parameter settings as run in this study. Values are read from src/gsk_family/optimizers/ (module constants imported; _option_value and np.arange defaults extracted from source), never hand-transcribed. Pools are written first:step:last. DT-GSK is omitted here: its frozen tier-resolved configuration is given in full in the main-text parameter table.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 settings as run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= 100; Kf = 0.5; Kr = 0.9; K = 10.0; p = 0.1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NPinit = 100; NPmin = 12; Kf pool = [0.1, 1, 0.5, 1]; Kr pool = [0.2, 0.1, 0.9, 0.9]; Kw init = [0.85, 0.05, 0.05, 0.05]; p = 0.05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NPinit = 100; NPmin = 12; Kf pool = [0.1, 1, 0.5, 1]; Kf pool (neg.) = [-0.15, -0.05, -0.05, -0.15]; Kr pool = [0.2, 0.1, 0.9, 0.9]; Kw init = [0.85, 0.05, 0.05, 0.05]; p = 0.05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NPinit = 100; NPmin = 12; FDB case = 1; Kf pool = [0.1, 1, 0.5, 1]; Kr pool = [0.2, 0.1, 0.9, 0.9]; p = 0.05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= 100; Kf pool = 0.2:0.1:0.8 (7 values); Kr pool = 0.85:0.01:1 (16 values); K pool = 8:1:30 (23 values); p pool = 0.05:0.01:0.15 (11 values); PLS pool = 1:0.1:2 (11 values)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= 100; Kf1, Kf2 = 0.5; Kr = 1; K = 10; p = 0.1; late-stage frac. = 0.75; IP budget frac. = 0.002</w:t>
            </w:r>
          </w:p>
        </w:tc>
      </w:tr>
    </w:tbl>
    <w:bookmarkEnd w:id="130"/>
    <w:p>
      <w:pPr>
        <w:pStyle w:val="BodyText"/>
      </w:pPr>
      <w:r>
        <w:t xml:space="preserve">The complete shipped configuration of DT-GSK is the single</w:t>
      </w:r>
      <w:r>
        <w:t xml:space="preserve"> </w:t>
      </w:r>
      <w:r>
        <w:t xml:space="preserve">dimension-aware configuration, tier-resolved over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t xml:space="preserve">and identical across the four</w:t>
      </w:r>
      <w:r>
        <w:t xml:space="preserve"> </w:t>
      </w:r>
      <w:r>
        <w:t xml:space="preserve">bound-constrained suites (no per-suite tuning), with the single</w:t>
      </w:r>
      <w:r>
        <w:t xml:space="preserve"> </w:t>
      </w:r>
      <w:r>
        <w:t xml:space="preserve">disclosed CEC2013LSGO linkage-block exception (Section S7).</w:t>
      </w:r>
    </w:p>
    <w:p>
      <w:pPr>
        <w:pStyle w:val="BodyText"/>
      </w:pPr>
      <w:r>
        <w:t xml:space="preserve">The configuration and the implementing sources are hash-frozen in the</w:t>
      </w:r>
      <w:r>
        <w:t xml:space="preserve"> </w:t>
      </w:r>
      <w:r>
        <w:t xml:space="preserve">committed algorithm freeze manifest</w:t>
      </w:r>
      <w:r>
        <w:t xml:space="preserve"> </w:t>
      </w:r>
      <w:r>
        <w:t xml:space="preserve">(algorithm_freeze_manifest.json). Because the method was frozen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post-freeze code audit found two implementation defects, the</w:t>
      </w:r>
      <w:r>
        <w:t xml:space="preserve"> </w:t>
      </w:r>
      <w:r>
        <w:t xml:space="preserve">provenance of the shipped code is a short chain rather than a single freeze, and</w:t>
      </w:r>
      <w:r>
        <w:t xml:space="preserve"> </w:t>
      </w:r>
      <w:r>
        <w:t xml:space="preserve">we record it in full.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Original freeze (2026-07-10, anchor 708a927bf).</w:t>
      </w:r>
      <w:r>
        <w:t xml:space="preserve"> </w:t>
      </w:r>
      <w:r>
        <w:t xml:space="preserve">The</w:t>
      </w:r>
      <w:r>
        <w:t xml:space="preserve"> </w:t>
      </w:r>
      <w:r>
        <w:t xml:space="preserve">manifest pinned the core sources under their production filenames —</w:t>
      </w:r>
      <w:r>
        <w:t xml:space="preserve"> </w:t>
      </w:r>
      <w:r>
        <w:t xml:space="preserve">ism_gsk.py a274e0f83b4efd3c,</w:t>
      </w:r>
      <w:r>
        <w:t xml:space="preserve"> </w:t>
      </w:r>
      <w:r>
        <w:t xml:space="preserve">_ism_core.py 1ef815cee5d4c9c3,</w:t>
      </w:r>
      <w:r>
        <w:t xml:space="preserve"> </w:t>
      </w:r>
      <w:r>
        <w:t xml:space="preserve">_ism_profiles.py c3dcdce3a3477dca,</w:t>
      </w:r>
      <w:r>
        <w:t xml:space="preserve"> </w:t>
      </w:r>
      <w:r>
        <w:t xml:space="preserve">_ism_rng.py db1cc028b3ebc145 — with a Merkle digest over</w:t>
      </w:r>
      <w:r>
        <w:t xml:space="preserve"> </w:t>
      </w:r>
      <w:r>
        <w:t xml:space="preserve">the subsystem sources (e532fc4435fd407cf585c5ee57ba3de8). The evidence</w:t>
      </w:r>
      <w:r>
        <w:t xml:space="preserve"> </w:t>
      </w:r>
      <w:r>
        <w:t xml:space="preserve">produced under this freeze was release rel-2026-07-10-262fc16c9.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Post-freeze audit.</w:t>
      </w:r>
      <w:r>
        <w:t xml:space="preserve"> </w:t>
      </w:r>
      <w:r>
        <w:t xml:space="preserve">Two defects were found in the frozen core: a</w:t>
      </w:r>
      <w:r>
        <w:t xml:space="preserve"> </w:t>
      </w:r>
      <w:r>
        <w:t xml:space="preserve">final-polish stale-incumbent fault (C006), which changes trajectories wherever</w:t>
      </w:r>
      <w:r>
        <w:t xml:space="preserve"> </w:t>
      </w:r>
      <w:r>
        <w:t xml:space="preserve">the polish fires, and a wrong module path in the interaction graph’s guarded</w:t>
      </w:r>
      <w:r>
        <w:t xml:space="preserve"> </w:t>
      </w:r>
      <w:r>
        <w:t xml:space="preserve">numba import (M038), which silently selected the</w:t>
      </w:r>
      <w:r>
        <w:t xml:space="preserve"> </w:t>
      </w:r>
      <w:r>
        <w:rPr>
          <w:smallCaps/>
        </w:rPr>
        <w:t xml:space="preserve">NumPy</w:t>
      </w:r>
      <w:r>
        <w:t xml:space="preserve"> </w:t>
      </w:r>
      <w:r>
        <w:t xml:space="preserve">fallback and affected wall-clock only. Both are described with their measured</w:t>
      </w:r>
      <w:r>
        <w:t xml:space="preserve"> </w:t>
      </w:r>
      <w:r>
        <w:t xml:space="preserve">consequences in Section </w:t>
      </w:r>
      <w:r>
        <w:fldChar w:fldCharType="begin"/>
      </w:r>
      <w:r>
        <w:instrText xml:space="preserve"> REF ref_sec_supp_ablation_caveats \h </w:instrText>
      </w:r>
      <w:r>
        <w:fldChar w:fldCharType="separate"/>
      </w:r>
      <w:r>
        <w:t xml:space="preserve">S6.7</w:t>
      </w:r>
      <w:r>
        <w:fldChar w:fldCharType="end"/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Source fixes and locks.</w:t>
      </w:r>
      <w:r>
        <w:t xml:space="preserve"> </w:t>
      </w:r>
      <w:r>
        <w:t xml:space="preserve">Both defects were fixed in the source and</w:t>
      </w:r>
      <w:r>
        <w:t xml:space="preserve"> </w:t>
      </w:r>
      <w:r>
        <w:t xml:space="preserve">each is pinned by a regression test that</w:t>
      </w:r>
      <w:r>
        <w:t xml:space="preserve"> </w:t>
      </w:r>
      <w:r>
        <w:rPr>
          <w:i/>
          <w:iCs/>
        </w:rPr>
        <w:t xml:space="preserve">fails on the pre-fix code</w:t>
      </w:r>
      <w:r>
        <w:t xml:space="preserve"> </w:t>
      </w:r>
      <w:r>
        <w:t xml:space="preserve">(test_dt_polish_incumbent_consistent.py for C006;</w:t>
      </w:r>
      <w:r>
        <w:t xml:space="preserve"> </w:t>
      </w:r>
      <w:r>
        <w:t xml:space="preserve">test_dt_graph_backend_parity.py for M038, which additionally</w:t>
      </w:r>
      <w:r>
        <w:t xml:space="preserve"> </w:t>
      </w:r>
      <w:r>
        <w:t xml:space="preserve">asserts that the compiled and</w:t>
      </w:r>
      <w:r>
        <w:t xml:space="preserve"> </w:t>
      </w:r>
      <w:r>
        <w:rPr>
          <w:smallCaps/>
        </w:rPr>
        <w:t xml:space="preserve">NumPy</w:t>
      </w:r>
      <w:r>
        <w:t xml:space="preserve"> </w:t>
      </w:r>
      <w:r>
        <w:t xml:space="preserve">backends are bit-identical).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Module rename.</w:t>
      </w:r>
      <w:r>
        <w:t xml:space="preserve"> </w:t>
      </w:r>
      <w:r>
        <w:t xml:space="preserve">The shipped modules were renamed to</w:t>
      </w:r>
      <w:r>
        <w:t xml:space="preserve"> </w:t>
      </w:r>
      <w:r>
        <w:t xml:space="preserve">dt_gsk.py, _dt_core.py, _dt_profiles.py and</w:t>
      </w:r>
      <w:r>
        <w:t xml:space="preserve"> </w:t>
      </w:r>
      <w:r>
        <w:t xml:space="preserve">_dt_rng.py when the method was renamed to DT-GSK.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Full regeneration.</w:t>
      </w:r>
      <w:r>
        <w:t xml:space="preserve"> </w:t>
      </w:r>
      <w:r>
        <w:t xml:space="preserve">The primary-panel, scaffold and overlay</w:t>
      </w:r>
      <w:r>
        <w:t xml:space="preserve"> </w:t>
      </w:r>
      <w:r>
        <w:t xml:space="preserve">evidence was regenerated end to end with the corrected binary at 51 runs per</w:t>
      </w:r>
      <w:r>
        <w:t xml:space="preserve"> </w:t>
      </w:r>
      <w:r>
        <w:t xml:space="preserve">cell. Comparator cells were verified byte-identical to the prior release</w:t>
      </w:r>
      <w:r>
        <w:t xml:space="preserve"> </w:t>
      </w:r>
      <w:r>
        <w:t xml:space="preserve">during minting, so the regeneration is scoped to DT-GSK.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Intermediate release (anchor 78f075cb0).</w:t>
      </w:r>
      <w:r>
        <w:t xml:space="preserve"> </w:t>
      </w:r>
      <w:r>
        <w:t xml:space="preserve">The regenerated</w:t>
      </w:r>
      <w:r>
        <w:t xml:space="preserve"> </w:t>
      </w:r>
      <w:r>
        <w:t xml:space="preserve">evidence was first promoted as release rel-2026-07-16-78f075cb0</w:t>
      </w:r>
      <w:r>
        <w:t xml:space="preserve"> </w:t>
      </w:r>
      <w:r>
        <w:t xml:space="preserve">(3</w:t>
      </w:r>
      <w:r>
        <w:t xml:space="preserve">,</w:t>
      </w:r>
      <w:r>
        <w:t xml:space="preserve">403 files), superseding rel-2026-07-10-262fc16c9. It has since</w:t>
      </w:r>
      <w:r>
        <w:t xml:space="preserve"> </w:t>
      </w:r>
      <w:r>
        <w:t xml:space="preserve">been superseded in turn (next item) and is retained here only as a link in the</w:t>
      </w:r>
      <w:r>
        <w:t xml:space="preserve"> </w:t>
      </w:r>
      <w:r>
        <w:t xml:space="preserve">provenance chain.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Current release (anchor 67d9345f9).</w:t>
      </w:r>
      <w:r>
        <w:t xml:space="preserve"> </w:t>
      </w:r>
      <w:r>
        <w:t xml:space="preserve">The evidence</w:t>
      </w:r>
      <w:r>
        <w:t xml:space="preserve"> </w:t>
      </w:r>
      <w:r>
        <w:t xml:space="preserve">accompanying this article is release rel-2026-07-20-67d9345f9 (anchor</w:t>
      </w:r>
      <w:r>
        <w:t xml:space="preserve"> </w:t>
      </w:r>
      <w:r>
        <w:t xml:space="preserve">commit 67d9345f9502a9a584e645fa8948f60a61d70e29; 3</w:t>
      </w:r>
      <w:r>
        <w:t xml:space="preserve">,</w:t>
      </w:r>
      <w:r>
        <w:t xml:space="preserve">403 files), which</w:t>
      </w:r>
      <w:r>
        <w:t xml:space="preserve"> </w:t>
      </w:r>
      <w:r>
        <w:t xml:space="preserve">supersedes rel-2026-07-16-78f075cb0. The remint re-timed DT-GSK with</w:t>
      </w:r>
      <w:r>
        <w:t xml:space="preserve"> </w:t>
      </w:r>
      <w:r>
        <w:t xml:space="preserve">the compiled interaction-graph kernels active after the M038 fix: the scientific</w:t>
      </w:r>
      <w:r>
        <w:t xml:space="preserve"> </w:t>
      </w:r>
      <w:r>
        <w:t xml:space="preserve">columns (error, best_fitness, seed, nfes,</w:t>
      </w:r>
      <w:r>
        <w:t xml:space="preserve"> </w:t>
      </w:r>
      <w:r>
        <w:t xml:space="preserve">termination) are byte-identical to the prior release and only</w:t>
      </w:r>
      <w:r>
        <w:t xml:space="preserve"> </w:t>
      </w:r>
      <w:r>
        <w:t xml:space="preserve">runtime_seconds changed. It also carries the regenerated</w:t>
      </w:r>
      <w:r>
        <w:t xml:space="preserve"> </w:t>
      </w:r>
      <w:r>
        <w:t xml:space="preserve">tie-corrected Friedman statistics (M-026) and the paired rank-biserial effect</w:t>
      </w:r>
      <w:r>
        <w:t xml:space="preserve"> </w:t>
      </w:r>
      <w:r>
        <w:t xml:space="preserve">sizes (M-027). Every number reported in this paper and in this Supplementary</w:t>
      </w:r>
      <w:r>
        <w:t xml:space="preserve"> </w:t>
      </w:r>
      <w:r>
        <w:t xml:space="preserve">Material is drawn from rel-2026-07-20-67d9345f9.</w:t>
      </w:r>
    </w:p>
    <w:p>
      <w:pPr>
        <w:pStyle w:val="FirstParagraph"/>
      </w:pPr>
      <w:r>
        <w:t xml:space="preserve">The four SHA-256 prefixes recorded in the original freeze manifest are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historical</w:t>
      </w:r>
      <w:r>
        <w:t xml:space="preserve">: they pin the pre-fix sources under their pre-rename</w:t>
      </w:r>
      <w:r>
        <w:t xml:space="preserve"> </w:t>
      </w:r>
      <w:r>
        <w:t xml:space="preserve">filenames and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match the shipped modules. A current manifest,</w:t>
      </w:r>
      <w:r>
        <w:t xml:space="preserve"> </w:t>
      </w:r>
      <w:r>
        <w:t xml:space="preserve">algorithm_freeze_manifest_2026-07-19.json, was minted from the</w:t>
      </w:r>
      <w:r>
        <w:t xml:space="preserve"> </w:t>
      </w:r>
      <w:r>
        <w:t xml:space="preserve">post-fix source and records the full SHA-256 of each shipped module together</w:t>
      </w:r>
      <w:r>
        <w:t xml:space="preserve"> </w:t>
      </w:r>
      <w:r>
        <w:t xml:space="preserve">with a Merkle digest over the subsystem sources; the original is retained,</w:t>
      </w:r>
      <w:r>
        <w:t xml:space="preserve"> </w:t>
      </w:r>
      <w:r>
        <w:t xml:space="preserve">marked superseded, as the record of the 2026-07-10 freeze. The shipped modules’</w:t>
      </w:r>
      <w:r>
        <w:t xml:space="preserve"> </w:t>
      </w:r>
      <w:r>
        <w:t xml:space="preserve">current prefixes are</w:t>
      </w:r>
      <w:r>
        <w:t xml:space="preserve"> </w:t>
      </w:r>
      <w:r>
        <w:t xml:space="preserve">dt_gsk.py 51b12194a3962a20,</w:t>
      </w:r>
      <w:r>
        <w:t xml:space="preserve"> </w:t>
      </w:r>
      <w:r>
        <w:t xml:space="preserve">_dt_core.py 3ce5db5291dcda4d,</w:t>
      </w:r>
      <w:r>
        <w:t xml:space="preserve"> </w:t>
      </w:r>
      <w:r>
        <w:t xml:space="preserve">_dt_profiles.py 7baadf228d356394 and</w:t>
      </w:r>
      <w:r>
        <w:t xml:space="preserve"> </w:t>
      </w:r>
      <w:r>
        <w:t xml:space="preserve">_dt_rng.py 8a0fc27d7531b847.</w:t>
      </w:r>
      <w:r>
        <w:t xml:space="preserve"> </w:t>
      </w:r>
      <w:r>
        <w:t xml:space="preserve">What the manifest continues to guarantee is that the shipped configuration is</w:t>
      </w:r>
      <w:r>
        <w:t xml:space="preserve"> </w:t>
      </w:r>
      <w:r>
        <w:t xml:space="preserve">immutable and machine-checked: the repository’s configuration-lock validator and</w:t>
      </w:r>
      <w:r>
        <w:t xml:space="preserve"> </w:t>
      </w:r>
      <w:r>
        <w:t xml:space="preserve">the byte-stability regression test enforce byte-identity of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sources on every run, so the code that produced the current release cannot drift</w:t>
      </w:r>
      <w:r>
        <w:t xml:space="preserve"> </w:t>
      </w:r>
      <w:r>
        <w:t xml:space="preserve">without failing the gate.</w:t>
      </w:r>
    </w:p>
    <w:p>
      <w:pPr>
        <w:pStyle w:val="BodyText"/>
      </w:pPr>
      <w:r>
        <w:t xml:space="preserve">One source file has changed since the evidence release was promoted.</w:t>
      </w:r>
      <w:r>
        <w:t xml:space="preserve"> </w:t>
      </w:r>
      <w:r>
        <w:t xml:space="preserve">_dt_core.py was modified after rel-2026-07-20-67d9345f9 by a</w:t>
      </w:r>
      <w:r>
        <w:t xml:space="preserve"> </w:t>
      </w:r>
      <w:r>
        <w:t xml:space="preserve">performance campaign (change requests CR-0013 to CR-0018) that removed redundant</w:t>
      </w:r>
      <w:r>
        <w:t xml:space="preserve"> </w:t>
      </w:r>
      <w:r>
        <w:t xml:space="preserve">memory traffic, dead computation and dead code from the per-generation loop; its</w:t>
      </w:r>
      <w:r>
        <w:t xml:space="preserve"> </w:t>
      </w:r>
      <w:r>
        <w:t xml:space="preserve">prefix above is the post-campaign value, and the release was produced by</w:t>
      </w:r>
      <w:r>
        <w:t xml:space="preserve"> </w:t>
      </w:r>
      <w:r>
        <w:t xml:space="preserve">dc2d59db91a288ee. Every one of those edits was certified</w:t>
      </w:r>
      <w:r>
        <w:t xml:space="preserve"> </w:t>
      </w:r>
      <w:r>
        <w:rPr>
          <w:i/>
          <w:iCs/>
        </w:rPr>
        <w:t xml:space="preserve">bit-identical</w:t>
      </w:r>
      <w:r>
        <w:t xml:space="preserve">: the campaign introduced a pinned end-to-end regression</w:t>
      </w:r>
      <w:r>
        <w:t xml:space="preserve"> </w:t>
      </w:r>
      <w:r>
        <w:t xml:space="preserve">matrix (seven optimizers across six benchmark suites, exact hexadecimal</w:t>
      </w:r>
      <w:r>
        <w:t xml:space="preserve"> </w:t>
      </w:r>
      <w:r>
        <w:t xml:space="preserve">best-fitness values) and re-verified all eighty-four cells of a</w:t>
      </w:r>
      <w:r>
        <w:t xml:space="preserve"> </w:t>
      </w:r>
      <w:r>
        <w:t xml:space="preserve">cross-suite measurement ledger against their pre-campaign values, with zero</w:t>
      </w:r>
      <w:r>
        <w:t xml:space="preserve"> </w:t>
      </w:r>
      <w:r>
        <w:t xml:space="preserve">divergence, alongside the generator known-answer tests and the byte-stability</w:t>
      </w:r>
      <w:r>
        <w:t xml:space="preserve"> </w:t>
      </w:r>
      <w:r>
        <w:t xml:space="preserve">pins. No reported number, rank,</w:t>
      </w:r>
      <w:r>
        <w:t xml:space="preserve"> </w:t>
      </w:r>
      <m:oMath>
        <m:r>
          <m:t>p</m:t>
        </m:r>
      </m:oMath>
      <w:r>
        <w:t xml:space="preserve">-value or decision in this paper or this</w:t>
      </w:r>
      <w:r>
        <w:t xml:space="preserve"> </w:t>
      </w:r>
      <w:r>
        <w:t xml:space="preserve">Supplementary Material depends on which of the two revisions is used; the</w:t>
      </w:r>
      <w:r>
        <w:t xml:space="preserve"> </w:t>
      </w:r>
      <w:r>
        <w:t xml:space="preserve">release remains reproducible from either.</w:t>
      </w:r>
    </w:p>
    <w:p>
      <w:pPr>
        <w:pStyle w:val="BodyText"/>
      </w:pPr>
      <w:r>
        <w:t xml:space="preserve">Any post-freeze change to the frozen sources, the configuration, or the</w:t>
      </w:r>
      <w:r>
        <w:t xml:space="preserve"> </w:t>
      </w:r>
      <w:r>
        <w:t xml:space="preserve">mechanism inventory requires a recorded change request; the two corrections</w:t>
      </w:r>
      <w:r>
        <w:t xml:space="preserve"> </w:t>
      </w:r>
      <w:r>
        <w:t xml:space="preserve">above are registered as CR-0007 in</w:t>
      </w:r>
      <w:r>
        <w:t xml:space="preserve"> </w:t>
      </w:r>
      <w:r>
        <w:t xml:space="preserve">papers/governance/change_request_register.csv, together with the</w:t>
      </w:r>
      <w:r>
        <w:t xml:space="preserve"> </w:t>
      </w:r>
      <w:r>
        <w:t xml:space="preserve">regeneration scope they forced.</w:t>
      </w:r>
    </w:p>
    <w:bookmarkEnd w:id="131"/>
    <w:bookmarkStart w:id="132" w:name="lbl_sec_repro_tuning"/>
    <w:p>
      <w:pPr>
        <w:pStyle w:val="Heading2"/>
      </w:pPr>
      <w:bookmarkStart w:id="288" w:name="ref_sec_repro_tuning"/>
      <w:r>
        <w:t xml:space="preserve">S5.3.</w:t>
      </w:r>
      <w:bookmarkEnd w:id="288"/>
      <w:r>
        <w:tab/>
      </w:r>
      <w:r>
        <w:t xml:space="preserve"> Configuration Selection and Development Protocol</w:t>
      </w:r>
    </w:p>
    <w:p>
      <w:pPr>
        <w:pStyle w:val="FirstParagraph"/>
      </w:pPr>
      <w:r>
        <w:t xml:space="preserve">The single dimension-aware configuration is fixed once and reused across</w:t>
      </w:r>
      <w:r>
        <w:t xml:space="preserve"> </w:t>
      </w:r>
      <w:r>
        <w:t xml:space="preserve">all five suites, with the single disclosed CEC2013LSGO linkage-block</w:t>
      </w:r>
      <w:r>
        <w:t xml:space="preserve"> </w:t>
      </w:r>
      <w:r>
        <w:t xml:space="preserve">exception (Section S7); this subsection discloses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was selected, so the</w:t>
      </w:r>
      <w:r>
        <w:t xml:space="preserve"> </w:t>
      </w:r>
      <w:r>
        <w:t xml:space="preserve">primary-suite comparison can be read with its selection exposure in view.</w:t>
      </w:r>
    </w:p>
    <w:p>
      <w:pPr>
        <w:pStyle w:val="BodyText"/>
      </w:pPr>
      <w:r>
        <w:t xml:space="preserve">CEC2017 was the</w:t>
      </w:r>
      <w:r>
        <w:t xml:space="preserve"> </w:t>
      </w:r>
      <w:r>
        <w:rPr>
          <w:i/>
          <w:iCs/>
        </w:rPr>
        <w:t xml:space="preserve">development suite</w:t>
      </w:r>
      <w:r>
        <w:t xml:space="preserve">: the tier-resolved parameter values</w:t>
      </w:r>
      <w:r>
        <w:t xml:space="preserve"> </w:t>
      </w:r>
      <w:r>
        <w:t xml:space="preserve">were set against CEC2017 at the reported budget and run count (</w:t>
      </w:r>
      <m:oMath>
        <m:r>
          <m:t>n</m:t>
        </m:r>
        <m:r>
          <m:rPr>
            <m:sty m:val="p"/>
          </m:rPr>
          <m:t>=</m:t>
        </m:r>
        <m:r>
          <m:t>51</m:t>
        </m:r>
      </m:oMath>
      <w:r>
        <w:t xml:space="preserve">), and no</w:t>
      </w:r>
      <w:r>
        <w:t xml:space="preserve"> </w:t>
      </w:r>
      <w:r>
        <w:t xml:space="preserve">CEC2011 or CEC2013 result was consulted during configuration selection — those</w:t>
      </w:r>
      <w:r>
        <w:t xml:space="preserve"> </w:t>
      </w:r>
      <w:r>
        <w:t xml:space="preserve">two suites are held out with respect to the tuning choices. No CEC2020 or</w:t>
      </w:r>
      <w:r>
        <w:t xml:space="preserve"> </w:t>
      </w:r>
      <w:r>
        <w:t xml:space="preserve">CEC2013LSGO result existed when the configuration was frozen; the sole</w:t>
      </w:r>
      <w:r>
        <w:t xml:space="preserve"> </w:t>
      </w:r>
      <w:r>
        <w:t xml:space="preserve">later configuration change — the two CEC2013LSGO linkage-block-size</w:t>
      </w:r>
      <w:r>
        <w:t xml:space="preserve"> </w:t>
      </w:r>
      <w:r>
        <w:t xml:space="preserve">entries — is disclosed with its timing in Section S7. Before the final</w:t>
      </w:r>
      <w:r>
        <w:t xml:space="preserve"> </w:t>
      </w:r>
      <w:r>
        <w:t xml:space="preserve">configuration was promoted,</w:t>
      </w:r>
      <w:r>
        <w:t xml:space="preserve"> </w:t>
      </w:r>
      <w:r>
        <w:rPr>
          <w:b/>
          <w:bCs/>
        </w:rPr>
        <w:t xml:space="preserve">six</w:t>
      </w:r>
      <w:r>
        <w:t xml:space="preserve"> </w:t>
      </w:r>
      <w:r>
        <w:t xml:space="preserve">full-panel candidate configurations —</w:t>
      </w:r>
      <w:r>
        <w:t xml:space="preserve"> </w:t>
      </w:r>
      <w:r>
        <w:t xml:space="preserve">including the one ultimately selected — were</w:t>
      </w:r>
      <w:r>
        <w:t xml:space="preserve"> </w:t>
      </w:r>
      <w:r>
        <w:t xml:space="preserve">compared against the complete seven-algorithm family panel on CEC2017.</w:t>
      </w:r>
      <w:r>
        <w:t xml:space="preserve"> </w:t>
      </w:r>
      <w:r>
        <w:t xml:space="preserve">“Full</w:t>
      </w:r>
      <w:r>
        <w:t xml:space="preserve"> </w:t>
      </w:r>
      <w:r>
        <w:t xml:space="preserve">panel”</w:t>
      </w:r>
      <w:r>
        <w:t xml:space="preserve"> </w:t>
      </w:r>
      <w:r>
        <w:t xml:space="preserve">is the criterion that defines this count: each candidate was run against</w:t>
      </w:r>
      <w:r>
        <w:t xml:space="preserve"> </w:t>
      </w:r>
      <w:r>
        <w:t xml:space="preserve">all seven algorithms on the full function set, not through a smoke test, a</w:t>
      </w:r>
      <w:r>
        <w:t xml:space="preserve"> </w:t>
      </w:r>
      <w:r>
        <w:t xml:space="preserve">function or dimension subset, or an isolated component experiment. The count</w:t>
      </w:r>
      <w:r>
        <w:t xml:space="preserve"> </w:t>
      </w:r>
      <w:r>
        <w:t xml:space="preserve">therefore</w:t>
      </w:r>
      <w:r>
        <w:t xml:space="preserve"> </w:t>
      </w:r>
      <w:r>
        <w:rPr>
          <w:i/>
          <w:iCs/>
        </w:rPr>
        <w:t xml:space="preserve">excludes</w:t>
      </w:r>
      <w:r>
        <w:t xml:space="preserve"> </w:t>
      </w:r>
      <w:r>
        <w:t xml:space="preserve">preliminary debugging and smoke runs,</w:t>
      </w:r>
      <w:r>
        <w:t xml:space="preserve"> </w:t>
      </w:r>
      <w:r>
        <w:t xml:space="preserve">partial-function or partial-dimension pilots, single-component ablations and</w:t>
      </w:r>
      <w:r>
        <w:t xml:space="preserve"> </w:t>
      </w:r>
      <w:r>
        <w:t xml:space="preserve">sensitivity checks, failed or incomplete configurations, and all post-selection</w:t>
      </w:r>
      <w:r>
        <w:t xml:space="preserve"> </w:t>
      </w:r>
      <w:r>
        <w:t xml:space="preserve">validation, correction, and evidence-regeneration runs. This selection exposure</w:t>
      </w:r>
      <w:r>
        <w:t xml:space="preserve"> </w:t>
      </w:r>
      <w:r>
        <w:t xml:space="preserve">is disclosed as an author-attested development-history note: the</w:t>
      </w:r>
      <w:r>
        <w:t xml:space="preserve"> </w:t>
      </w:r>
      <w:r>
        <w:t xml:space="preserve">intermediate candidates predate the immutable evidence release and are not part</w:t>
      </w:r>
      <w:r>
        <w:t xml:space="preserve"> </w:t>
      </w:r>
      <w:r>
        <w:t xml:space="preserve">of it, so the figure rests on the authors’ record rather than on a released</w:t>
      </w:r>
      <w:r>
        <w:t xml:space="preserve"> </w:t>
      </w:r>
      <w:r>
        <w:t xml:space="preserve">artifact, and it is stated rather than absorbed silently. Consequently the CEC2017 headline (best overall Friedman mean rank)</w:t>
      </w:r>
      <w:r>
        <w:t xml:space="preserve"> </w:t>
      </w:r>
      <w:r>
        <w:t xml:space="preserve">is a result</w:t>
      </w:r>
      <w:r>
        <w:t xml:space="preserve"> </w:t>
      </w:r>
      <w:r>
        <w:rPr>
          <w:i/>
          <w:iCs/>
        </w:rPr>
        <w:t xml:space="preserve">on the development suite</w:t>
      </w:r>
      <w:r>
        <w:t xml:space="preserve"> </w:t>
      </w:r>
      <w:r>
        <w:t xml:space="preserve">and should be read as such: the</w:t>
      </w:r>
      <w:r>
        <w:t xml:space="preserve"> </w:t>
      </w:r>
      <w:r>
        <w:t xml:space="preserve">suites that did not inform selection place DT-GSK second on CEC2011 (a</w:t>
      </w:r>
      <w:r>
        <w:t xml:space="preserve"> </w:t>
      </w:r>
      <w:r>
        <w:t xml:space="preserve">Holm-significant loss to eGSK), third on CEC2013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but first</w:t>
      </w:r>
      <w:r>
        <w:t xml:space="preserve"> </w:t>
      </w:r>
      <w:r>
        <w:t xml:space="preserve">overall (2.80), fourth on the pre-registered CEC2020, and tied-first</w:t>
      </w:r>
      <w:r>
        <w:t xml:space="preserve"> </w:t>
      </w:r>
      <w:r>
        <w:t xml:space="preserve">descriptive on CEC2013LSGO; the non-development evidence is therefore</w:t>
      </w:r>
      <w:r>
        <w:t xml:space="preserve"> </w:t>
      </w:r>
      <w:r>
        <w:t xml:space="preserve">mixed — strongest where the tiered subsystems are active and weakest</w:t>
      </w:r>
      <w:r>
        <w:t xml:space="preserve"> </w:t>
      </w:r>
      <w:r>
        <w:t xml:space="preserve">where they are structurally off — rather than uniformly favorable or</w:t>
      </w:r>
      <w:r>
        <w:t xml:space="preserve"> </w:t>
      </w:r>
      <w:r>
        <w:t xml:space="preserve">unfavorable. This tempers —</w:t>
      </w:r>
      <w:r>
        <w:t xml:space="preserve"> </w:t>
      </w:r>
      <w:r>
        <w:t xml:space="preserve">without eliminating — the optimistic-selection concern and bounds how far the</w:t>
      </w:r>
      <w:r>
        <w:t xml:space="preserve"> </w:t>
      </w:r>
      <w:r>
        <w:t xml:space="preserve">primary-suite standing should be generalized.</w:t>
      </w:r>
    </w:p>
    <w:bookmarkEnd w:id="132"/>
    <w:bookmarkStart w:id="134" w:name="lbl_sec_repro_limitations"/>
    <w:p>
      <w:pPr>
        <w:pStyle w:val="Heading2"/>
      </w:pPr>
      <w:bookmarkStart w:id="289" w:name="ref_sec_repro_limitations"/>
      <w:r>
        <w:t xml:space="preserve">S5.4.</w:t>
      </w:r>
      <w:bookmarkEnd w:id="289"/>
      <w:r>
        <w:tab/>
      </w:r>
      <w:r>
        <w:t xml:space="preserve"> Limitations in Full</w:t>
      </w:r>
    </w:p>
    <w:p>
      <w:pPr>
        <w:pStyle w:val="FirstParagraph"/>
      </w:pPr>
      <w:r>
        <w:t xml:space="preserve">The conclusions summarize the limitations that bound this study; they are</w:t>
      </w:r>
      <w:r>
        <w:t xml:space="preserve"> </w:t>
      </w:r>
      <w:r>
        <w:t xml:space="preserve">stated here in full, with the numeric evidence for each. The wording</w:t>
      </w:r>
      <w:r>
        <w:t xml:space="preserve"> </w:t>
      </w:r>
      <w:r>
        <w:t xml:space="preserve">follows the conclusions of the submitted manuscript, so that nothing is</w:t>
      </w:r>
      <w:r>
        <w:t xml:space="preserve"> </w:t>
      </w:r>
      <w:r>
        <w:t xml:space="preserve">softened in transit.</w:t>
      </w:r>
    </w:p>
    <w:bookmarkStart w:id="133" w:name="lbl_limitations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Several limitations bound these findings. First, the mid-dimension tier</w:t>
      </w:r>
      <w:r>
        <w:t xml:space="preserve"> </w:t>
      </w:r>
      <w:r>
        <w:t xml:space="preserve">favors eGSK. At CEC2017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DT-GSK is second (2.50</w:t>
      </w:r>
      <w:r>
        <w:t xml:space="preserve"> </w:t>
      </w:r>
      <w:r>
        <w:t xml:space="preserve">vs. 2.29) with an 11–2–16 head-to-head record; on CEC2013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it is third, and eGSK also leads CEC2011. The rank deficit</w:t>
      </w:r>
      <w:r>
        <w:t xml:space="preserve"> </w:t>
      </w:r>
      <w:r>
        <w:t xml:space="preserve">is real. It is not statistically separable at this dimension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0.199</m:t>
        </m:r>
      </m:oMath>
      <w:r>
        <w:t xml:space="preserve">), which bounds how strongly either standing</w:t>
      </w:r>
      <w:r>
        <w:t xml:space="preserve"> </w:t>
      </w:r>
      <w:r>
        <w:t xml:space="preserve">should be read, in both directions.</w:t>
      </w:r>
      <w:r>
        <w:t xml:space="preserve"> </w:t>
      </w:r>
      <w:r>
        <w:t xml:space="preserve">Second, the structure memory and the polish are gated to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under the frozen configuration, so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30</m:t>
        </m:r>
      </m:oMath>
      <w:r>
        <w:t xml:space="preserve"> </w:t>
      </w:r>
      <w:r>
        <w:t xml:space="preserve">DT-GSK runs essentially</w:t>
      </w:r>
      <w:r>
        <w:t xml:space="preserve"> </w:t>
      </w:r>
      <w:r>
        <w:t xml:space="preserve">the adaptive scaffold: low-dimension behavior reflects this structural</w:t>
      </w:r>
      <w:r>
        <w:t xml:space="preserve"> </w:t>
      </w:r>
      <w:r>
        <w:t xml:space="preserve">gating rather than the tier-gated mechanisms, the memory itself depends</w:t>
      </w:r>
      <w:r>
        <w:t xml:space="preserve"> </w:t>
      </w:r>
      <w:r>
        <w:t xml:space="preserve">on accepted moves — a stalled run feeds it no signal — and the</w:t>
      </w:r>
      <w:r>
        <w:t xml:space="preserve"> </w:t>
      </w:r>
      <w:r>
        <w:t xml:space="preserve">polish fires at most once, with whatever basis has been</w:t>
      </w:r>
      <w:r>
        <w:t xml:space="preserve"> </w:t>
      </w:r>
      <w:r>
        <w:t xml:space="preserve">learned.</w:t>
      </w:r>
      <w:r>
        <w:t xml:space="preserve"> </w:t>
      </w:r>
      <w:r>
        <w:t xml:space="preserve">Third, every comparative finding is panel-relative by design: the study</w:t>
      </w:r>
      <w:r>
        <w:t xml:space="preserve"> </w:t>
      </w:r>
      <w:r>
        <w:t xml:space="preserve">establishes standings within the seven-algorithm GSK family on the five</w:t>
      </w:r>
      <w:r>
        <w:t xml:space="preserve"> </w:t>
      </w:r>
      <w:r>
        <w:t xml:space="preserve">suites at the stated budgets. The cost is external calibration — no</w:t>
      </w:r>
      <w:r>
        <w:t xml:space="preserve"> </w:t>
      </w:r>
      <w:r>
        <w:t xml:space="preserve">claim is made relative to other metaheuristic families or to CEC</w:t>
      </w:r>
      <w:r>
        <w:t xml:space="preserve"> </w:t>
      </w:r>
      <w:r>
        <w:t xml:space="preserve">competition winners, and none can be read from these results. What the</w:t>
      </w:r>
      <w:r>
        <w:t xml:space="preserve"> </w:t>
      </w:r>
      <w:r>
        <w:t xml:space="preserve">scope does buy is attribution: one code base, one protocol and one</w:t>
      </w:r>
      <w:r>
        <w:t xml:space="preserve"> </w:t>
      </w:r>
      <w:r>
        <w:t xml:space="preserve">harness, so within-panel deltas reflect algorithmic differences up to the</w:t>
      </w:r>
      <w:r>
        <w:t xml:space="preserve"> </w:t>
      </w:r>
      <w:r>
        <w:t xml:space="preserve">port and initialization asymmetries disclosed below.</w:t>
      </w:r>
      <w:r>
        <w:t xml:space="preserve"> </w:t>
      </w:r>
      <w:r>
        <w:t xml:space="preserve">Fourth, the eGSK panel cells derive from a port whose SLSQP polish</w:t>
      </w:r>
      <w:r>
        <w:t xml:space="preserve"> </w:t>
      </w:r>
      <w:r>
        <w:t xml:space="preserve">substitutes the reference implementation’s fmincon-based solver. Cross-implementation</w:t>
      </w:r>
      <w:r>
        <w:t xml:space="preserve"> </w:t>
      </w:r>
      <w:r>
        <w:t xml:space="preserve">runtime and environment comparability is therefore limited, and no</w:t>
      </w:r>
      <w:r>
        <w:t xml:space="preserve"> </w:t>
      </w:r>
      <w:r>
        <w:t xml:space="preserve">runtime-superiority claim is made anywhere in this paper. The main-text runtime table reports</w:t>
      </w:r>
      <w:r>
        <w:t xml:space="preserve"> </w:t>
      </w:r>
      <w:r>
        <w:t xml:space="preserve">DT-GSK’s own per-run cost only — comparator timings came from a separate</w:t>
      </w:r>
      <w:r>
        <w:t xml:space="preserve"> </w:t>
      </w:r>
      <w:r>
        <w:t xml:space="preserve">measurement session, so no cross-algorithm runtime comparison is drawn. These costs were</w:t>
      </w:r>
      <w:r>
        <w:t xml:space="preserve"> </w:t>
      </w:r>
      <w:r>
        <w:t xml:space="preserve">measured with the interaction graph’s compiled kernels active: an</w:t>
      </w:r>
      <w:r>
        <w:t xml:space="preserve"> </w:t>
      </w:r>
      <w:r>
        <w:t xml:space="preserve">earlier release had silently executed the bit-for-bit-equivalent</w:t>
      </w:r>
      <w:r>
        <w:t xml:space="preserve"> </w:t>
      </w:r>
      <w:r>
        <w:rPr>
          <w:smallCaps/>
        </w:rPr>
        <w:t xml:space="preserve">NumPy</w:t>
      </w:r>
      <w:r>
        <w:t xml:space="preserve"> </w:t>
      </w:r>
      <w:r>
        <w:t xml:space="preserve">reference path, inflating wall-clock only, and the</w:t>
      </w:r>
      <w:r>
        <w:t xml:space="preserve"> </w:t>
      </w:r>
      <w:r>
        <w:t xml:space="preserve">affected timings were re-measured in the 51-run regeneration</w:t>
      </w:r>
      <w:r>
        <w:t xml:space="preserve"> </w:t>
      </w:r>
      <w:r>
        <w:t xml:space="preserve">(Supplementary Material, Section S6.7).</w:t>
      </w:r>
      <w:r>
        <w:t xml:space="preserve"> </w:t>
      </w:r>
      <w:r>
        <w:t xml:space="preserve">Fifth, each suite’s evidence stops at its own tested dimensions: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100</m:t>
        </m:r>
      </m:oMath>
      <w:r>
        <w:t xml:space="preserve"> </w:t>
      </w:r>
      <w:r>
        <w:t xml:space="preserve">on CEC2017,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50</m:t>
        </m:r>
      </m:oMath>
      <w:r>
        <w:t xml:space="preserve"> </w:t>
      </w:r>
      <w:r>
        <w:t xml:space="preserve">on CEC2013, native dimensions on CEC2011,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on CEC2020, 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(family-internal, post-hoc, 25 runs</w:t>
      </w:r>
      <w:r>
        <w:t xml:space="preserve"> </w:t>
      </w:r>
      <w:r>
        <w:t xml:space="preserve">per cell) on CEC2013LSGO. The component-isolation evidence stops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100</m:t>
        </m:r>
      </m:oMath>
      <w:r>
        <w:t xml:space="preserve">: no component contrast was run at the CEC2013LSGO scale, so</w:t>
      </w:r>
      <w:r>
        <w:t xml:space="preserve"> </w:t>
      </w:r>
      <w:r>
        <w:t xml:space="preserve">the large-scale standing attributes nothing to the memory or the polish</w:t>
      </w:r>
      <w:r>
        <w:t xml:space="preserve"> </w:t>
      </w:r>
      <w:r>
        <w:t xml:space="preserve">in either direction.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no member of the family, DT-GSK</w:t>
      </w:r>
      <w:r>
        <w:t xml:space="preserve"> </w:t>
      </w:r>
      <w:r>
        <w:t xml:space="preserve">included, approaches the performance that dedicated large-scale</w:t>
      </w:r>
      <w:r>
        <w:t xml:space="preserve"> </w:t>
      </w:r>
      <w:r>
        <w:t xml:space="preserve">specialists report in the literature; the family’s evidence of</w:t>
      </w:r>
      <w:r>
        <w:t xml:space="preserve"> </w:t>
      </w:r>
      <w:r>
        <w:t xml:space="preserve">competitiveness therefore ends at the dimensionalities of the</w:t>
      </w:r>
      <w:r>
        <w:t xml:space="preserve"> </w:t>
      </w:r>
      <w:r>
        <w:t xml:space="preserve">bound-constrained suites.</w:t>
      </w:r>
      <w:r>
        <w:t xml:space="preserve"> </w:t>
      </w:r>
      <w:r>
        <w:t xml:space="preserve">Sixth, the study runs on a single host and environment: no</w:t>
      </w:r>
      <w:r>
        <w:t xml:space="preserve"> </w:t>
      </w:r>
      <w:r>
        <w:t xml:space="preserve">independently verified second-environment cell exists, the run-time</w:t>
      </w:r>
      <w:r>
        <w:t xml:space="preserve"> </w:t>
      </w:r>
      <w:r>
        <w:t xml:space="preserve">NumPy/SciPy versions behind eGSK’s SciPy-SLSQP polish are not</w:t>
      </w:r>
      <w:r>
        <w:t xml:space="preserve"> </w:t>
      </w:r>
      <w:r>
        <w:t xml:space="preserve">captured in the evidence release (only the analysis bundle’s own</w:t>
      </w:r>
      <w:r>
        <w:t xml:space="preserve"> </w:t>
      </w:r>
      <w:r>
        <w:t xml:space="preserve">environment is), and byte-identical reproduction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requires</w:t>
      </w:r>
      <w:r>
        <w:t xml:space="preserve"> </w:t>
      </w:r>
      <w:r>
        <w:t xml:space="preserve">single-threaded numerical kernels, which caps parallel speed-up at the</w:t>
      </w:r>
      <w:r>
        <w:t xml:space="preserve"> </w:t>
      </w:r>
      <w:r>
        <w:t xml:space="preserve">high-</w:t>
      </w:r>
      <m:oMath>
        <m:r>
          <m:t>D</m:t>
        </m:r>
      </m:oMath>
      <w:r>
        <w:t xml:space="preserve"> </w:t>
      </w:r>
      <w:r>
        <w:t xml:space="preserve">tiers where DT-GSK’s per-run cost is largest.</w:t>
      </w:r>
    </w:p>
    <w:p>
      <w:pPr>
        <w:pStyle w:val="BodyText"/>
      </w:pPr>
      <w:r>
        <w:t xml:space="preserve">Seventh, the comparison is entirely within the GSK family. As</w:t>
      </w:r>
      <w:r>
        <w:t xml:space="preserve"> </w:t>
      </w:r>
      <w:r>
        <w:t xml:space="preserve">disclosed in the Conflicts of Interest, five of its six comparators were</w:t>
      </w:r>
      <w:r>
        <w:t xml:space="preserve"> </w:t>
      </w:r>
      <w:r>
        <w:t xml:space="preserve">authored or co-authored by two of the present authors. No external, non-GSK</w:t>
      </w:r>
      <w:r>
        <w:t xml:space="preserve"> </w:t>
      </w:r>
      <w:r>
        <w:t xml:space="preserve">baseline — an L-SHADE-class or CMA-ES method, or a structure-learning</w:t>
      </w:r>
      <w:r>
        <w:t xml:space="preserve"> </w:t>
      </w:r>
      <w:r>
        <w:t xml:space="preserve">method such as differential grouping — is evaluated to calibrate the</w:t>
      </w:r>
      <w:r>
        <w:t xml:space="preserve"> </w:t>
      </w:r>
      <w:r>
        <w:t xml:space="preserve">family against the broader state of the art, so the standings are</w:t>
      </w:r>
      <w:r>
        <w:t xml:space="preserve"> </w:t>
      </w:r>
      <w:r>
        <w:t xml:space="preserve">interpretable only within this panel and not as a placement in the</w:t>
      </w:r>
      <w:r>
        <w:t xml:space="preserve"> </w:t>
      </w:r>
      <w:r>
        <w:t xml:space="preserve">wider field. Relatedly, DT-GSK’s self-initialization (the documented</w:t>
      </w:r>
      <w:r>
        <w:t xml:space="preserve"> </w:t>
      </w:r>
      <w:r>
        <w:t xml:space="preserve">shared-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exception) means that no DT-GSK cell begins from the</w:t>
      </w:r>
      <w:r>
        <w:t xml:space="preserve"> </w:t>
      </w:r>
      <w:r>
        <w:t xml:space="preserve">shared initial population — the self-init applies at every dimension</w:t>
      </w:r>
      <w:r>
        <w:t xml:space="preserve"> </w:t>
      </w:r>
      <w:r>
        <w:t xml:space="preserve">— a disclosed fairness asymmetry that is not separately bounded and is</w:t>
      </w:r>
      <w:r>
        <w:t xml:space="preserve"> </w:t>
      </w:r>
      <w:r>
        <w:t xml:space="preserve">most consequential at low dimension, where DT-GSK runs essentially the</w:t>
      </w:r>
      <w:r>
        <w:t xml:space="preserve"> </w:t>
      </w:r>
      <w:r>
        <w:t xml:space="preserve">scaffold.</w:t>
      </w:r>
    </w:p>
    <w:p>
      <w:pPr>
        <w:pStyle w:val="BodyText"/>
      </w:pPr>
      <w:r>
        <w:t xml:space="preserve">Eighth, three attribution gaps bound what the component evidence can say.</w:t>
      </w:r>
      <w:r>
        <w:t xml:space="preserve"> </w:t>
      </w:r>
      <w:r>
        <w:t xml:space="preserve">The corroborative weight rests on the two suites held out from</w:t>
      </w:r>
      <w:r>
        <w:t xml:space="preserve"> </w:t>
      </w:r>
      <w:r>
        <w:t xml:space="preserve">configuration selection, CEC2011 and CEC2013: CEC2017 is</w:t>
      </w:r>
      <w:r>
        <w:t xml:space="preserve"> </w:t>
      </w:r>
      <w:r>
        <w:rPr>
          <w:i/>
          <w:iCs/>
        </w:rPr>
        <w:t xml:space="preserve">development-exposed</w:t>
      </w:r>
      <w:r>
        <w:t xml:space="preserve"> </w:t>
      </w:r>
      <w:r>
        <w:t xml:space="preserve">— it</w:t>
      </w:r>
      <w:r>
        <w:t xml:space="preserve"> </w:t>
      </w:r>
      <w:r>
        <w:t xml:space="preserve">informed the frozen configuration and is also the source of the headline</w:t>
      </w:r>
      <w:r>
        <w:t xml:space="preserve"> </w:t>
      </w:r>
      <w:r>
        <w:t xml:space="preserve">rank — so its standing is a performance estimate on a tuned-against</w:t>
      </w:r>
      <w:r>
        <w:t xml:space="preserve"> </w:t>
      </w:r>
      <w:r>
        <w:t xml:space="preserve">suite rather than an untouched confirmatory one. The</w:t>
      </w:r>
      <w:r>
        <w:t xml:space="preserve"> </w:t>
      </w:r>
      <w:r>
        <w:t xml:space="preserve">final-polish isolation removes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deterministic compass</w:t>
      </w:r>
      <w:r>
        <w:t xml:space="preserve"> </w:t>
      </w:r>
      <w:r>
        <w:t xml:space="preserve">endgame, so any effect it measures attaches to that phase as a whole, not to the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eigenbasis it consumes. That question is now answered for the</w:t>
      </w:r>
      <w:r>
        <w:t xml:space="preserve"> </w:t>
      </w:r>
      <w:r>
        <w:t xml:space="preserve">coordinate comparison: Section </w:t>
      </w:r>
      <w:r>
        <w:fldChar w:fldCharType="begin"/>
      </w:r>
      <w:r>
        <w:instrText xml:space="preserve"> REF ref_sec_supp_rev_basis \h </w:instrText>
      </w:r>
      <w:r>
        <w:fldChar w:fldCharType="separate"/>
      </w:r>
      <w:r>
        <w:t xml:space="preserve">S9.1</w:t>
      </w:r>
      <w:r>
        <w:fldChar w:fldCharType="end"/>
      </w:r>
      <w:r>
        <w:t xml:space="preserve"> isolates the three arms</w:t>
      </w:r>
      <w:r>
        <w:t xml:space="preserve"> </w:t>
      </w:r>
      <w:r>
        <w:t xml:space="preserve">directly and finds the plain coordinate axes</w:t>
      </w:r>
      <w:r>
        <w:t xml:space="preserve"> </w:t>
      </w:r>
      <w:r>
        <w:rPr>
          <w:i/>
          <w:iCs/>
        </w:rPr>
        <w:t xml:space="preserve">outperform</w:t>
      </w:r>
      <w:r>
        <w:t xml:space="preserve"> </w:t>
      </w:r>
      <w:r>
        <w:t xml:space="preserve">the learned</w:t>
      </w:r>
      <w:r>
        <w:t xml:space="preserve"> </w:t>
      </w:r>
      <w:r>
        <w:t xml:space="preserve">eigenframe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. A matched random orthonormal basis was not tested and</w:t>
      </w:r>
      <w:r>
        <w:t xml:space="preserve"> </w:t>
      </w:r>
      <w:r>
        <w:t xml:space="preserve">remains open. And the evidence-bearing runs carry no</w:t>
      </w:r>
      <w:r>
        <w:t xml:space="preserve"> </w:t>
      </w:r>
      <w:r>
        <w:t xml:space="preserve">component-level evaluation ledger or memory-activation trace, so we cannot</w:t>
      </w:r>
      <w:r>
        <w:t xml:space="preserve"> </w:t>
      </w:r>
      <w:r>
        <w:t xml:space="preserve">report how many evaluations each modifier consumed, nor how often the</w:t>
      </w:r>
      <w:r>
        <w:t xml:space="preserve"> </w:t>
      </w:r>
      <w:r>
        <w:t xml:space="preserve">learned structure was actually exposed to its consumers; the standalone</w:t>
      </w:r>
      <w:r>
        <w:t xml:space="preserve"> </w:t>
      </w:r>
      <w:r>
        <w:t xml:space="preserve">null is therefore</w:t>
      </w:r>
      <w:r>
        <w:t xml:space="preserve"> </w:t>
      </w:r>
      <w:r>
        <w:t xml:space="preserve">“no detectable benefit under this design”</w:t>
      </w:r>
      <w:r>
        <w:t xml:space="preserve"> </w:t>
      </w:r>
      <w:r>
        <w:t xml:space="preserve">and not a</w:t>
      </w:r>
      <w:r>
        <w:t xml:space="preserve"> </w:t>
      </w:r>
      <w:r>
        <w:t xml:space="preserve">demonstration that the memory was active and neutral.</w:t>
      </w:r>
    </w:p>
    <w:p>
      <w:pPr>
        <w:pStyle w:val="BodyText"/>
      </w:pPr>
      <w:r>
        <w:t xml:space="preserve">Ninth, the parameter-sensitivity evidence is exploratory and narrow. The</w:t>
      </w:r>
      <w:r>
        <w:t xml:space="preserve"> </w:t>
      </w:r>
      <w:r>
        <w:t xml:space="preserve">sweep of Section </w:t>
      </w:r>
      <w:r>
        <w:fldChar w:fldCharType="begin"/>
      </w:r>
      <w:r>
        <w:instrText xml:space="preserve"> REF ref_sec_supp_rev_sensitivity \h </w:instrText>
      </w:r>
      <w:r>
        <w:fldChar w:fldCharType="separate"/>
      </w:r>
      <w:r>
        <w:t xml:space="preserve">S9.4</w:t>
      </w:r>
      <w:r>
        <w:fldChar w:fldCharType="end"/>
      </w:r>
      <w:r>
        <w:t xml:space="preserve"> covers seven constants at two</w:t>
      </w:r>
      <w:r>
        <w:t xml:space="preserve"> </w:t>
      </w:r>
      <w:r>
        <w:t xml:space="preserve">levels,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only, with 15 repetitions per cell against the</w:t>
      </w:r>
      <w:r>
        <w:t xml:space="preserve"> </w:t>
      </w:r>
      <w:r>
        <w:t xml:space="preserve">frozen panel’s 51, and it leaves the dimension-tier boundaries</w:t>
      </w:r>
      <w:r>
        <w:t xml:space="preserve"> </w:t>
      </w:r>
      <w:r>
        <w:t xml:space="preserve">themselves unvaried, so their sensitivity is untested. Neither ARGP nor the deep-stall</w:t>
      </w:r>
      <w:r>
        <w:t xml:space="preserve"> </w:t>
      </w:r>
      <w:r>
        <w:t xml:space="preserve">restart is isolated by the remove-one study, which excludes both by</w:t>
      </w:r>
      <w:r>
        <w:t xml:space="preserve"> </w:t>
      </w:r>
      <w:r>
        <w:t xml:space="preserve">pre-specification (Section S6.2).</w:t>
      </w:r>
    </w:p>
    <w:p>
      <w:pPr>
        <w:pStyle w:val="BodyText"/>
      </w:pPr>
      <w:r>
        <w:t xml:space="preserve">Beyond these, the statistical scope is itself bounded: inference rests</w:t>
      </w:r>
      <w:r>
        <w:t xml:space="preserve"> </w:t>
      </w:r>
      <w:r>
        <w:t xml:space="preserve">on 29-function and 22-problem blocks under rank-based tests; run-level</w:t>
      </w:r>
      <w:r>
        <w:t xml:space="preserve"> </w:t>
      </w:r>
      <w:r>
        <w:t xml:space="preserve">records against APGSK on CEC2017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50</m:t>
        </m:r>
      </m:oMath>
      <w:r>
        <w:t xml:space="preserve"> </w:t>
      </w:r>
      <w:r>
        <w:t xml:space="preserve">were unavailable at</w:t>
      </w:r>
      <w:r>
        <w:t xml:space="preserve"> </w:t>
      </w:r>
      <w:r>
        <w:t xml:space="preserve">analysis freeze (recovered post-freeze), leaving</w:t>
      </w:r>
      <w:r>
        <w:t xml:space="preserve"> </w:t>
      </w:r>
      <w:r>
        <w:t xml:space="preserve">function-level tests as the frozen basis there; and the single frozen</w:t>
      </w:r>
      <w:r>
        <w:t xml:space="preserve"> </w:t>
      </w:r>
      <w:r>
        <w:t xml:space="preserve">configuration was applied with no</w:t>
      </w:r>
      <w:r>
        <w:t xml:space="preserve"> </w:t>
      </w:r>
      <w:r>
        <w:t xml:space="preserve">per-suite tuning, whose protocol disclosure is in the Supplementary</w:t>
      </w:r>
      <w:r>
        <w:t xml:space="preserve"> </w:t>
      </w:r>
      <w:r>
        <w:t xml:space="preserve">Materials.</w:t>
      </w:r>
    </w:p>
    <w:bookmarkEnd w:id="133"/>
    <w:bookmarkEnd w:id="134"/>
    <w:bookmarkStart w:id="135" w:name="lbl_sec_repro_tieband"/>
    <w:p>
      <w:pPr>
        <w:pStyle w:val="Heading2"/>
      </w:pPr>
      <w:bookmarkStart w:id="290" w:name="ref_sec_repro_tieband"/>
      <w:r>
        <w:t xml:space="preserve">S5.5.</w:t>
      </w:r>
      <w:bookmarkEnd w:id="290"/>
      <w:r>
        <w:tab/>
      </w:r>
      <w:r>
        <w:t xml:space="preserve"> Sensitivity of the Win/Tie/Loss Tally to the Tie Band</w:t>
      </w:r>
    </w:p>
    <w:p>
      <w:pPr>
        <w:pStyle w:val="FirstParagraph"/>
      </w:pPr>
      <w:r>
        <w:t xml:space="preserve">The reported win/tie/loss counts use a fixed absolute tie band,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applied uniformly to every function. That band is</w:t>
      </w:r>
      <w:r>
        <w:t xml:space="preserve"> </w:t>
      </w:r>
      <w:r>
        <w:t xml:space="preserve">deliberately conservative, but it is not scale-free: on functions whose error</w:t>
      </w:r>
      <w:r>
        <w:t xml:space="preserve"> </w:t>
      </w:r>
      <w:r>
        <w:t xml:space="preserve">scale is of order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it admits no ties at all, while on functions solved to</w:t>
      </w:r>
      <w:r>
        <w:t xml:space="preserve"> </w:t>
      </w:r>
      <w:r>
        <w:t xml:space="preserve">the reporting floor it absorbs every difference. It is therefore worth asking</w:t>
      </w:r>
      <w:r>
        <w:t xml:space="preserve"> </w:t>
      </w:r>
      <w:r>
        <w:t xml:space="preserve">whether the tally is an artifact of that choice.</w:t>
      </w:r>
    </w:p>
    <w:p>
      <w:pPr>
        <w:pStyle w:val="BodyText"/>
      </w:pPr>
      <w:r>
        <w:t xml:space="preserve">Recomputing the CEC2017 counts from the same frozen per-function means under a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band — a tie when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ρ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, retaining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floor — leaves the</w:t>
      </w:r>
      <w:r>
        <w:t xml:space="preserve"> </w:t>
      </w:r>
      <w:r>
        <w:t xml:space="preserve">direction of every panel cell unchanged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except one, and changes</w:t>
      </w:r>
      <w:r>
        <w:t xml:space="preserve"> </w:t>
      </w:r>
      <w:r>
        <w:t xml:space="preserve">two cells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. Both are eGSK cells at the upper tiers: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the 13–0–16 record becomes 12–7–10, and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the 12–0–17</w:t>
      </w:r>
      <w:r>
        <w:t xml:space="preserve"> </w:t>
      </w:r>
      <w:r>
        <w:t xml:space="preserve">record becomes 12–5–12. No other comparator changes direction at either</w:t>
      </w:r>
      <w:r>
        <w:t xml:space="preserve"> </w:t>
      </w:r>
      <w:r>
        <w:t xml:space="preserve">threshold.</w:t>
      </w:r>
    </w:p>
    <w:p>
      <w:pPr>
        <w:pStyle w:val="BodyText"/>
      </w:pPr>
      <w:r>
        <w:t xml:space="preserve">This is consistent with, rather than contrary to, the result reported in the main</w:t>
      </w:r>
      <w:r>
        <w:t xml:space="preserve"> </w:t>
      </w:r>
      <w:r>
        <w:t xml:space="preserve">text. Those are precisely the two cells whose Holm-corrected tests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significant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0.795</m:t>
        </m:r>
      </m:oMath>
      <w:r>
        <w:t xml:space="preserve">), and where the paper already</w:t>
      </w:r>
      <w:r>
        <w:t xml:space="preserve"> </w:t>
      </w:r>
      <w:r>
        <w:t xml:space="preserve">states that DT-GSK and eGSK are not separable. The sensitivity shows that</w:t>
      </w:r>
      <w:r>
        <w:t xml:space="preserve"> </w:t>
      </w:r>
      <w:r>
        <w:t xml:space="preserve">the apparent margin in those cells depends on how a tie is defined, which is an</w:t>
      </w:r>
      <w:r>
        <w:t xml:space="preserve"> </w:t>
      </w:r>
      <w:r>
        <w:t xml:space="preserve">argument for reading them as ties in both directions — not as evidence for</w:t>
      </w:r>
      <w:r>
        <w:t xml:space="preserve"> </w:t>
      </w:r>
      <w:r>
        <w:t xml:space="preserve">DT-GSK. Every Holm decision, every Friedman rank, and every reported</w:t>
      </w:r>
      <w:r>
        <w:t xml:space="preserve"> </w:t>
      </w:r>
      <w:r>
        <w:t xml:space="preserve">significance is computed from the tests themselves and is unaffected by the tie</w:t>
      </w:r>
      <w:r>
        <w:t xml:space="preserve"> </w:t>
      </w:r>
      <w:r>
        <w:t xml:space="preserve">band, which enters only the descriptive counts.</w:t>
      </w:r>
    </w:p>
    <w:bookmarkEnd w:id="135"/>
    <w:bookmarkStart w:id="137" w:name="lbl_sec_repro_aliases"/>
    <w:p>
      <w:pPr>
        <w:pStyle w:val="Heading2"/>
      </w:pPr>
      <w:bookmarkStart w:id="291" w:name="ref_sec_repro_aliases"/>
      <w:r>
        <w:t xml:space="preserve">S5.6.</w:t>
      </w:r>
      <w:bookmarkEnd w:id="291"/>
      <w:r>
        <w:tab/>
      </w:r>
      <w:r>
        <w:t xml:space="preserve"> Legacy Identifiers</w:t>
      </w:r>
    </w:p>
    <w:p>
      <w:pPr>
        <w:pStyle w:val="FirstParagraph"/>
      </w:pPr>
      <w:r>
        <w:t xml:space="preserve">The method and its structure-memory subsystem were renamed during development,</w:t>
      </w:r>
      <w:r>
        <w:t xml:space="preserve"> </w:t>
      </w:r>
      <w:r>
        <w:t xml:space="preserve">and the released artifacts retain the earlier identifiers wherever a hash or a</w:t>
      </w:r>
      <w:r>
        <w:t xml:space="preserve"> </w:t>
      </w:r>
      <w:r>
        <w:t xml:space="preserve">directory name would otherwise change. Table </w:t>
      </w:r>
      <w:r>
        <w:fldChar w:fldCharType="begin"/>
      </w:r>
      <w:r>
        <w:instrText xml:space="preserve"> REF ref_tab_aliases \h </w:instrText>
      </w:r>
      <w:r>
        <w:fldChar w:fldCharType="separate"/>
      </w:r>
      <w:r>
        <w:t xml:space="preserve">A20</w:t>
      </w:r>
      <w:r>
        <w:fldChar w:fldCharType="end"/>
      </w:r>
      <w:r>
        <w:t xml:space="preserve"> maps each current</w:t>
      </w:r>
      <w:r>
        <w:t xml:space="preserve"> </w:t>
      </w:r>
      <w:r>
        <w:t xml:space="preserve">name to the legacy one, so a reader working directly with the evidence release</w:t>
      </w:r>
      <w:r>
        <w:t xml:space="preserve"> </w:t>
      </w:r>
      <w:r>
        <w:t xml:space="preserve">can resolve a name that no longer appears in this paper. Only the identifiers</w:t>
      </w:r>
      <w:r>
        <w:t xml:space="preserve"> </w:t>
      </w:r>
      <w:r>
        <w:t xml:space="preserve">changed; no algorithm, configuration value, or result is affected.</w:t>
      </w:r>
    </w:p>
    <w:bookmarkStart w:id="136" w:name="lbl_tab_aliase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292" w:name="ref_tab_aliases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20</w:t>
      </w:r>
      <w:r>
        <w:fldChar w:fldCharType="end"/>
      </w:r>
      <w:bookmarkEnd w:id="292"/>
      <w:r>
        <w:rPr>
          <w:b/>
        </w:rPr>
        <w:t xml:space="preserve">. </w:t>
      </w:r>
      <w:r>
        <w:t xml:space="preserve"> Current names and the legacy identifiers retained in released</w:t>
      </w:r>
      <w:r>
        <w:t xml:space="preserve"> </w:t>
      </w:r>
      <w:r>
        <w:t xml:space="preserve">artifacts.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urrent names and the legacy identifiers retained in released artifacts.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Where the legacy form persists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overlay-study cell IDs; some analysis column names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no_sgsm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ablation cell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ISM-off cell in the overlay</w:t>
            </w:r>
            <w:r>
              <w:t xml:space="preserve"> </w:t>
            </w:r>
            <w:r>
              <w:t xml:space="preserve">study; its ID embeds the legacy sgsm subsystem name, so it has no</w:t>
            </w:r>
            <w:r>
              <w:t xml:space="preserve"> </w:t>
            </w:r>
            <w:r>
              <w:t xml:space="preserve">separate legacy form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_dt_core.py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_ism_core.py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hashes recorded in the</w:t>
            </w:r>
            <w:r>
              <w:t xml:space="preserve"> </w:t>
            </w:r>
            <w:r>
              <w:t xml:space="preserve">algorithm freeze manifest</w:t>
            </w:r>
          </w:p>
        </w:tc>
      </w:tr>
    </w:tbl>
    <w:bookmarkEnd w:id="136"/>
    <w:bookmarkEnd w:id="137"/>
    <w:bookmarkStart w:id="139" w:name="lbl_sec_repro_acronyms"/>
    <w:p>
      <w:pPr>
        <w:pStyle w:val="Heading2"/>
      </w:pPr>
      <w:bookmarkStart w:id="293" w:name="ref_sec_repro_acronyms"/>
      <w:r>
        <w:t xml:space="preserve">S5.7.</w:t>
      </w:r>
      <w:bookmarkEnd w:id="293"/>
      <w:r>
        <w:tab/>
      </w:r>
      <w:r>
        <w:t xml:space="preserve"> Acronyms</w:t>
      </w:r>
    </w:p>
    <w:p>
      <w:pPr>
        <w:pStyle w:val="FirstParagraph"/>
      </w:pPr>
      <w:r>
        <w:t xml:space="preserve">The main-text notation table defines every mathematical symbol. This list covers</w:t>
      </w:r>
      <w:r>
        <w:t xml:space="preserve"> </w:t>
      </w:r>
      <w:r>
        <w:t xml:space="preserve">the acronyms that appear in prose but carry no symbol, so a reader meeting one</w:t>
      </w:r>
      <w:r>
        <w:t xml:space="preserve"> </w:t>
      </w:r>
      <w:r>
        <w:t xml:space="preserve">out of order does not have to search for its first use.</w:t>
      </w:r>
    </w:p>
    <w:bookmarkStart w:id="138" w:name="lbl_tab_acronym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294" w:name="ref_tab_acronyms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21</w:t>
      </w:r>
      <w:r>
        <w:fldChar w:fldCharType="end"/>
      </w:r>
      <w:bookmarkEnd w:id="294"/>
      <w:r>
        <w:rPr>
          <w:b/>
        </w:rPr>
        <w:t xml:space="preserve">. </w:t>
      </w:r>
      <w:r>
        <w:t xml:space="preserve"> Acronyms used in the text that are not mathematical symbols.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cronyms used in the text that are not mathematical symbols.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Expansion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Configuration Engine (operator-configuration selector)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Acceptance-Rate Gated Pruning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Budget-Safe Escape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Difference (Nemenyi post-hoc)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CMA-ES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Covariance Matrix Adaptation Evolution Strategy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Evolution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EWMA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Exponentially Weighted Moving Average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Gaining–Sharing Knowledge (the base algorithm)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Interaction-Structure Memory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JADE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DE with optional external archive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MaxFES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number of function evaluations (the budget)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NLPSR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Nonlinear Population-Size Reduction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SHADE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Success-History based Adaptive 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SLSQP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Least-Squares Programming (SciPy routine)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W/T/L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Win/Tie/Loss (tie: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)</w:t>
            </w:r>
          </w:p>
        </w:tc>
      </w:tr>
    </w:tbl>
    <w:bookmarkEnd w:id="138"/>
    <w:bookmarkEnd w:id="139"/>
    <w:bookmarkStart w:id="141" w:name="lbl_sec_repro_params_detail"/>
    <w:p>
      <w:pPr>
        <w:pStyle w:val="Heading2"/>
      </w:pPr>
      <w:bookmarkStart w:id="295" w:name="ref_sec_repro_params_detail"/>
      <w:r>
        <w:t xml:space="preserve">S5.8.</w:t>
      </w:r>
      <w:bookmarkEnd w:id="295"/>
      <w:r>
        <w:tab/>
      </w:r>
      <w:r>
        <w:t xml:space="preserve"> Frozen Parameters: Per-Subsystem Detail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ref_tab_parameters_detail \h </w:instrText>
      </w:r>
      <w:r>
        <w:fldChar w:fldCharType="separate"/>
      </w:r>
      <w:r>
        <w:t xml:space="preserve">A22</w:t>
      </w:r>
      <w:r>
        <w:fldChar w:fldCharType="end"/>
      </w:r>
      <w:r>
        <w:t xml:space="preserve"> completes the main-text</w:t>
      </w:r>
      <w:r>
        <w:t xml:space="preserve"> </w:t>
      </w:r>
      <w:r>
        <w:t xml:space="preserve">frozen-parameter table. The main text carries the run-level settings, the</w:t>
      </w:r>
      <w:r>
        <w:t xml:space="preserve"> </w:t>
      </w:r>
      <w:r>
        <w:t xml:space="preserve">core GSK operator and the population schedule; the per-subsystem constants are</w:t>
      </w:r>
      <w:r>
        <w:t xml:space="preserve"> </w:t>
      </w:r>
      <w:r>
        <w:t xml:space="preserve">collected here, where they can be set at full size rather than compressed to fit</w:t>
      </w:r>
      <w:r>
        <w:t xml:space="preserve"> </w:t>
      </w:r>
      <w:r>
        <w:t xml:space="preserve">a text block. Both halves derive from the same hash-frozen configuration and no</w:t>
      </w:r>
      <w:r>
        <w:t xml:space="preserve"> </w:t>
      </w:r>
      <w:r>
        <w:t xml:space="preserve">value is omitted.</w:t>
      </w:r>
    </w:p>
    <w:bookmarkStart w:id="140" w:name="lbl_tab_parameters_detail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296" w:name="ref_tab_parameters_detail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22</w:t>
      </w:r>
      <w:r>
        <w:fldChar w:fldCharType="end"/>
      </w:r>
      <w:bookmarkEnd w:id="296"/>
      <w:r>
        <w:rPr>
          <w:b/>
        </w:rPr>
        <w:t xml:space="preserve">. </w:t>
      </w:r>
      <w:r>
        <w:t xml:space="preserve"> Frozen run parameters of the shipped configuration (per-subsystem</w:t>
      </w:r>
      <w:r>
        <w:t xml:space="preserve"> </w:t>
      </w:r>
      <w:r>
        <w:t xml:space="preserve">detail). Companion to the main-text frozen-parameter table, which carries the</w:t>
      </w:r>
      <w:r>
        <w:t xml:space="preserve"> </w:t>
      </w:r>
      <w:r>
        <w:t xml:space="preserve">run-level and core-operator settings. Where a value varies by dimension tier the</w:t>
      </w:r>
      <w:r>
        <w:t xml:space="preserve"> </w:t>
      </w:r>
      <w:r>
        <w:t xml:space="preserve">four tiers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20</m:t>
        </m:r>
      </m:oMath>
      <w:r>
        <w:t xml:space="preserve">–</w:t>
      </w:r>
      <m:oMath>
        <m:r>
          <m:t>49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50</m:t>
        </m:r>
      </m:oMath>
      <w:r>
        <w:t xml:space="preserve">–</w:t>
      </w:r>
      <m:oMath>
        <m:r>
          <m:t>99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are shown. No</w:t>
      </w:r>
      <w:r>
        <w:t xml:space="preserve"> </w:t>
      </w:r>
      <w:r>
        <w:t xml:space="preserve">per-suite or per-run tuning is performed: every value is resolved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alone. Hash-frozen in algorithm_freeze_manifest.json.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ozen run parameters of the shipped configuration (per-subsystem detail). Companion to the main-text frozen-parameter table, which carries the run-level and core-operator settings. Where a value varies by dimension tier the four tiers D&lt;20 / 20–49 / 50–99 / ≥100 are shown. No per-suite or per-run tuning is performed: every value is resolved from D alone. Hash-frozen in algorithm_freeze_manifest.json.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ACE / ARGP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arm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arms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K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t>R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exp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 arm 3 = GSK-pure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0.9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)</m:t>
              </m:r>
            </m:oMath>
            <w:r>
              <w:t xml:space="preserve">; at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t xml:space="preserve"> </w:t>
            </w:r>
            <w:r>
              <w:t xml:space="preserve">a virtual sixth DE/rand/1 arm is appended, so the pool holds 5 / 6 / 6 / 5 arms across the four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sixth arm is added at run time (see the DE-arm row)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init probs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0.45</m:t>
              </m:r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0.40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20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100</m:t>
              </m:r>
            </m:oMath>
            <w:r>
              <w:t xml:space="preserve">; with the DE arm (</w:t>
            </w:r>
            <m:oMath>
              <m:r>
                <m:t>20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t xml:space="preserve">) the five are rescaled by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</m:sub>
              </m:sSub>
            </m:oMath>
            <w:r>
              <w:t xml:space="preserve"> </w:t>
            </w:r>
            <w:r>
              <w:t xml:space="preserve">and a sixth appended, giving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0.40</m:t>
              </m:r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0.355</m:t>
              </m:r>
              <m:r>
                <m:rPr>
                  <m:sty m:val="p"/>
                </m:rPr>
                <m:t>,</m:t>
              </m:r>
              <m:r>
                <m:t>0.095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20</m:t>
              </m:r>
            </m:oMath>
            <w:r>
              <w:t xml:space="preserve">–</w:t>
            </w:r>
            <m:oMath>
              <m:r>
                <m:t>49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0.35</m:t>
              </m:r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0.31</m:t>
              </m:r>
              <m:r>
                <m:rPr>
                  <m:sty m:val="p"/>
                </m:rPr>
                <m:t>,</m:t>
              </m:r>
              <m:r>
                <m:t>0.19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50</m:t>
              </m:r>
            </m:oMath>
            <w:r>
              <w:t xml:space="preserve">–</w:t>
            </w:r>
            <m:oMath>
              <m:r>
                <m:t>99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shown after the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</w:r>
            <w:r>
              <w:t xml:space="preserve">simplex projection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learning rate</w:t>
            </w:r>
            <w: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probability floor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memory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(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20</m:t>
              </m:r>
            </m:oMath>
            <w:r>
              <w:t xml:space="preserve">)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top_bottom (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20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DE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(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20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100</m:t>
              </m:r>
            </m:oMath>
            <w:r>
              <w:t xml:space="preserve">) / on (</w:t>
            </w:r>
            <m:oMath>
              <m:r>
                <m:t>20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ARGP window /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0.02 (0.010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), warmup 0.15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Linkage crossover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minimum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50</m:t>
              </m:r>
            </m:oMath>
            <w:r>
              <w:t xml:space="preserve">) / 30 (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blockwise mask is off entirely below it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block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50</m:t>
              </m:r>
            </m:oMath>
            <w:r>
              <w:t xml:space="preserve">) / 10 (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mix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20</m:t>
              </m:r>
            </m:oMath>
            <w:r>
              <w:t xml:space="preserve">) / 0.40 (mid) / 0.70 (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refresh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gen. (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50</m:t>
              </m:r>
            </m:oMath>
            <w:r>
              <w:t xml:space="preserve">) / 10 (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BSE / archive / deep-stall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trigger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stagnation (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20</m:t>
              </m:r>
            </m:oMath>
            <w:r>
              <w:t xml:space="preserve">) / triple (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20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50; signal window 10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r>
                <m:t>ϵ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restart fraction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rst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0.30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50</m:t>
              </m:r>
            </m:oMath>
            <w:r>
              <w:t xml:space="preserve">) /</w:t>
            </w:r>
            <w:r>
              <w:t xml:space="preserve"> </w:t>
            </w:r>
            <m:oMath>
              <m:r>
                <m:t>0.10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max restarts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 (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20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t xml:space="preserve">) / 2 (otherwise)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acceptance / diversity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/ 0.35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archive size /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cap 200 (all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), L2 0.05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1.5</m:t>
              </m:r>
              <m:r>
                <m:t> </m:t>
              </m:r>
              <m:r>
                <m:t>N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init</m:t>
                  </m:r>
                </m:sub>
              </m:sSub>
            </m:oMath>
            <w:r>
              <w:t xml:space="preserve"> </w:t>
            </w:r>
            <w:r>
              <w:t xml:space="preserve">fallback inert (cap set)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deep-stall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on; frac 0.25; min-budget 20 000;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0.15; stop 0.9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ISM / eigenframe polish (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rPr>
                <w:i/>
                <w:iCs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interaction_graph_min_dim=50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decay</w:t>
            </w:r>
            <w:r>
              <w:t xml:space="preserve"> 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interaction_graph_decay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learning rate</w:t>
            </w:r>
            <w: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interaction_graph_lr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refresh period / warmup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gen. (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t xml:space="preserve">) / 20 (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100</m:t>
              </m:r>
            </m:oMath>
            <w:r>
              <w:t xml:space="preserve">); warmup 0.10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confidence gate</w:t>
            </w:r>
            <w: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0.35 (linkage 0.35, LS 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: window 30, percentile 0.50, floor 0.12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block size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2–10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final polish start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0.96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final_polish_start_frac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restart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 decay 0.50 (interaction_restart_decay); post-escape cooldown 5 gen.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on each BSE escape event (not on the deep-stall restart)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100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controllers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A1 late-accept clip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τ</m:t>
              </m:r>
            </m:oMath>
            <w:r>
              <w:t xml:space="preserve">-floor 0.85; high-acc 0.30; log-drop</w:t>
            </w:r>
            <w:r>
              <w:t xml:space="preserve"> </w:t>
            </w:r>
            <m:oMath>
              <m:r>
                <m:t>ϵ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</m:oMath>
            <w:r>
              <w:t xml:space="preserve">; streak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; strict</w:t>
            </w:r>
            <w:r>
              <w:t xml:space="preserve"> </w:t>
            </w:r>
            <m:oMath>
              <m:r>
                <m:t>ϵ</m:t>
              </m:r>
            </m:oMath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; log-drop EMA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tightens elitist acceptance late in budget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A2 frozen-streak broaden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acc-floor 0.05; log-drop</w:t>
            </w:r>
            <w:r>
              <w:t xml:space="preserve"> </w:t>
            </w:r>
            <m:oMath>
              <m:r>
                <m:t>ϵ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3.0</m:t>
              </m:r>
            </m:oMath>
            <w:r>
              <w:t xml:space="preserve">; streak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; window/cooldown 20/10 gen.;</w:t>
            </w:r>
            <w:r>
              <w:t xml:space="preserve"> </w:t>
            </w:r>
            <m:oMath>
              <m:r>
                <m:t>K</m:t>
              </m:r>
              <m:r>
                <m:t>R</m:t>
              </m:r>
            </m:oMath>
            <w:r>
              <w:t xml:space="preserve"> </w:t>
            </w:r>
            <w:r>
              <w:t xml:space="preserve">factor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broadens</w:t>
            </w:r>
            <w:r>
              <w:t xml:space="preserve"> </w:t>
            </w:r>
            <m:oMath>
              <m:r>
                <m:t>K</m:t>
              </m:r>
              <m:r>
                <m:t>R</m:t>
              </m:r>
            </m:oMath>
            <w:r>
              <w:t xml:space="preserve"> </w:t>
            </w:r>
            <w:r>
              <w:t xml:space="preserve">during frozen streaks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FC4 late linkage random-mix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τ</m:t>
              </m:r>
            </m:oMath>
            <w:r>
              <w:t xml:space="preserve">-floor 0.50; negative-lift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0.05</m:t>
              </m:r>
            </m:oMath>
            <w:r>
              <w:t xml:space="preserve">; severe-lift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0.20</m:t>
              </m:r>
            </m:oMath>
            <w:r>
              <w:t xml:space="preserve">; strength 0.5; lift-EMA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reverts to random linkage when learned-block lift turns negative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basin memory / subspace-sampling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budget/ROI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admits the coordinate local search only from consumed budget fraction</w:t>
            </w:r>
            <w:r>
              <w:t xml:space="preserve"> </w:t>
            </w:r>
            <m:oMath>
              <m:r>
                <m:t>0.70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duplicates this tier’s local-search start fraction, but is read before the escape rather than after it; the trust-region displacement governor it descends from was removed from the code at the paper freeze</w:t>
            </w:r>
          </w:p>
        </w:tc>
      </w:tr>
    </w:tbl>
    <w:bookmarkEnd w:id="140"/>
    <w:bookmarkEnd w:id="141"/>
    <w:bookmarkStart w:id="154" w:name="lbl_sec_repro_opspec"/>
    <w:p>
      <w:pPr>
        <w:pStyle w:val="Heading2"/>
      </w:pPr>
      <w:bookmarkStart w:id="297" w:name="ref_sec_repro_opspec"/>
      <w:r>
        <w:t xml:space="preserve">S5.9.</w:t>
      </w:r>
      <w:bookmarkEnd w:id="297"/>
      <w:r>
        <w:tab/>
      </w:r>
      <w:r>
        <w:t xml:space="preserve"> Complete Operator Specification</w:t>
      </w:r>
    </w:p>
    <w:p>
      <w:pPr>
        <w:pStyle w:val="FirstParagraph"/>
      </w:pPr>
      <w:r>
        <w:t xml:space="preserve">This subsection records the operator-level constants and update rules that the</w:t>
      </w:r>
      <w:r>
        <w:t xml:space="preserve"> </w:t>
      </w:r>
      <w:r>
        <w:t xml:space="preserve">main-text equation registry (Equations (7), (10), (11), (12), and (13)) summarizes, so</w:t>
      </w:r>
      <w:r>
        <w:t xml:space="preserve"> </w:t>
      </w:r>
      <w:r>
        <w:t xml:space="preserve">that DT-GSK is reproducible from the text. Every value is transcribed from</w:t>
      </w:r>
      <w:r>
        <w:t xml:space="preserve"> </w:t>
      </w:r>
      <w:r>
        <w:t xml:space="preserve">the hash-frozen sources of Section </w:t>
      </w:r>
      <w:r>
        <w:fldChar w:fldCharType="begin"/>
      </w:r>
      <w:r>
        <w:instrText xml:space="preserve"> REF ref_sec_repro_freeze \h </w:instrText>
      </w:r>
      <w:r>
        <w:fldChar w:fldCharType="separate"/>
      </w:r>
      <w:r>
        <w:t xml:space="preserve">S5.2</w:t>
      </w:r>
      <w:r>
        <w:fldChar w:fldCharType="end"/>
      </w:r>
      <w:r>
        <w:t xml:space="preserve"> and is stated per</w:t>
      </w:r>
      <w:r>
        <w:t xml:space="preserve"> </w:t>
      </w:r>
      <w:r>
        <w:t xml:space="preserve">dimension tier wherever the single dimension-aware configuration resolves it</w:t>
      </w:r>
      <w:r>
        <w:t xml:space="preserve"> </w:t>
      </w:r>
      <w:r>
        <w:t xml:space="preserve">differently; the tier boundaries are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,</w:t>
      </w:r>
      <w:r>
        <w:t xml:space="preserve"> </w:t>
      </w:r>
      <m:oMath>
        <m:r>
          <m:t>20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(with a</w:t>
      </w:r>
      <w:r>
        <w:t xml:space="preserve"> </w:t>
      </w:r>
      <w:r>
        <w:t xml:space="preserve">further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extension), as in the main-text dimension-gating figure.</w:t>
      </w:r>
    </w:p>
    <w:bookmarkStart w:id="142" w:name="X29c9a694f8ae5195094d0e10d6753b8c232c3eb"/>
    <w:p>
      <w:pPr>
        <w:pStyle w:val="Heading4"/>
      </w:pPr>
      <w:r>
        <w:t xml:space="preserve">Knowledge-construction arms of ACE (main-text Equation (7)).</w:t>
      </w:r>
    </w:p>
    <w:p>
      <w:pPr>
        <w:pStyle w:val="FirstParagraph"/>
      </w:pPr>
      <w:r>
        <w:t xml:space="preserve">The adaptive credit-based selector samples one of five fixed arms, each a triple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exp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gaining–sharing rate, crossover rate and</w:t>
      </w:r>
      <w:r>
        <w:t xml:space="preserve"> </w:t>
      </w:r>
      <w:r>
        <w:t xml:space="preserve">junior-dimension exponent, with the initial selection probabilities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exp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cautious explorer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dimension-selective bold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GSK-canonical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aggressive wide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extended-exploration 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</w:tr>
    </w:tbl>
    <w:p>
      <w:pPr>
        <w:pStyle w:val="BodyText"/>
      </w:pPr>
      <w:r>
        <w:t xml:space="preserve">The credit is an exponential moving average at learning rate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0.10</m:t>
        </m:r>
      </m:oMath>
      <w:r>
        <w:t xml:space="preserve">, the</w:t>
      </w:r>
      <w:r>
        <w:t xml:space="preserve"> </w:t>
      </w:r>
      <w:r>
        <w:t xml:space="preserve">probabilities are projected onto the simplex under the floor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updating begins once the consumed-budget fraction reaches</w:t>
      </w:r>
      <w:r>
        <w:t xml:space="preserve"> </w:t>
      </w:r>
      <m:oMath>
        <m:r>
          <m:t>0.05</m:t>
        </m:r>
      </m:oMath>
      <w:r>
        <w:t xml:space="preserve">; the arm</w:t>
      </w:r>
      <w:r>
        <w:t xml:space="preserve"> </w:t>
      </w:r>
      <w:r>
        <w:t xml:space="preserve">memory is a single pool for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t xml:space="preserve">and a top/bottom split for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20</m:t>
        </m:r>
      </m:oMath>
      <w:r>
        <w:t xml:space="preserve">. For</w:t>
      </w:r>
      <w:r>
        <w:t xml:space="preserve"> </w:t>
      </w:r>
      <m:oMath>
        <m:r>
          <m:t>20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100</m:t>
        </m:r>
      </m:oMath>
      <w:r>
        <w:t xml:space="preserve"> </w:t>
      </w:r>
      <w:r>
        <w:t xml:space="preserve">an optional sixth differential-evolution arm (</w:t>
      </w:r>
      <m:oMath>
        <m:r>
          <m:t>F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C</m:t>
        </m:r>
        <m:r>
          <m:t>R</m:t>
        </m:r>
        <m:r>
          <m:rPr>
            <m:sty m:val="p"/>
          </m:rPr>
          <m:t>=</m:t>
        </m:r>
        <m:r>
          <m:t>0.9</m:t>
        </m:r>
      </m:oMath>
      <w:r>
        <w:t xml:space="preserve">)</w:t>
      </w:r>
      <w:r>
        <w:t xml:space="preserve"> </w:t>
      </w:r>
      <w:r>
        <w:t xml:space="preserve">is configured at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(</w:t>
      </w:r>
      <m:oMath>
        <m:r>
          <m:t>20</m:t>
        </m:r>
      </m:oMath>
      <w:r>
        <w:t xml:space="preserve">–</w:t>
      </w:r>
      <m:oMath>
        <m:r>
          <m:t>49</m:t>
        </m:r>
      </m:oMath>
      <w:r>
        <w:t xml:space="preserve">) or</w:t>
      </w:r>
      <w:r>
        <w:t xml:space="preserve"> </w:t>
      </w:r>
      <m:oMath>
        <m:r>
          <m:t>0.20</m:t>
        </m:r>
      </m:oMath>
      <w:r>
        <w:t xml:space="preserve"> </w:t>
      </w:r>
      <w:r>
        <w:t xml:space="preserve">(</w:t>
      </w:r>
      <m:oMath>
        <m:r>
          <m:t>50</m:t>
        </m:r>
      </m:oMath>
      <w:r>
        <w:t xml:space="preserve">–</w:t>
      </w:r>
      <m:oMath>
        <m:r>
          <m:t>99</m:t>
        </m:r>
      </m:oMath>
      <w:r>
        <w:t xml:space="preserve">). The five arm</w:t>
      </w:r>
      <w:r>
        <w:t xml:space="preserve"> </w:t>
      </w:r>
      <w:r>
        <w:t xml:space="preserve">probabilities tabulated above are the DE-off vector: when the sixth arm enters,</w:t>
      </w:r>
      <w:r>
        <w:t xml:space="preserve"> </w:t>
      </w:r>
      <w:r>
        <w:t xml:space="preserve">the five are rescaled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and the six are re-projected onto</w:t>
      </w:r>
      <w:r>
        <w:t xml:space="preserve"> </w:t>
      </w:r>
      <w:r>
        <w:t xml:space="preserve">the simplex under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giving</w:t>
      </w:r>
      <w:r>
        <w:t xml:space="preserve"> </w:t>
      </w:r>
      <m:oMath>
        <m:r>
          <m:rPr>
            <m:sty m:val="p"/>
          </m:rPr>
          <m:t>(</m:t>
        </m:r>
        <m:r>
          <m:t>0.05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0.40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0.355</m:t>
        </m:r>
        <m:r>
          <m:rPr>
            <m:sty m:val="p"/>
          </m:rPr>
          <m:t>,</m:t>
        </m:r>
        <m:r>
          <m:t>0.095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20</m:t>
        </m:r>
      </m:oMath>
      <w:r>
        <w:t xml:space="preserve">–</w:t>
      </w:r>
      <m:oMath>
        <m:r>
          <m:t>49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0.05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0.35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0.31</m:t>
        </m:r>
        <m:r>
          <m:rPr>
            <m:sty m:val="p"/>
          </m:rPr>
          <m:t>,</m:t>
        </m:r>
        <m:r>
          <m:t>0.19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50</m:t>
        </m:r>
      </m:oMath>
      <w:r>
        <w:t xml:space="preserve">–</w:t>
      </w:r>
      <m:oMath>
        <m:r>
          <m:t>99</m:t>
        </m:r>
      </m:oMath>
      <w:r>
        <w:t xml:space="preserve">. When a generation yields no net</w:t>
      </w:r>
      <w:r>
        <w:t xml:space="preserve"> </w:t>
      </w:r>
      <w:r>
        <w:t xml:space="preserve">improvement (its summed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is non-positive) the</w:t>
      </w:r>
      <w:r>
        <w:t xml:space="preserve"> </w:t>
      </w:r>
      <w:r>
        <w:t xml:space="preserve">credit target is restricted to the improving arms, as in main-text</w:t>
      </w:r>
      <w:r>
        <w:t xml:space="preserve"> </w:t>
      </w:r>
      <w:r>
        <w:t xml:space="preserve">Equation (7); when the generation is net-improving the full-pool target is</w:t>
      </w:r>
      <w:r>
        <w:t xml:space="preserve"> </w:t>
      </w:r>
      <w:r>
        <w:t xml:space="preserve">used with worsened arms floored at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 The restricted branch</w:t>
      </w:r>
      <w:r>
        <w:t xml:space="preserve"> </w:t>
      </w:r>
      <w:r>
        <w:t xml:space="preserve">stabilizes learning on hard functions.</w:t>
      </w:r>
    </w:p>
    <w:bookmarkEnd w:id="142"/>
    <w:bookmarkStart w:id="143" w:name="lbl_aceargp_operating_cycle_per_generati"/>
    <w:p>
      <w:pPr>
        <w:pStyle w:val="Heading4"/>
      </w:pPr>
      <w:r>
        <w:t xml:space="preserve">ACE/ARGP operating cycle (per generation).</w:t>
      </w:r>
    </w:p>
    <w:p>
      <w:pPr>
        <w:pStyle w:val="FirstParagraph"/>
      </w:pPr>
      <w:r>
        <w:t xml:space="preserve">The following states the order of operations, the timing conditions, and the</w:t>
      </w:r>
      <w:r>
        <w:t xml:space="preserve"> </w:t>
      </w:r>
      <w:r>
        <w:t xml:space="preserve">edge cases of the selector and its pruning gate. Each step names the frozen</w:t>
      </w:r>
      <w:r>
        <w:t xml:space="preserve"> </w:t>
      </w:r>
      <w:r>
        <w:t xml:space="preserve">source that implements it, so the specification can be checked line by line.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Eligibility to update.</w:t>
      </w:r>
      <w:r>
        <w:t xml:space="preserve"> </w:t>
      </w:r>
      <w:r>
        <w:t xml:space="preserve">No credit update is applied until the</w:t>
      </w:r>
      <w:r>
        <w:t xml:space="preserve"> </w:t>
      </w:r>
      <w:r>
        <w:t xml:space="preserve">consumed-budget fraction reaches</w:t>
      </w:r>
      <w:r>
        <w:t xml:space="preserve"> </w:t>
      </w:r>
      <m:oMath>
        <m:r>
          <m:t>0.05</m:t>
        </m:r>
      </m:oMath>
      <w:r>
        <w:t xml:space="preserve">; before that the probabilities remain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. ace_start_frac, _dt_core.py:210–212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Arm assignment.</w:t>
      </w:r>
      <w:r>
        <w:t xml:space="preserve"> </w:t>
      </w:r>
      <w:r>
        <w:t xml:space="preserve">Each individual independently draws one arm from</w:t>
      </w:r>
      <w:r>
        <w:t xml:space="preserve"> </w:t>
      </w:r>
      <w:r>
        <w:t xml:space="preserve">the current probability vector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on the ACE substream;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draw uses the top/bottom memory that the individual’s fitness rank selects,</w:t>
      </w:r>
      <w:r>
        <w:t xml:space="preserve"> </w:t>
      </w:r>
      <w:r>
        <w:t xml:space="preserve">and a single shared memory below that.</w:t>
      </w:r>
      <w:r>
        <w:t xml:space="preserve"> </w:t>
      </w:r>
      <w:r>
        <w:t xml:space="preserve">_dt_core.py (ACE sampling), _dt_rng.py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Optional differential-evolution arm.</w:t>
      </w:r>
      <w:r>
        <w:t xml:space="preserve"> </w:t>
      </w:r>
      <w:r>
        <w:t xml:space="preserve">For</w:t>
      </w:r>
      <w:r>
        <w:t xml:space="preserve"> </w:t>
      </w:r>
      <m:oMath>
        <m:r>
          <m:t>20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100</m:t>
        </m:r>
      </m:oMath>
      <w:r>
        <w:t xml:space="preserve"> </w:t>
      </w:r>
      <w:r>
        <w:t xml:space="preserve">a sixth</w:t>
      </w:r>
      <w:r>
        <w:t xml:space="preserve"> </w:t>
      </w:r>
      <w:r>
        <w:t xml:space="preserve">arm (</w:t>
      </w:r>
      <m:oMath>
        <m:r>
          <m:t>F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C</m:t>
        </m:r>
        <m:r>
          <m:t>R</m:t>
        </m:r>
        <m:r>
          <m:rPr>
            <m:sty m:val="p"/>
          </m:rPr>
          <m:t>=</m:t>
        </m:r>
        <m:r>
          <m:t>0.9</m:t>
        </m:r>
      </m:oMath>
      <w:r>
        <w:t xml:space="preserve">) joins the pool with tier-dependent initial</w:t>
      </w:r>
      <w:r>
        <w:t xml:space="preserve"> </w:t>
      </w:r>
      <w:r>
        <w:t xml:space="preserve">probability; it is excluded at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.</w:t>
      </w:r>
      <w:r>
        <w:t xml:space="preserve"> </w:t>
      </w:r>
      <w:r>
        <w:t xml:space="preserve">ace_de_entry, _dt_profiles.py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Credit accumulation.</w:t>
      </w:r>
      <w:r>
        <w:t xml:space="preserve"> </w:t>
      </w:r>
      <w:r>
        <w:t xml:space="preserve">Every individual contributes its signed</w:t>
      </w:r>
      <w:r>
        <w:t xml:space="preserve"> </w:t>
      </w:r>
      <w:r>
        <w:t xml:space="preserve">fitness delta to the arm that drew it, giving the per-arm aggregate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main-text Equation (7). Credit is an improvement magnitude, not an acceptance</w:t>
      </w:r>
      <w:r>
        <w:t xml:space="preserve"> </w:t>
      </w:r>
      <w:r>
        <w:t xml:space="preserve">count. _ace_update_probs, _dt_core.py:1203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Target selection (two branches).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m</m:t>
                </m:r>
              </m:sub>
            </m:sSub>
          </m:e>
        </m:nary>
      </m:oMath>
      <w:r>
        <w:t xml:space="preserve">: if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target is the full-pool share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S</m:t>
        </m:r>
      </m:oMath>
      <w:r>
        <w:t xml:space="preserve">; if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at least one arm</w:t>
      </w:r>
      <w:r>
        <w:t xml:space="preserve"> </w:t>
      </w:r>
      <w:r>
        <w:t xml:space="preserve">improved, the target is restricted to the improving arms.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non-finite, or if no arm improved, no target is formed 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carried</w:t>
      </w:r>
      <w:r>
        <w:t xml:space="preserve"> </w:t>
      </w:r>
      <w:r>
        <w:t xml:space="preserve">forward unchanged apart from its projection.</w:t>
      </w:r>
      <w:r>
        <w:t xml:space="preserve"> </w:t>
      </w:r>
      <w:r>
        <w:t xml:space="preserve">_dt_core.py:1236–1264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Mixing and projection.</w:t>
      </w:r>
      <w:r>
        <w:t xml:space="preserve"> </w:t>
      </w:r>
      <w:r>
        <w:t xml:space="preserve">The target is projected, mixed into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by an exponential moving average at rate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0.10</m:t>
        </m:r>
      </m:oMath>
      <w:r>
        <w:t xml:space="preserve">, and the result projected</w:t>
      </w:r>
      <w:r>
        <w:t xml:space="preserve"> </w:t>
      </w:r>
      <w:r>
        <w:t xml:space="preserve">again. The projection is the Euclidean projection onto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π</m:t>
            </m:r>
          </m:e>
          <m:sub>
            <m:r>
              <m:t>m</m:t>
            </m:r>
          </m:sub>
        </m:sSub>
        <m:r>
          <m:rPr>
            <m:sty m:val="p"/>
          </m:rPr>
          <m:t>≥</m:t>
        </m:r>
        <m:sSub>
          <m:e>
            <m:r>
              <m:t>π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0.05</m:t>
        </m:r>
        <m:r>
          <m:rPr>
            <m:sty m:val="p"/>
          </m:rPr>
          <m:t>,</m:t>
        </m:r>
        <m:r>
          <m:t> 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t>m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— not a floor followed by</w:t>
      </w:r>
      <w:r>
        <w:t xml:space="preserve"> </w:t>
      </w:r>
      <w:r>
        <w:t xml:space="preserve">renormalization. _ace_project_probs, _dt_core.py:694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ARGP freeze.</w:t>
      </w:r>
      <w:r>
        <w:t xml:space="preserve"> </w:t>
      </w:r>
      <w:r>
        <w:t xml:space="preserve">After a warm-up fraction of the budget, an unfrozen</w:t>
      </w:r>
      <w:r>
        <w:t xml:space="preserve"> </w:t>
      </w:r>
      <w:r>
        <w:t xml:space="preserve">arm whose rolling acceptance over the trailing window falls below the tier</w:t>
      </w:r>
      <w:r>
        <w:t xml:space="preserve"> </w:t>
      </w:r>
      <w:r>
        <w:t xml:space="preserve">threshold is frozen and its mass redistributed. Freezing stops while only</w:t>
      </w:r>
      <w:r>
        <w:t xml:space="preserve"> </w:t>
      </w:r>
      <w:r>
        <w:t xml:space="preserve">min_active arms remain unfrozen, so the pool can never collapse to a</w:t>
      </w:r>
      <w:r>
        <w:t xml:space="preserve"> </w:t>
      </w:r>
      <w:r>
        <w:t xml:space="preserve">single arm. _argp_update_memory_probs, _dt_core.py:1271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ARGP unfreeze (recoverable).</w:t>
      </w:r>
      <w:r>
        <w:t xml:space="preserve"> </w:t>
      </w:r>
      <w:r>
        <w:t xml:space="preserve">A frozen arm that is sampled again</w:t>
      </w:r>
      <w:r>
        <w:t xml:space="preserve"> </w:t>
      </w:r>
      <w:r>
        <w:t xml:space="preserve">and whose rolling acceptance recovers to the threshold is unfrozen. Pruning is</w:t>
      </w:r>
      <w:r>
        <w:t xml:space="preserve"> </w:t>
      </w:r>
      <w:r>
        <w:t xml:space="preserve">therefore soft and reversible; no arm is permanently removed.</w:t>
      </w:r>
      <w:r>
        <w:t xml:space="preserve"> </w:t>
      </w:r>
      <w:r>
        <w:t xml:space="preserve">_dt_core.py:1271</w:t>
      </w:r>
    </w:p>
    <w:p>
      <w:pPr>
        <w:pStyle w:val="FirstParagraph"/>
      </w:pPr>
      <w:r>
        <w:t xml:space="preserve">The selector consumes no objective evaluations of its own: credit is</w:t>
      </w:r>
      <w:r>
        <w:t xml:space="preserve"> </w:t>
      </w:r>
      <w:r>
        <w:t xml:space="preserve">read from evaluations the generation has already spent.</w:t>
      </w:r>
    </w:p>
    <w:bookmarkEnd w:id="143"/>
    <w:bookmarkStart w:id="144" w:name="X6b70eed0877614637e2d7bb6a6743cbb7f454d1"/>
    <w:p>
      <w:pPr>
        <w:pStyle w:val="Heading4"/>
      </w:pPr>
      <w:r>
        <w:t xml:space="preserve">Interaction-graph update (refinement of main-text Equation (11)).</w:t>
      </w:r>
    </w:p>
    <w:p>
      <w:pPr>
        <w:pStyle w:val="FirstParagraph"/>
      </w:pPr>
      <w:r>
        <w:t xml:space="preserve">The interaction-structure memory maintains an unsigned magnitude graph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and a signed graph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(with an auxiliary</w:t>
      </w:r>
      <w:r>
        <w:t xml:space="preserve"> </w:t>
      </w:r>
      <w:r>
        <w:t xml:space="preserve">per-dimension self-weight and co-occurrence support used only for the confidence</w:t>
      </w:r>
      <w:r>
        <w:t xml:space="preserve"> </w:t>
      </w:r>
      <w:r>
        <w:t xml:space="preserve">of Equation </w:t>
      </w:r>
      <w:hyperlink w:anchor="eq:opspec-conf">
        <w:r>
          <w:rPr>
            <w:rStyle w:val="Hyperlink"/>
          </w:rPr>
          <w:t xml:space="preserve">[eq:opspec-conf]</w:t>
        </w:r>
      </w:hyperlink>
      <w:r>
        <w:t xml:space="preserve">). For each accepted move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 strictly</w:t>
      </w:r>
      <w:r>
        <w:t xml:space="preserve"> </w:t>
      </w:r>
      <w:r>
        <w:t xml:space="preserve">positive improvement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its displacement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(restricted to</w:t>
      </w:r>
      <w:r>
        <w:t xml:space="preserve"> </w:t>
      </w:r>
      <w:r>
        <w:t xml:space="preserve">its non-zero support) is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-normalized,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sSubSup>
          <m:e>
            <m:r>
              <m:t>v</m:t>
            </m:r>
          </m:e>
          <m:sub>
            <m:r>
              <m:t>i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rPr>
                <m:sty m:val="p"/>
              </m:rPr>
              <m:t>Δ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|</m:t>
            </m:r>
          </m:num>
          <m:den>
            <m:sSub>
              <m:e>
                <m:d>
                  <m:dPr>
                    <m:begChr m:val="‖"/>
                    <m:sepChr m:val=""/>
                    <m:endChr m:val="‖"/>
                    <m:grow/>
                  </m:dPr>
                  <m:e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t>  </m:t>
        </m:r>
        <m:sSubSup>
          <m:e>
            <m:r>
              <m:t>v</m:t>
            </m:r>
          </m:e>
          <m:sub>
            <m:r>
              <m:t>i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d>
                  <m:dPr>
                    <m:begChr m:val="‖"/>
                    <m:sepChr m:val=""/>
                    <m:endChr m:val="‖"/>
                    <m:grow/>
                  </m:dPr>
                  <m:e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?</w:t>
      </w:r>
      <w:r>
        <w:fldChar w:fldCharType="end"/>
      </w:r>
      <w:r>
        <w:t xml:space="preserve">)</w:t>
      </w:r>
    </w:p>
    <w:p>
      <w:pPr>
        <w:pStyle w:val="BodyText"/>
      </w:pPr>
      <w:r>
        <w:t xml:space="preserve">and the accumulators receive an improvement-weighted rank-one scatter of weight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𝜍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←</m:t>
        </m:r>
        <m:r>
          <m:t>λ</m:t>
        </m:r>
        <m:r>
          <m:t> </m:t>
        </m:r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+</m:t>
        </m:r>
        <m:r>
          <m:t>η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v</m:t>
            </m:r>
          </m:e>
          <m:sub>
            <m:r>
              <m:t>i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p>
        </m:sSubSup>
        <m:sSup>
          <m:e>
            <m:sSubSup>
              <m:e>
                <m:r>
                  <m:t>v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p>
            </m:sSubSup>
          </m:e>
          <m:sup>
            <m:r>
              <m:t>​</m:t>
            </m:r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t>  </m:t>
        </m:r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←</m:t>
        </m:r>
        <m:r>
          <m:t>λ</m:t>
        </m:r>
        <m:r>
          <m:t> </m:t>
        </m:r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+</m:t>
        </m:r>
        <m:r>
          <m:t>η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v</m:t>
            </m:r>
          </m:e>
          <m:sub>
            <m:r>
              <m:t>i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sup>
        </m:sSubSup>
        <m:sSup>
          <m:e>
            <m:sSubSup>
              <m:e>
                <m:r>
                  <m:t>v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g</m:t>
                </m:r>
              </m:sup>
            </m:sSubSup>
          </m:e>
          <m:sup>
            <m:r>
              <m:t>​</m:t>
            </m:r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</m:oMath>
      <w:r>
        <w:tab/>
      </w:r>
      <w:r>
        <w:t xml:space="preserve"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?</w:t>
      </w:r>
      <w:r>
        <w:fldChar w:fldCharType="end"/>
      </w:r>
      <w:r>
        <w:t xml:space="preserve">)</w:t>
      </w:r>
    </w:p>
    <w:p>
      <w:pPr>
        <w:pStyle w:val="BodyText"/>
      </w:pPr>
      <w:r>
        <w:t xml:space="preserve">after which each graph is symmetrized and its diagonal zeroed (the self-weight</w:t>
      </w:r>
      <w:r>
        <w:t xml:space="preserve"> </w:t>
      </w:r>
      <w:r>
        <w:t xml:space="preserve">is tracked separately). The per-source weight</w:t>
      </w:r>
      <w:r>
        <w:t xml:space="preserve"> </w:t>
      </w:r>
      <m:oMath>
        <m:sSub>
          <m:e>
            <m:r>
              <m:t>𝜍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differential-evolution-arm moves,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for local-search moves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otherwise; the decay is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and the commit rate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(the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t>η</m:t>
        </m:r>
      </m:oMath>
      <w:r>
        <w:t xml:space="preserve"> </w:t>
      </w:r>
      <w:r>
        <w:t xml:space="preserve">of main-text Equation (11)). Updates begin after budget fraction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and,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, are thinned to every tenth generation and capped at the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largest-improvement samples. Because the multiplicative decay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applied</w:t>
      </w:r>
      <w:r>
        <w:t xml:space="preserve"> </w:t>
      </w:r>
      <w:r>
        <w:t xml:space="preserve">every generation while evidence is injected only every tenth at this tier, the</w:t>
      </w:r>
      <w:r>
        <w:t xml:space="preserve"> </w:t>
      </w:r>
      <w:r>
        <w:t xml:space="preserve">effective decay between injections is</w:t>
      </w:r>
      <w:r>
        <w:t xml:space="preserve"> </w:t>
      </w:r>
      <m:oMath>
        <m:sSup>
          <m:e>
            <m:r>
              <m:t>λ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0.95</m:t>
        </m:r>
      </m:oMath>
      <w:r>
        <w:t xml:space="preserve">;</w:t>
      </w:r>
      <w:r>
        <w:t xml:space="preserve"> </w:t>
      </w:r>
      <w:r>
        <w:t xml:space="preserve">correspondingly the per-update cost of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24</m:t>
        </m:r>
        <m:r>
          <m:t> 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incurred once per ten</w:t>
      </w:r>
      <w:r>
        <w:t xml:space="preserve"> </w:t>
      </w:r>
      <w:r>
        <w:t xml:space="preserve">generations, i.e. an amortized</w:t>
      </w:r>
      <w:r>
        <w:t xml:space="preserve"> </w:t>
      </w:r>
      <m:oMath>
        <m:r>
          <m:rPr>
            <m:sty m:val="p"/>
          </m:rPr>
          <m:t>≈</m:t>
        </m:r>
        <m:r>
          <m:t>O</m:t>
        </m:r>
        <m:r>
          <m:rPr>
            <m:sty m:val="p"/>
          </m:rPr>
          <m:t>(</m:t>
        </m:r>
        <m:r>
          <m:t>2.4</m:t>
        </m:r>
        <m:r>
          <m:t> 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per generation, against the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P</m:t>
        </m:r>
        <m:r>
          <m:t> 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per-</w:t>
      </w:r>
      <w:r>
        <w:rPr>
          <w:i/>
          <w:iCs/>
        </w:rPr>
        <w:t xml:space="preserve">update</w:t>
      </w:r>
      <w:r>
        <w:t xml:space="preserve"> </w:t>
      </w:r>
      <w:r>
        <w:t xml:space="preserve">worst case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–</w:t>
      </w:r>
      <m:oMath>
        <m:r>
          <m:t>99</m:t>
        </m:r>
      </m:oMath>
      <w:r>
        <w:t xml:space="preserve">, where every accepted move</w:t>
      </w:r>
      <w:r>
        <w:t xml:space="preserve"> </w:t>
      </w:r>
      <w:r>
        <w:t xml:space="preserve">contributes an uncapped rank-one scatter each generation.</w:t>
      </w:r>
      <w:r>
        <w:t xml:space="preserve"> </w:t>
      </w:r>
      <w:r>
        <w:rPr>
          <w:i/>
          <w:iCs/>
        </w:rPr>
        <w:t xml:space="preserve">Event-driven updates.</w:t>
      </w:r>
      <w:r>
        <w:t xml:space="preserve"> </w:t>
      </w:r>
      <w:r>
        <w:t xml:space="preserve">Two graph updates fall outside this steady cadence. First, whenever the charged coordinate local search improves at least one individual, that generation’s accepted local-search displacements are injected a second time — at the local-search source weight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the usual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fade (an injection at decay</w:t>
      </w:r>
      <w:r>
        <w:t xml:space="preserve"> </w:t>
      </w:r>
      <m:oMath>
        <m:r>
          <m:t>1</m:t>
        </m:r>
      </m:oMath>
      <w:r>
        <w:t xml:space="preserve">) — and the linkage blocks are re-extracted immediately rather than waiting for the next five-generation refresh. Second, after a budget-safe-escape event — a partial restart, or any Cauchy perturbation, including a successful rescue that cancels the restart — the retained graph is halved (</w:t>
      </w:r>
      <m:oMath>
        <m:r>
          <m:rPr>
            <m:sty m:val="p"/>
          </m:rPr>
          <m:t>×</m:t>
        </m:r>
        <m:r>
          <m:t>0.50</m:t>
        </m:r>
      </m:oMath>
      <w:r>
        <w:t xml:space="preserve">) and a five-generation cooldown suppresses block re-use until the post-escape population has produced fresh evidence, after which blocks are re-extracted; the deep-stall restart itself does not touch the graph. Both transitions are frozen defaults of the shipped configuration.</w:t>
      </w:r>
    </w:p>
    <w:bookmarkEnd w:id="144"/>
    <w:bookmarkStart w:id="145" w:name="lbl_graph_to_block_extraction_and_readin"/>
    <w:p>
      <w:pPr>
        <w:pStyle w:val="Heading4"/>
      </w:pPr>
      <w:r>
        <w:t xml:space="preserve">Graph-to-block extraction and readiness.</w:t>
      </w:r>
    </w:p>
    <w:p>
      <w:pPr>
        <w:pStyle w:val="FirstParagraph"/>
      </w:pPr>
      <w:r>
        <w:t xml:space="preserve">At each linkage refresh the magnitude graph is max-normalized,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max</m:t>
        </m:r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. A row-wise adjacency keeps, for</w:t>
      </w:r>
      <w:r>
        <w:t xml:space="preserve"> </w:t>
      </w:r>
      <w:r>
        <w:t xml:space="preserve">each dimension</w:t>
      </w:r>
      <w:r>
        <w:t xml:space="preserve"> </w:t>
      </w:r>
      <m:oMath>
        <m:r>
          <m:t>j</m:t>
        </m:r>
      </m:oMath>
      <w:r>
        <w:t xml:space="preserve">, the edges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max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>
              <m:e>
                <m:r>
                  <m:rPr>
                    <m:sty m:val="p"/>
                  </m:rPr>
                  <m:t>max</m:t>
                </m:r>
              </m:e>
              <m:sub>
                <m:r>
                  <m:t>k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with floor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 at most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neighbors</w:t>
      </w:r>
      <w:r>
        <w:t xml:space="preserve"> </w:t>
      </w:r>
      <w:r>
        <w:t xml:space="preserve">(a row with no edge above the floor retains its strongest positive edges, at</w:t>
      </w:r>
      <w:r>
        <w:t xml:space="preserve"> </w:t>
      </w:r>
      <w:r>
        <w:t xml:space="preserve">most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 as a fallback);</w:t>
      </w:r>
      <w:r>
        <w:t xml:space="preserve"> </w:t>
      </w:r>
      <w:r>
        <w:t xml:space="preserve">it is symmetrized and its connected components are taken. Components 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discarded, those with at most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members are</w:t>
      </w:r>
      <w:r>
        <w:t xml:space="preserve"> </w:t>
      </w:r>
      <w:r>
        <w:t xml:space="preserve">kept whole, and larger components are split greedily (highest row-sum seed plus</w:t>
      </w:r>
      <w:r>
        <w:t xml:space="preserve"> </w:t>
      </w:r>
      <w:r>
        <w:t xml:space="preserve">its strongest neighbors). A block feeds the linkage crossover only when the</w:t>
      </w:r>
      <w:r>
        <w:t xml:space="preserve"> </w:t>
      </w:r>
      <w:r>
        <w:t xml:space="preserve">graph is</w:t>
      </w:r>
      <w:r>
        <w:t xml:space="preserve"> </w:t>
      </w:r>
      <w:r>
        <w:rPr>
          <w:i/>
          <w:iCs/>
        </w:rPr>
        <w:t xml:space="preserve">ready</w:t>
      </w:r>
      <w:r>
        <w:t xml:space="preserve">: at least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updates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refreshes have accrued, at</w:t>
      </w:r>
      <w:r>
        <w:t xml:space="preserve"> </w:t>
      </w:r>
      <w:r>
        <w:t xml:space="preserve">least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dimensions are non-trivial, and the overall confidence</w:t>
      </w:r>
    </w:p>
    <w:p>
      <w:pPr>
        <w:pStyle w:val="BodyText"/>
        <w:tabs>
          <w:tab w:val="center" w:pos="4819"/>
          <w:tab w:val="right" w:pos="9638"/>
        </w:tabs>
      </w:pPr>
      <w:r>
        <w:tab/>
      </w:r>
      <m:oMath>
        <m:r>
          <m:t>κ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b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b</m:t>
                </m:r>
                <m:r>
                  <m:rPr>
                    <m:sty m:val="p"/>
                  </m:rPr>
                  <m:t>|</m:t>
                </m:r>
                <m:r>
                  <m:t> </m:t>
                </m:r>
                <m:sSub>
                  <m:e>
                    <m:r>
                      <m:t>c</m:t>
                    </m:r>
                  </m:e>
                  <m:sub>
                    <m:r>
                      <m:t>b</m:t>
                    </m:r>
                  </m:sub>
                </m:sSub>
              </m:num>
              <m:den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b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b</m:t>
                </m:r>
                <m:r>
                  <m:rPr>
                    <m:sty m:val="p"/>
                  </m:rPr>
                  <m:t>|</m:t>
                </m:r>
              </m:den>
            </m:f>
          </m:e>
        </m:d>
        <m:rad>
          <m:radPr>
            <m:degHide m:val="on"/>
          </m:radPr>
          <m:deg/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</m:e>
        </m:rad>
        <m:r>
          <m:rPr>
            <m:sty m:val="p"/>
          </m:rPr>
          <m:t>,</m:t>
        </m:r>
        <m:r>
          <m:t>  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b</m:t>
            </m:r>
          </m:sub>
        </m:sSub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max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sSub>
                  <m:e>
                    <m:r>
                      <m:t>σ</m:t>
                    </m:r>
                  </m:e>
                  <m:sub>
                    <m:r>
                      <m:t>b</m:t>
                    </m:r>
                  </m:sub>
                </m:sSub>
                <m:r>
                  <m:t> </m:t>
                </m:r>
                <m:sSub>
                  <m:e>
                    <m:r>
                      <m:t>ω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rad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  <m:r>
              <m:rPr>
                <m:sty m:val="p"/>
              </m:rPr>
              <m:t>+</m:t>
            </m:r>
            <m:r>
              <m:t>0.5</m:t>
            </m:r>
            <m:r>
              <m:t> </m:t>
            </m:r>
            <m:sSub>
              <m:e>
                <m:r>
                  <m:t>τ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,</m:t>
        </m:r>
      </m:oMath>
      <w:r>
        <w:tab/>
      </w:r>
      <w:r>
        <w:t xml:space="preserve">(</w:t>
      </w:r>
      <w:bookmarkStart w:id="298" w:name="ref_eq_opspec_conf"/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4</w:t>
      </w:r>
      <w:r>
        <w:fldChar w:fldCharType="end"/>
      </w:r>
      <w:bookmarkEnd w:id="298"/>
      <w:r>
        <w:t xml:space="preserve">)</w:t>
      </w:r>
    </w:p>
    <w:p>
      <w:pPr>
        <w:pStyle w:val="BodyText"/>
      </w:pPr>
      <w:r>
        <w:t xml:space="preserve">reaches the floor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(the linkage gate:</w:t>
      </w:r>
      <w:r>
        <w:t xml:space="preserve"> </w:t>
      </w:r>
      <m:oMath>
        <m:r>
          <m:t>0.55</m:t>
        </m:r>
      </m:oMath>
      <w:r>
        <w:t xml:space="preserve"> </w:t>
      </w:r>
      <w:r>
        <w:t xml:space="preserve">by default,</w:t>
      </w:r>
      <w:r>
        <w:t xml:space="preserve"> </w:t>
      </w:r>
      <m:oMath>
        <m:r>
          <m:t>0.35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; the separate local-search gate uses</w:t>
      </w:r>
      <w:r>
        <w:t xml:space="preserve"> </w:t>
      </w:r>
      <m:oMath>
        <m:r>
          <m:t>0.45</m:t>
        </m:r>
      </m:oMath>
      <w:r>
        <w:t xml:space="preserve">).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</m:oMath>
      <w:r>
        <w:t xml:space="preserve"> </w:t>
      </w:r>
      <w:r>
        <w:t xml:space="preserve">is the fraction of non-trivial dimensions,</w:t>
      </w:r>
      <w:r>
        <w:t xml:space="preserve"> </w:t>
      </w:r>
      <m:oMath>
        <m:sSub>
          <m:e>
            <m:r>
              <m:t>ρ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mean of the normalized block’s upper triangle,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m</m:t>
                    </m:r>
                  </m:e>
                </m:acc>
              </m:e>
              <m:sub>
                <m:r>
                  <m:t>b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ω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b</m:t>
                </m:r>
              </m:sub>
            </m:sSub>
          </m:sup>
        </m:sSup>
      </m:oMath>
      <w:r>
        <w:t xml:space="preserve"> </w:t>
      </w:r>
      <w:r>
        <w:t xml:space="preserve">measure the block’s mean raw magnitude and support,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τ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the Jaccard stability of the block against the previous refresh.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the fixed floor is replaced by an adaptive threshold: the median of</w:t>
      </w:r>
      <w:r>
        <w:t xml:space="preserve"> </w:t>
      </w:r>
      <w:r>
        <w:t xml:space="preserve">the last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recorded confidences, floored at</w:t>
      </w:r>
      <w:r>
        <w:t xml:space="preserve"> </w:t>
      </w:r>
      <m:oMath>
        <m:r>
          <m:t>0.12</m:t>
        </m:r>
      </m:oMath>
      <w:r>
        <w:t xml:space="preserve">, with a static warm-up</w:t>
      </w:r>
      <w:r>
        <w:t xml:space="preserve"> </w:t>
      </w:r>
      <w:r>
        <w:t xml:space="preserve">over the first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refreshes. Because this adaptive floor is relative to the</w:t>
      </w:r>
      <w:r>
        <w:t xml:space="preserve"> </w:t>
      </w:r>
      <w:r>
        <w:t xml:space="preserve">recent confidence history, it can settle below the static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— as</w:t>
      </w:r>
      <w:r>
        <w:t xml:space="preserve"> </w:t>
      </w:r>
      <w:r>
        <w:t xml:space="preserve">low as the</w:t>
      </w:r>
      <w:r>
        <w:t xml:space="preserve"> </w:t>
      </w:r>
      <m:oMath>
        <m:r>
          <m:t>0.12</m:t>
        </m:r>
      </m:oMath>
      <w:r>
        <w:t xml:space="preserve"> </w:t>
      </w:r>
      <w:r>
        <w:t xml:space="preserve">hard floor — and the separate absolute-minimum safeguard is</w:t>
      </w:r>
      <w:r>
        <w:t xml:space="preserve"> </w:t>
      </w:r>
      <w:r>
        <w:t xml:space="preserve">disabled in the frozen configuration;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a linkage block may therefore</w:t>
      </w:r>
      <w:r>
        <w:t xml:space="preserve"> </w:t>
      </w:r>
      <w:r>
        <w:t xml:space="preserve">be committed at a lower nominal confidence than the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t xml:space="preserve">gate would admit,</w:t>
      </w:r>
      <w:r>
        <w:t xml:space="preserve"> </w:t>
      </w:r>
      <w:r>
        <w:t xml:space="preserve">trading precision for earlier structural commitment in the larger upper-tier</w:t>
      </w:r>
      <w:r>
        <w:t xml:space="preserve"> </w:t>
      </w:r>
      <w:r>
        <w:t xml:space="preserve">populations.</w:t>
      </w:r>
    </w:p>
    <w:bookmarkEnd w:id="145"/>
    <w:bookmarkStart w:id="146" w:name="X28d4cc4701d48a220f1ac685b378714f9914200"/>
    <w:p>
      <w:pPr>
        <w:pStyle w:val="Heading4"/>
      </w:pPr>
      <w:r>
        <w:t xml:space="preserve">Eigenframe polish (main-text Equation (12)) and residual constants.</w:t>
      </w:r>
    </w:p>
    <w:p>
      <w:pPr>
        <w:pStyle w:val="FirstParagraph"/>
      </w:pPr>
      <w:r>
        <w:t xml:space="preserve">The one-shot final polish (active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, armed at budget fraction</w:t>
      </w:r>
      <w:r>
        <w:t xml:space="preserve"> </w:t>
      </w:r>
      <m:oMath>
        <m:r>
          <m:t>0.96</m:t>
        </m:r>
      </m:oMath>
      <w:r>
        <w:t xml:space="preserve"> </w:t>
      </w:r>
      <w:r>
        <w:t xml:space="preserve">under a budget cap of</w:t>
      </w:r>
      <w:r>
        <w:t xml:space="preserve"> </w:t>
      </w:r>
      <m:oMath>
        <m:r>
          <m:t>0.02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; the base-configuration defaults</w:t>
      </w:r>
      <w:r>
        <w:t xml:space="preserve"> </w:t>
      </w:r>
      <w:r>
        <w:t xml:space="preserve">are</w:t>
      </w:r>
      <w:r>
        <w:t xml:space="preserve"> </w:t>
      </w:r>
      <m:oMath>
        <m:r>
          <m:t>0.985</m:t>
        </m:r>
      </m:oMath>
      <w:r>
        <w:t xml:space="preserve">, full budget and disabled) builds its basis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the</w:t>
      </w:r>
      <w:r>
        <w:t xml:space="preserve"> </w:t>
      </w:r>
      <w:r>
        <w:t xml:space="preserve">eigenvectors of the symmetrized signed graph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ordered by</w:t>
      </w:r>
      <w:r>
        <w:t xml:space="preserve"> </w:t>
      </w:r>
      <w:r>
        <w:t xml:space="preserve">descending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eigenvalue</m:t>
        </m:r>
        <m:r>
          <m:rPr>
            <m:sty m:val="p"/>
          </m:rPr>
          <m:t>|</m:t>
        </m:r>
      </m:oMath>
      <w:r>
        <w:t xml:space="preserve"> </w:t>
      </w:r>
      <w:r>
        <w:t xml:space="preserve">(coordinate axes when the graph</w:t>
      </w:r>
      <w:r>
        <w:t xml:space="preserve"> </w:t>
      </w:r>
      <w:r>
        <w:t xml:space="preserve">carries no signal). Unlike the crossover and local-search consumers, this polish</w:t>
      </w:r>
      <w:r>
        <w:t xml:space="preserve"> </w:t>
      </w:r>
      <w:r>
        <w:t xml:space="preserve">is gated only on the presence of a non-zero signed signal and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require the graph-readiness condition of Equation </w:t>
      </w:r>
      <w:hyperlink w:anchor="eq:opspec-conf">
        <w:r>
          <w:rPr>
            <w:rStyle w:val="Hyperlink"/>
          </w:rPr>
          <w:t xml:space="preserve">[eq:opspec-conf]</w:t>
        </w:r>
      </w:hyperlink>
      <w:r>
        <w:t xml:space="preserve">, so it can</w:t>
      </w:r>
      <w:r>
        <w:t xml:space="preserve"> </w:t>
      </w:r>
      <w:r>
        <w:t xml:space="preserve">act on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before the confidence gate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would admit</w:t>
      </w:r>
      <w:r>
        <w:t xml:space="preserve"> </w:t>
      </w:r>
      <w:r>
        <w:t xml:space="preserve">a linkage block. It then runs a deterministic, RNG-free compass search along one</w:t>
      </w:r>
      <w:r>
        <w:t xml:space="preserve"> </w:t>
      </w:r>
      <w:r>
        <w:t xml:space="preserve">basis direction per iteration: the step (initialized at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of the box span,</w:t>
      </w:r>
      <w:r>
        <w:t xml:space="preserve"> </w:t>
      </w:r>
      <m:oMath>
        <m:r>
          <m:t>0.02</m:t>
        </m:r>
      </m:oMath>
      <w:r>
        <w:t xml:space="preserve"> </w:t>
      </w:r>
      <w:r>
        <w:t xml:space="preserve">by default) grows by a factor</w:t>
      </w:r>
      <w:r>
        <w:t xml:space="preserve"> </w:t>
      </w:r>
      <m:oMath>
        <m:r>
          <m:t>1.3</m:t>
        </m:r>
      </m:oMath>
      <w:r>
        <w:t xml:space="preserve"> </w:t>
      </w:r>
      <w:r>
        <w:t xml:space="preserve">after an improving probe — capped at</w:t>
      </w:r>
      <w:r>
        <w:t xml:space="preserve"> </w:t>
      </w:r>
      <w:r>
        <w:t xml:space="preserve">half the box span — and halves after a full non-improving sweep, terminating at</w:t>
      </w:r>
      <w:r>
        <w:t xml:space="preserve"> </w:t>
      </w:r>
      <w:r>
        <w:t xml:space="preserve">the budget cap or when the step falls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of the span. The polish</w:t>
      </w:r>
      <w:r>
        <w:t xml:space="preserve"> </w:t>
      </w:r>
      <w:r>
        <w:t xml:space="preserve">operates on the working incumbent, re-materialized atomically from the current</w:t>
      </w:r>
      <w:r>
        <w:t xml:space="preserve"> </w:t>
      </w:r>
      <w:r>
        <w:t xml:space="preserve">population best at entry to the final slice, so the incumbent vector and its fitness</w:t>
      </w:r>
      <w:r>
        <w:t xml:space="preserve"> </w:t>
      </w:r>
      <w:r>
        <w:t xml:space="preserve">always refer to the same individual; because a probe is accepted only</w:t>
      </w:r>
      <w:r>
        <w:t xml:space="preserve"> </w:t>
      </w:r>
      <w:r>
        <w:t xml:space="preserve">when it is strictly better (greedy compass search), the stage cannot corrupt</w:t>
      </w:r>
      <w:r>
        <w:t xml:space="preserve"> </w:t>
      </w:r>
      <w:r>
        <w:t xml:space="preserve">the returned solution, and the</w:t>
      </w:r>
      <w:r>
        <w:t xml:space="preserve"> </w:t>
      </w:r>
      <w:r>
        <w:t xml:space="preserve">budget-exact evaluation accounting is unaffected. This endgame</w:t>
      </w:r>
      <w:r>
        <w:t xml:space="preserve"> </w:t>
      </w:r>
      <w:r>
        <w:t xml:space="preserve">invokes no external solver; the SciPy SLSQP refinement used by the eGSK port</w:t>
      </w:r>
      <w:r>
        <w:t xml:space="preserve"> </w:t>
      </w:r>
      <w:r>
        <w:t xml:space="preserve">and the optional SciPy Nelder–Mead local-search methods are distinct mechanisms</w:t>
      </w:r>
      <w:r>
        <w:t xml:space="preserve"> </w:t>
      </w:r>
      <w:r>
        <w:t xml:space="preserve">and are not part of the eigenframe polish. The budget-safe escape of</w:t>
      </w:r>
      <w:r>
        <w:t xml:space="preserve"> </w:t>
      </w:r>
      <w:r>
        <w:t xml:space="preserve">main-text Equation (10) perturbs the worst</w:t>
      </w:r>
      <w:r>
        <w:t xml:space="preserve"> </w:t>
      </w:r>
      <m:oMath>
        <m:r>
          <m:rPr>
            <m:sty m:val="p"/>
          </m:rPr>
          <m:t>round</m:t>
        </m:r>
        <m:r>
          <m:rPr>
            <m:sty m:val="p"/>
          </m:rPr>
          <m:t>(</m:t>
        </m:r>
        <m:r>
          <m:t>0.10</m:t>
        </m:r>
        <m:r>
          <m:t> 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rows by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 scale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0.04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; the escape is active at all</w:t>
      </w:r>
      <w:r>
        <w:t xml:space="preserve"> </w:t>
      </w:r>
      <w:r>
        <w:t xml:space="preserve">tiers (the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t xml:space="preserve">tier enables it through the low-dimension escape</w:t>
      </w:r>
      <w:r>
        <w:t xml:space="preserve"> </w:t>
      </w:r>
      <w:r>
        <w:t xml:space="preserve">overrides). Finally, the RNG substream</w:t>
      </w:r>
      <w:r>
        <w:t xml:space="preserve"> </w:t>
      </w:r>
      <w:r>
        <w:t xml:space="preserve">modulus of main-text Equation (13) is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2</m:t>
        </m:r>
        <m:r>
          <m:t> </m:t>
        </m:r>
        <m:r>
          <m:t>147</m:t>
        </m:r>
        <m:r>
          <m:t> </m:t>
        </m:r>
        <m:r>
          <m:t>483</m:t>
        </m:r>
        <m:r>
          <m:t> </m:t>
        </m:r>
        <m:r>
          <m:t>646</m:t>
        </m:r>
      </m:oMath>
      <w:r>
        <w:t xml:space="preserve">: stream </w:t>
      </w:r>
      <m:oMath>
        <m:r>
          <m:t>0</m:t>
        </m:r>
      </m:oMath>
      <w:r>
        <w:t xml:space="preserve"> </w:t>
      </w:r>
      <w:r>
        <w:t xml:space="preserve">is the run seed</w:t>
      </w:r>
      <w:r>
        <w:t xml:space="preserve"> </w:t>
      </w:r>
      <w:r>
        <w:t xml:space="preserve">verbatim and streams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12</m:t>
        </m:r>
      </m:oMath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nor/>
            <m:sty m:val="p"/>
          </m:rPr>
          <m:t>seed</m:t>
        </m:r>
        <m:r>
          <m:rPr>
            <m:sty m:val="p"/>
          </m:rPr>
          <m:t>+</m:t>
        </m:r>
        <m:r>
          <m:t>1</m:t>
        </m:r>
        <m:r>
          <m:t> </m:t>
        </m:r>
        <m:r>
          <m:t>000</m:t>
        </m:r>
        <m:r>
          <m:t> </m:t>
        </m:r>
        <m:r>
          <m:t>003</m:t>
        </m:r>
        <m:r>
          <m:t> 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sSub>
          <m:e>
            <m:r>
              <m:t>M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6"/>
    <w:bookmarkStart w:id="147" w:name="X1cd8130b639ff57ad424b14c7bb6f8bb5b0af13"/>
    <w:p>
      <w:pPr>
        <w:pStyle w:val="Heading4"/>
      </w:pPr>
      <w:r>
        <w:t xml:space="preserve">Junior/senior partition, crossover mask, and coverage floor (main-text Equations (3) and (5)).</w:t>
      </w:r>
    </w:p>
    <w:p>
      <w:pPr>
        <w:pStyle w:val="FirstParagraph"/>
      </w:pPr>
      <w:r>
        <w:t xml:space="preserve">The number of junior coordinates follows the decaying schedule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j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clip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⌈</m:t>
            </m:r>
            <m:r>
              <m:t>D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K</m:t>
                    </m:r>
                  </m:e>
                  <m:sub>
                    <m:r>
                      <m:rPr>
                        <m:sty m:val="p"/>
                      </m:rPr>
                      <m:t>exp</m:t>
                    </m:r>
                  </m:sub>
                </m:sSub>
              </m:sup>
            </m:sSup>
            <m:r>
              <m:rPr>
                <m:sty m:val="p"/>
              </m:rPr>
              <m:t>⌉</m:t>
            </m:r>
            <m:r>
              <m:rPr>
                <m:sty m:val="p"/>
              </m:rPr>
              <m:t>,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 </m:t>
            </m:r>
            <m:r>
              <m:t>D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consumed-budget fraction, but it is applied as a</w:t>
      </w:r>
      <w:r>
        <w:t xml:space="preserve"> </w:t>
      </w:r>
      <w:r>
        <w:rPr>
          <w:i/>
          <w:iCs/>
        </w:rPr>
        <w:t xml:space="preserve">per-coordinate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j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sty m:val="p"/>
              </m:rPr>
              <m:t>j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rather than an exact count: each</w:t>
      </w:r>
      <w:r>
        <w:t xml:space="preserve"> </w:t>
      </w:r>
      <w:r>
        <w:t xml:space="preserve">coordinate is independently assigned to the junior rule with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j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 to the senior rule otherwise, so the realized junior count is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 </m:t>
        </m:r>
        <m:sSub>
          <m:e>
            <m:r>
              <m:t>p</m:t>
            </m:r>
          </m:e>
          <m:sub>
            <m:r>
              <m:rPr>
                <m:sty m:val="p"/>
              </m:rPr>
              <m:t>j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equals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j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only in</w:t>
      </w:r>
      <w:r>
        <w:t xml:space="preserve"> </w:t>
      </w:r>
      <w:r>
        <w:t xml:space="preserve">expectation. The crossover is then a two-stage composition rather than a single</w:t>
      </w:r>
      <w:r>
        <w:t xml:space="preserve"> </w:t>
      </w:r>
      <w:r>
        <w:t xml:space="preserve">Bernoulli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mask: each junior (resp. senior) candidate is admitted only if it</w:t>
      </w:r>
      <w:r>
        <w:t xml:space="preserve"> </w:t>
      </w:r>
      <w:r>
        <w:t xml:space="preserve">also passes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crossover draw at rate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(separate uniform</w:t>
      </w:r>
      <w:r>
        <w:t xml:space="preserve"> </w:t>
      </w:r>
      <w:r>
        <w:t xml:space="preserve">streams for the two partitions), and a coordinate failing its draw keeps its parent</w:t>
      </w:r>
      <w:r>
        <w:t xml:space="preserve"> </w:t>
      </w:r>
      <w:r>
        <w:t xml:space="preserve">value. When a linkage-block mask is active for a row — the tier mix</w:t>
      </w:r>
      <w:r>
        <w:t xml:space="preserve"> </w:t>
      </w:r>
      <w:r>
        <w:t xml:space="preserve">probability</w:t>
      </w:r>
      <w:r>
        <w:t xml:space="preserve"> </w:t>
      </w:r>
      <m:oMath>
        <m:r>
          <m:t>0.70</m:t>
        </m:r>
        <m:r>
          <m:rPr>
            <m:sty m:val="p"/>
          </m:rPr>
          <m:t>/</m:t>
        </m:r>
        <m:r>
          <m:t>0.40</m:t>
        </m:r>
        <m:r>
          <m:rPr>
            <m:sty m:val="p"/>
          </m:rPr>
          <m:t>/</m:t>
        </m:r>
        <m:r>
          <m:t>0.70</m:t>
        </m:r>
        <m:r>
          <m:rPr>
            <m:sty m:val="p"/>
          </m:rPr>
          <m:t>/</m:t>
        </m:r>
        <m:r>
          <m:t>0.70</m:t>
        </m:r>
      </m:oMath>
      <w:r>
        <w:t xml:space="preserve"> </w:t>
      </w:r>
      <w:r>
        <w:t xml:space="preserve">— the junior/senior choice and the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gate are taken once for the whole block (block granularity), copying the block</w:t>
      </w:r>
      <w:r>
        <w:t xml:space="preserve"> </w:t>
      </w:r>
      <w:r>
        <w:t xml:space="preserve">together;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a blockwise row uses the learned partition with</w:t>
      </w:r>
      <w:r>
        <w:t xml:space="preserve"> </w:t>
      </w:r>
      <w:r>
        <w:t xml:space="preserve">probability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when the graph is ready, and the random partition otherwise; a force-nonzero guarantee sets one random coordinate whenever a row would</w:t>
      </w:r>
      <w:r>
        <w:t xml:space="preserve"> </w:t>
      </w:r>
      <w:r>
        <w:t xml:space="preserve">otherwise be left unchanged. Finally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floored at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κ</m:t>
                </m:r>
              </m:e>
              <m:sub>
                <m:r>
                  <m:rPr>
                    <m:sty m:val="p"/>
                  </m:rPr>
                  <m:t>dim</m:t>
                </m:r>
              </m:sub>
            </m:sSub>
            <m:r>
              <m:rPr>
                <m:sty m:val="p"/>
              </m:rPr>
              <m:t>/</m:t>
            </m:r>
            <m:r>
              <m:t>D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dim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/</m:t>
        </m:r>
        <m:r>
          <m:t>40</m:t>
        </m:r>
      </m:oMath>
      <w:r>
        <w:t xml:space="preserve"> </w:t>
      </w:r>
      <w:r>
        <w:t xml:space="preserve">by tier, i.e. an effective floor of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0.667</m:t>
        </m:r>
        <m:r>
          <m:rPr>
            <m:sty m:val="p"/>
          </m:rPr>
          <m:t>/</m:t>
        </m:r>
        <m:r>
          <m:t>0.80</m:t>
        </m:r>
        <m:r>
          <m:rPr>
            <m:sty m:val="p"/>
          </m:rPr>
          <m:t>/</m:t>
        </m:r>
        <m:r>
          <m:t>0.40</m:t>
        </m:r>
      </m:oMath>
      <w:r>
        <w:t xml:space="preserve">; this raises the operative crossover rate of</w:t>
      </w:r>
      <w:r>
        <w:t xml:space="preserve"> </w:t>
      </w:r>
      <w:r>
        <w:t xml:space="preserve">the low-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arms (arms 1 and 2 of the ACE table)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20</m:t>
        </m:r>
      </m:oMath>
      <w:r>
        <w:t xml:space="preserve">, so those arms’ listed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values are lower bounds, not the executed rates, above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.</w:t>
      </w:r>
    </w:p>
    <w:bookmarkEnd w:id="147"/>
    <w:bookmarkStart w:id="148" w:name="X1dbb0b1de2316cfa073ff23168646c1ec66d7f3"/>
    <w:p>
      <w:pPr>
        <w:pStyle w:val="Heading4"/>
      </w:pPr>
      <w:r>
        <w:t xml:space="preserve">Senior widening and the differential-evolution trial.</w:t>
      </w:r>
    </w:p>
    <w:p>
      <w:pPr>
        <w:pStyle w:val="FirstParagraph"/>
      </w:pPr>
      <w:r>
        <w:t xml:space="preserve">The senior mixing rate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</w:t>
      </w:r>
      <m:oMath>
        <m:r>
          <m:t>0.15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20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).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it is subject to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bottom-half widening: when the rolling</w:t>
      </w:r>
      <w:r>
        <w:t xml:space="preserve"> </w:t>
      </w:r>
      <w:r>
        <w:t xml:space="preserve">mean acceptance over the last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generations falls to at most the escape acceptance</w:t>
      </w:r>
      <w:r>
        <w:t xml:space="preserve"> </w:t>
      </w:r>
      <w:r>
        <w:t xml:space="preserve">floor</w:t>
      </w:r>
      <w:r>
        <w:t xml:space="preserve"> </w:t>
      </w:r>
      <m:oMath>
        <m:r>
          <m:t>0.10</m:t>
        </m:r>
      </m:oMath>
      <w:r>
        <w:t xml:space="preserve">, the population is partitioned by fitness rank and the worse-ranked half</w:t>
      </w:r>
      <w:r>
        <w:t xml:space="preserve"> </w:t>
      </w:r>
      <w:r>
        <w:t xml:space="preserve">draws its senior partners at a widened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while the better-ranked half keeps</w:t>
      </w:r>
      <w:r>
        <w:t xml:space="preserve"> </w:t>
      </w:r>
      <m:oMath>
        <m:r>
          <m:t>0.05</m:t>
        </m:r>
      </m:oMath>
      <w:r>
        <w:t xml:space="preserve">; when acceptance is above the floor the single-rate call is used unchanged.</w:t>
      </w:r>
      <w:r>
        <w:t xml:space="preserve"> </w:t>
      </w:r>
      <w:r>
        <w:t xml:space="preserve">When the optional differential-evolution arm introduced above is drawn for a row, its</w:t>
      </w:r>
      <w:r>
        <w:t xml:space="preserve"> </w:t>
      </w:r>
      <w:r>
        <w:t xml:space="preserve">trial is built as DE/rand/1 from three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donors,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+</m:t>
        </m:r>
        <m:r>
          <m:t>F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0.5</m:t>
        </m:r>
      </m:oMath>
      <w:r>
        <w:t xml:space="preserve">, followed by binomial crossover at</w:t>
      </w:r>
      <w:r>
        <w:t xml:space="preserve"> </w:t>
      </w:r>
      <m:oMath>
        <m:r>
          <m:t>C</m:t>
        </m:r>
        <m:r>
          <m:t>R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with one forced coordinate; crucially the crossover base is not the parent but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GSK trial already constructed for that row</w:t>
      </w:r>
      <w:r>
        <w:t xml:space="preserve">, into which the surviving DE</w:t>
      </w:r>
      <w:r>
        <w:t xml:space="preserve"> </w:t>
      </w:r>
      <w:r>
        <w:t xml:space="preserve">mutant coordinates are spliced, with midpoint bound repair. Because each arm’s credit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summed</w:t>
      </w:r>
      <w:r>
        <w:t xml:space="preserve"> </w:t>
      </w:r>
      <w:r>
        <w:t xml:space="preserve">(not averaged) signed fitness delta of the individuals that drew</w:t>
      </w:r>
      <w:r>
        <w:t xml:space="preserve"> </w:t>
      </w:r>
      <w:r>
        <w:t xml:space="preserve">it and the number of draws is proportional to the arm’s current probability, credit</w:t>
      </w:r>
      <w:r>
        <w:t xml:space="preserve"> </w:t>
      </w:r>
      <w:r>
        <w:t xml:space="preserve">accrual is exposure-dependent: a widely drawn arm accumulates proportionally more total</w:t>
      </w:r>
      <w:r>
        <w:t xml:space="preserve"> </w:t>
      </w:r>
      <w:r>
        <w:t xml:space="preserve">credit for the same per-capita effect — a positive-feedback coupling bounded only by</w:t>
      </w:r>
      <w:r>
        <w:t xml:space="preserve"> </w:t>
      </w:r>
      <w:r>
        <w:t xml:space="preserve">the improving-arm credit restriction and the simplex floor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.</w:t>
      </w:r>
    </w:p>
    <w:bookmarkEnd w:id="148"/>
    <w:bookmarkStart w:id="149" w:name="lbl_arm_retirement_and_recovery"/>
    <w:p>
      <w:pPr>
        <w:pStyle w:val="Heading4"/>
      </w:pPr>
      <w:r>
        <w:t xml:space="preserve">Arm retirement and recovery.</w:t>
      </w:r>
    </w:p>
    <w:p>
      <w:pPr>
        <w:pStyle w:val="FirstParagraph"/>
      </w:pPr>
      <w:r>
        <w:t xml:space="preserve">Beyond the credit update, the selector applies a recoverable retirement rule. After a</w:t>
      </w:r>
      <w:r>
        <w:t xml:space="preserve"> </w:t>
      </w:r>
      <w:r>
        <w:t xml:space="preserve">warm-up of</w:t>
      </w:r>
      <w:r>
        <w:t xml:space="preserve"> </w:t>
      </w:r>
      <m:oMath>
        <m:r>
          <m:t>0.15</m:t>
        </m:r>
      </m:oMath>
      <w:r>
        <w:t xml:space="preserve"> </w:t>
      </w:r>
      <w:r>
        <w:t xml:space="preserve">of the budget it maintains a rolling window of the last</w:t>
      </w:r>
      <w:r>
        <w:t xml:space="preserve"> </w:t>
      </w:r>
      <m:oMath>
        <m:r>
          <m:t>30</m:t>
        </m:r>
      </m:oMath>
      <w:r>
        <w:t xml:space="preserve"> </w:t>
      </w:r>
      <w:r>
        <w:rPr>
          <w:i/>
          <w:iCs/>
        </w:rPr>
        <w:t xml:space="preserve">generations</w:t>
      </w:r>
      <w:r>
        <w:t xml:space="preserve"> </w:t>
      </w:r>
      <w:r>
        <w:t xml:space="preserve">of per-arm acceptance (one row pushed per generation, not per</w:t>
      </w:r>
      <w:r>
        <w:t xml:space="preserve"> </w:t>
      </w:r>
      <w:r>
        <w:t xml:space="preserve">decision). An arm whose windowed acceptance falls below the tier threshold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(</w:t>
      </w:r>
      <m:oMath>
        <m:r>
          <m:t>0.02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,</w:t>
      </w:r>
      <w:r>
        <w:t xml:space="preserve"> </w:t>
      </w:r>
      <m:oMath>
        <m:r>
          <m:t>0.010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) is soft-frozen to the</w:t>
      </w:r>
      <w:r>
        <w:t xml:space="preserve"> </w:t>
      </w:r>
      <w:r>
        <w:t xml:space="preserve">probability floor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— not removed — provided at least two arms remain</w:t>
      </w:r>
      <w:r>
        <w:t xml:space="preserve"> </w:t>
      </w:r>
      <w:r>
        <w:t xml:space="preserve">active, and the residual probability mass is renormalized over the active arms. A</w:t>
      </w:r>
      <w:r>
        <w:t xml:space="preserve"> </w:t>
      </w:r>
      <w:r>
        <w:t xml:space="preserve">frozen arm is</w:t>
      </w:r>
      <w:r>
        <w:t xml:space="preserve"> </w:t>
      </w:r>
      <w:r>
        <w:rPr>
          <w:i/>
          <w:iCs/>
        </w:rPr>
        <w:t xml:space="preserve">re-activated</w:t>
      </w:r>
      <w:r>
        <w:t xml:space="preserve"> </w:t>
      </w:r>
      <w:r>
        <w:t xml:space="preserve">as soon as its windowed acceptance recovers to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or above, so the retirement is reversible rather than a permanent</w:t>
      </w:r>
      <w:r>
        <w:t xml:space="preserve"> </w:t>
      </w:r>
      <w:r>
        <w:t xml:space="preserve">prune.</w:t>
      </w:r>
    </w:p>
    <w:bookmarkEnd w:id="149"/>
    <w:bookmarkStart w:id="150" w:name="X55914b86e1af30cb1254f5ae92807a84ce39056"/>
    <w:p>
      <w:pPr>
        <w:pStyle w:val="Heading4"/>
      </w:pPr>
      <w:r>
        <w:t xml:space="preserve">Budget-safe escape (main-text Equation (10)), full trajectory.</w:t>
      </w:r>
    </w:p>
    <w:p>
      <w:pPr>
        <w:pStyle w:val="FirstParagraph"/>
      </w:pPr>
      <w:r>
        <w:t xml:space="preserve">The escape of main-text Equation (10) is armed by the triple stagnation condition</w:t>
      </w:r>
      <w:r>
        <w:t xml:space="preserve"> </w:t>
      </w:r>
      <w:r>
        <w:t xml:space="preserve">(objective stall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low acceptance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low diversity, using the</w:t>
      </w:r>
      <w:r>
        <w:t xml:space="preserve"> </w:t>
      </w:r>
      <w:r>
        <w:t xml:space="preserve">scale-aware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stall test) 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20</m:t>
        </m:r>
      </m:oMath>
      <w:r>
        <w:t xml:space="preserve">, and by the</w:t>
      </w:r>
      <w:r>
        <w:t xml:space="preserve"> </w:t>
      </w:r>
      <w:r>
        <w:t xml:space="preserve">objective-stall trigger alone below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, where the acceptance and diversity</w:t>
      </w:r>
      <w:r>
        <w:t xml:space="preserve"> </w:t>
      </w:r>
      <w:r>
        <w:t xml:space="preserve">floors are inactive; in either case within the restart budget (at most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restarts for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100</m:t>
        </m:r>
      </m:oMath>
      <w:r>
        <w:t xml:space="preserve">, else</w:t>
      </w:r>
      <w:r>
        <w:t xml:space="preserve"> </w:t>
      </w:r>
      <m:oMath>
        <m:r>
          <m:t>2</m:t>
        </m:r>
      </m:oMath>
      <w:r>
        <w:t xml:space="preserve">), before the stop fraction</w:t>
      </w:r>
      <w:r>
        <w:t xml:space="preserve"> </w:t>
      </w:r>
      <m:oMath>
        <m:r>
          <m:t>0.95</m:t>
        </m:r>
      </m:oMath>
      <w:r>
        <w:t xml:space="preserve">, and</w:t>
      </w:r>
      <w:r>
        <w:t xml:space="preserve"> </w:t>
      </w:r>
      <w:r>
        <w:t xml:space="preserve">after a per-restart cooldown of</w:t>
      </w:r>
      <w:r>
        <w:t xml:space="preserve"> </w:t>
      </w:r>
      <m:oMath>
        <m:r>
          <m:t>0.05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. It carries a further</w:t>
      </w:r>
      <w:r>
        <w:t xml:space="preserve"> </w:t>
      </w:r>
      <w:r>
        <w:rPr>
          <w:i/>
          <w:iCs/>
        </w:rPr>
        <w:t xml:space="preserve">population module gate</w:t>
      </w:r>
      <w:r>
        <w:t xml:space="preserve">: it may fire only when the ACE probability mass on the</w:t>
      </w:r>
      <w:r>
        <w:t xml:space="preserve"> </w:t>
      </w:r>
      <w:r>
        <w:t xml:space="preserve">module-active arms is at least</w:t>
      </w:r>
      <w:r>
        <w:t xml:space="preserve"> </w:t>
      </w:r>
      <m:oMath>
        <m:r>
          <m:t>0.30</m:t>
        </m:r>
      </m:oMath>
      <w:r>
        <w:t xml:space="preserve">. Because the GSK-canonical arm (arm 3) and the</w:t>
      </w:r>
      <w:r>
        <w:t xml:space="preserve"> </w:t>
      </w:r>
      <w:r>
        <w:t xml:space="preserve">differential-evolution arm are module-inactive, a selector that has concentrated on</w:t>
      </w:r>
      <w:r>
        <w:t xml:space="preserve"> </w:t>
      </w:r>
      <w:r>
        <w:t xml:space="preserve">GSK-pure behavior suppresses the escape for that generation. When it does fire, the</w:t>
      </w:r>
      <w:r>
        <w:t xml:space="preserve"> </w:t>
      </w:r>
      <w:r>
        <w:t xml:space="preserve">top</w:t>
      </w:r>
      <w:r>
        <w:t xml:space="preserve"> </w:t>
      </w:r>
      <m:oMath>
        <m:r>
          <m:rPr>
            <m:sty m:val="p"/>
          </m:rPr>
          <m:t>round</m:t>
        </m:r>
        <m:r>
          <m:rPr>
            <m:sty m:val="p"/>
          </m:rPr>
          <m:t>(</m:t>
        </m:r>
        <m:r>
          <m:t>0.05</m:t>
        </m:r>
        <m:r>
          <m:t> 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rows by fitness are frozen and excluded from both</w:t>
      </w:r>
      <w:r>
        <w:t xml:space="preserve"> </w:t>
      </w:r>
      <w:r>
        <w:t xml:space="preserve">rescue and restart. A Cauchy rescue then perturbs the worst</w:t>
      </w:r>
      <w:r>
        <w:t xml:space="preserve"> </w:t>
      </w:r>
      <m:oMath>
        <m:r>
          <m:rPr>
            <m:sty m:val="p"/>
          </m:rPr>
          <m:t>round</m:t>
        </m:r>
        <m:r>
          <m:rPr>
            <m:sty m:val="p"/>
          </m:rPr>
          <m:t>(</m:t>
        </m:r>
        <m:r>
          <m:t>0.10</m:t>
        </m:r>
        <m:r>
          <m:t> 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non-frozen rows (scale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20</m:t>
        </m:r>
      </m:oMath>
      <w:r>
        <w:t xml:space="preserve">,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20</m:t>
        </m:r>
      </m:oMath>
      <w:r>
        <w:t xml:space="preserve">, as above) and is accepted</w:t>
      </w:r>
      <w:r>
        <w:t xml:space="preserve"> </w:t>
      </w:r>
      <w:r>
        <w:rPr>
          <w:i/>
          <w:iCs/>
        </w:rPr>
        <w:t xml:space="preserve">greedily per row</w:t>
      </w:r>
      <w:r>
        <w:t xml:space="preserve">; a successful rescue cancels</w:t>
      </w:r>
      <w:r>
        <w:t xml:space="preserve"> </w:t>
      </w:r>
      <w:r>
        <w:t xml:space="preserve">the restart for that generation. Otherwise</w:t>
      </w:r>
      <w:r>
        <w:t xml:space="preserve"> </w:t>
      </w:r>
      <m:oMath>
        <m:r>
          <m:rPr>
            <m:sty m:val="p"/>
          </m:rPr>
          <m:t>round</m:t>
        </m:r>
        <m:r>
          <m:rPr>
            <m:sty m:val="p"/>
          </m:rPr>
          <m:t>(</m:t>
        </m:r>
        <m:r>
          <m:t>0.30</m:t>
        </m:r>
        <m:r>
          <m:t> 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rows at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round</m:t>
        </m:r>
        <m:r>
          <m:rPr>
            <m:sty m:val="p"/>
          </m:rPr>
          <m:t>(</m:t>
        </m:r>
        <m:r>
          <m:t>0.10</m:t>
        </m:r>
        <m:r>
          <m:t> 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; the parameter table’s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rst</m:t>
            </m:r>
          </m:sub>
        </m:sSub>
      </m:oMath>
      <w:r>
        <w:t xml:space="preserve">) are reseeded, each drawn from the diversity archive with</w:t>
      </w:r>
      <w:r>
        <w:t xml:space="preserve"> </w:t>
      </w:r>
      <w:r>
        <w:t xml:space="preserve">probability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(jittered per coordinate by</w:t>
      </w:r>
      <w:r>
        <w:t xml:space="preserve"> </w:t>
      </w:r>
      <m:oMath>
        <m:r>
          <m:t>0.1</m:t>
        </m:r>
        <m:r>
          <m:rPr>
            <m:sty m:val="p"/>
          </m:rPr>
          <m:t>⋅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n</m:t>
        </m:r>
      </m:oMath>
      <w:r>
        <w:t xml:space="preserve">),</w:t>
      </w:r>
      <w:r>
        <w:t xml:space="preserve"> </w:t>
      </w:r>
      <w:r>
        <w:t xml:space="preserve">else — where basin memory is enabled (</w:t>
      </w:r>
      <m:oMath>
        <m:r>
          <m:t>D</m:t>
        </m:r>
        <m:r>
          <m:rPr>
            <m:sty m:val="p"/>
          </m:rPr>
          <m:t>≥</m:t>
        </m:r>
        <m:r>
          <m:t>100</m:t>
        </m:r>
      </m:oMath>
      <w:r>
        <w:t xml:space="preserve">) — from a basin-novelty pool</w:t>
      </w:r>
      <w:r>
        <w:t xml:space="preserve"> </w:t>
      </w:r>
      <w:r>
        <w:t xml:space="preserve">holding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as many uniform candidates as the rows that fall through to it,</w:t>
      </w:r>
      <w:r>
        <w:t xml:space="preserve"> </w:t>
      </w:r>
      <w:r>
        <w:t xml:space="preserve">else uniformly at random, all repaired to bounds; every row count is clamped to the</w:t>
      </w:r>
      <w:r>
        <w:t xml:space="preserve"> </w:t>
      </w:r>
      <w:r>
        <w:t xml:space="preserve">remaining evaluation budget so that MaxFES is met exactly.</w:t>
      </w:r>
    </w:p>
    <w:bookmarkEnd w:id="150"/>
    <w:bookmarkStart w:id="151" w:name="lbl_charged_coordinate_local_search"/>
    <w:p>
      <w:pPr>
        <w:pStyle w:val="Heading4"/>
      </w:pPr>
      <w:r>
        <w:t xml:space="preserve">Charged coordinate local search.</w:t>
      </w:r>
    </w:p>
    <w:p>
      <w:pPr>
        <w:pStyle w:val="FirstParagraph"/>
      </w:pPr>
      <w:r>
        <w:t xml:space="preserve">The active local search uses the</w:t>
      </w:r>
      <w:r>
        <w:t xml:space="preserve"> </w:t>
      </w:r>
      <w:r>
        <w:rPr>
          <w:i/>
          <w:iCs/>
        </w:rPr>
        <w:t xml:space="preserve">coordinate</w:t>
      </w:r>
      <w:r>
        <w:t xml:space="preserve"> </w:t>
      </w:r>
      <w:r>
        <w:t xml:space="preserve">method (the subspace variant is</w:t>
      </w:r>
      <w:r>
        <w:t xml:space="preserve"> </w:t>
      </w:r>
      <w:r>
        <w:t xml:space="preserve">implemented but not enabled in the frozen configuration). In the endgame it is admitted</w:t>
      </w:r>
      <w:r>
        <w:t xml:space="preserve"> </w:t>
      </w:r>
      <w:r>
        <w:t xml:space="preserve">by the joint of a time gate (consumed fraction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start_frac), an</w:t>
      </w:r>
      <w:r>
        <w:t xml:space="preserve"> </w:t>
      </w:r>
      <w:r>
        <w:t xml:space="preserve">evaluation-budget cap (</w:t>
      </w:r>
      <m:oMath>
        <m:r>
          <m:t>e</m:t>
        </m:r>
        <m:r>
          <m:t>v</m:t>
        </m:r>
        <m:r>
          <m:t>a</m:t>
        </m:r>
        <m:r>
          <m:t>l</m:t>
        </m:r>
        <m:r>
          <m:rPr>
            <m:sty m:val="p"/>
          </m:rPr>
          <m:t>_</m:t>
        </m:r>
        <m:r>
          <m:t>b</m:t>
        </m:r>
        <m:r>
          <m:t>u</m:t>
        </m:r>
        <m:r>
          <m:t>d</m:t>
        </m:r>
        <m:r>
          <m:t>g</m:t>
        </m:r>
        <m:r>
          <m:t>e</m:t>
        </m:r>
        <m:r>
          <m:t>t</m:t>
        </m:r>
        <m:r>
          <m:rPr>
            <m:sty m:val="p"/>
          </m:rPr>
          <m:t>_</m:t>
        </m:r>
        <m:r>
          <m:t>f</m:t>
        </m:r>
        <m:r>
          <m:t>r</m:t>
        </m:r>
        <m:r>
          <m:t>a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), a call period,</w:t>
      </w:r>
      <w:r>
        <w:t xml:space="preserve"> </w:t>
      </w:r>
      <w:r>
        <w:t xml:space="preserve">and a post-search cooldown. The coordinate branch carries no confidence gate; the</w:t>
      </w:r>
      <w:r>
        <w:t xml:space="preserve"> </w:t>
      </w:r>
      <w:r>
        <w:t xml:space="preserve">local-search confidence gate (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0.45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, the static</w:t>
      </w:r>
      <w:r>
        <w:t xml:space="preserve"> </w:t>
      </w:r>
      <w:r>
        <w:t xml:space="preserve">warm-up value, thereafter superseded by the same adaptive rolling-median rule</w:t>
      </w:r>
      <w:r>
        <w:t xml:space="preserve"> </w:t>
      </w:r>
      <w:r>
        <w:t xml:space="preserve">as the linkage gate) governs only the dormant ISM-block subspace variant, not</w:t>
      </w:r>
      <w:r>
        <w:t xml:space="preserve"> </w:t>
      </w:r>
      <w:r>
        <w:t xml:space="preserve">the shipped coordinate search. When it runs</w:t>
      </w:r>
      <w:r>
        <w:t xml:space="preserve"> </w:t>
      </w:r>
      <w:r>
        <w:t xml:space="preserve">it selects the elite_count best individuals, orders axes by descending</w:t>
      </w:r>
      <w:r>
        <w:t xml:space="preserve"> </w:t>
      </w:r>
      <w:r>
        <w:t xml:space="preserve">population standard deviation, and — round-robin from a cursor that persists across</w:t>
      </w:r>
      <w:r>
        <w:t xml:space="preserve"> </w:t>
      </w:r>
      <w:r>
        <w:t xml:space="preserve">local-search generations — probes one coordinate per elite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r>
          <m:t>δ</m:t>
        </m:r>
        <m:r>
          <m:t> 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coord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s</m:t>
        </m:r>
        <m:r>
          <m:t>t</m:t>
        </m:r>
        <m:r>
          <m:t>e</m:t>
        </m:r>
        <m:r>
          <m:t>p</m:t>
        </m:r>
        <m:r>
          <m:rPr>
            <m:sty m:val="p"/>
          </m:rPr>
          <m:t>_</m:t>
        </m:r>
        <m:r>
          <m:t>s</m:t>
        </m:r>
        <m:r>
          <m:t>c</m:t>
        </m:r>
        <m:r>
          <m:t>a</m:t>
        </m:r>
        <m:r>
          <m:t>l</m:t>
        </m:r>
        <m:r>
          <m:t>e</m:t>
        </m:r>
        <m:r>
          <m:rPr>
            <m:sty m:val="p"/>
          </m:rPr>
          <m:t>⋅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coord</m:t>
            </m:r>
          </m:sub>
        </m:sSub>
        <m:r>
          <m:rPr>
            <m:sty m:val="p"/>
          </m:rPr>
          <m:t>⋅</m:t>
        </m:r>
        <m:r>
          <m:t>s</m:t>
        </m:r>
        <m:r>
          <m:t>t</m:t>
        </m:r>
        <m:r>
          <m:t>e</m:t>
        </m:r>
        <m:r>
          <m:t>p</m:t>
        </m:r>
        <m:r>
          <m:rPr>
            <m:sty m:val="p"/>
          </m:rPr>
          <m:t>_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</m:oMath>
      <w:r>
        <w:t xml:space="preserve">, where</w:t>
      </w:r>
      <w:r>
        <w:t xml:space="preserve"> </w:t>
      </w:r>
      <w:r>
        <w:t xml:space="preserve">step_decay shrinks linearly from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over the endgame window;</w:t>
      </w:r>
      <w:r>
        <w:t xml:space="preserve"> </w:t>
      </w:r>
      <w:r>
        <w:t xml:space="preserve">probes are batch-evaluated and accepted greedily. The tier constants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20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50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100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start_frac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eval_budget_frac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elite_count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step_scale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post-search cooldown (gens)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The per-coordinate scale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coord</m:t>
            </m:r>
          </m:sub>
        </m:sSub>
      </m:oMath>
      <w:r>
        <w:t xml:space="preserve"> </w:t>
      </w:r>
      <w:r>
        <w:t xml:space="preserve">is floored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n</m:t>
        </m:r>
      </m:oMath>
      <w:r>
        <w:t xml:space="preserve"> </w:t>
      </w:r>
      <w:r>
        <w:t xml:space="preserve">(i.e. 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of each coordinate’s box width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j</m:t>
            </m:r>
          </m:sub>
        </m:sSub>
      </m:oMath>
      <w:r>
        <w:t xml:space="preserve">), not its population scale, at all tiers.</w:t>
      </w:r>
    </w:p>
    <w:bookmarkEnd w:id="151"/>
    <w:bookmarkStart w:id="152" w:name="lbl_scale_dependent_late_stage_guards"/>
    <w:p>
      <w:pPr>
        <w:pStyle w:val="Heading4"/>
      </w:pPr>
      <w:r>
        <w:t xml:space="preserve">Scale-dependent late-stage guards.</w:t>
      </w:r>
    </w:p>
    <w:p>
      <w:pPr>
        <w:pStyle w:val="FirstParagraph"/>
      </w:pPr>
      <w:r>
        <w:t xml:space="preserve">Two endgame guards share a single</w:t>
      </w:r>
      <w:r>
        <w:t xml:space="preserve"> </w:t>
      </w:r>
      <w:r>
        <w:rPr>
          <w:i/>
          <w:iCs/>
        </w:rPr>
        <w:t xml:space="preserve">absolute-scale</w:t>
      </w:r>
      <w:r>
        <w:t xml:space="preserve"> </w:t>
      </w:r>
      <w:r>
        <w:t xml:space="preserve">signal: the exponential moving</w:t>
      </w:r>
      <w:r>
        <w:t xml:space="preserve"> </w:t>
      </w:r>
      <w:r>
        <w:t xml:space="preserve">average (rate</w:t>
      </w:r>
      <w:r>
        <w:t xml:space="preserve"> </w:t>
      </w:r>
      <m:oMath>
        <m:r>
          <m:t>0.3</m:t>
        </m:r>
      </m:oMath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of the raw best-fitness drop between successive</w:t>
      </w:r>
      <w:r>
        <w:t xml:space="preserve"> </w:t>
      </w:r>
      <w:r>
        <w:t xml:space="preserve">generations. The late-accept clip activates once the consumed fraction is</w:t>
      </w:r>
      <w:r>
        <w:t xml:space="preserve"> </w:t>
      </w:r>
      <m:oMath>
        <m:r>
          <m:rPr>
            <m:sty m:val="p"/>
          </m:rPr>
          <m:t>≥</m:t>
        </m:r>
        <m:r>
          <m:t>0.85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 log-drop EMA falls below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</m:oMath>
      <w:r>
        <w:t xml:space="preserve"> </w:t>
      </w:r>
      <w:r>
        <w:t xml:space="preserve">while rolling acceptance stays</w:t>
      </w:r>
      <w:r>
        <w:t xml:space="preserve"> </w:t>
      </w:r>
      <m:oMath>
        <m:r>
          <m:rPr>
            <m:sty m:val="p"/>
          </m:rPr>
          <m:t>≥</m:t>
        </m:r>
        <m:r>
          <m:t>0.3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consecutive generations, after which accepted improvements are clipped to a relative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|</m:t>
        </m:r>
        <m:r>
          <m:t>f</m:t>
        </m:r>
        <m:r>
          <m:rPr>
            <m:sty m:val="p"/>
          </m:rPr>
          <m:t>|</m:t>
        </m:r>
      </m:oMath>
      <w:r>
        <w:t xml:space="preserve"> </w:t>
      </w:r>
      <w:r>
        <w:t xml:space="preserve">band. The frozen-broaden guard activates when the log-drop EMA</w:t>
      </w:r>
      <w:r>
        <w:t xml:space="preserve"> </w:t>
      </w:r>
      <w:r>
        <w:t xml:space="preserve">falls below</w:t>
      </w:r>
      <w:r>
        <w:t xml:space="preserve"> </w:t>
      </w:r>
      <m:oMath>
        <m:r>
          <m:rPr>
            <m:sty m:val="p"/>
          </m:rPr>
          <m:t>−</m:t>
        </m:r>
        <m:r>
          <m:t>3.0</m:t>
        </m:r>
      </m:oMath>
      <w:r>
        <w:t xml:space="preserve"> </w:t>
      </w:r>
      <w:r>
        <w:t xml:space="preserve">and acceptance stays below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generations, opening a</w:t>
      </w:r>
      <w:r>
        <w:t xml:space="preserve"> </w:t>
      </w:r>
      <m:oMath>
        <m:r>
          <m:t>20</m:t>
        </m:r>
      </m:oMath>
      <w:r>
        <w:t xml:space="preserve">-generation window that multiplies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1.5</m:t>
        </m:r>
      </m:oMath>
      <w:r>
        <w:t xml:space="preserve">. Because both activation gates</w:t>
      </w:r>
      <w:r>
        <w:t xml:space="preserve"> </w:t>
      </w:r>
      <w:r>
        <w:t xml:space="preserve">read the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log-drop — not normalized by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|</m:t>
        </m:r>
      </m:oMath>
      <w:r>
        <w:t xml:space="preserve">, span, or the</w:t>
      </w:r>
      <w:r>
        <w:t xml:space="preserve"> </w:t>
      </w:r>
      <w:r>
        <w:t xml:space="preserve">initial drop — they are objective-scale-dependent: rescaling</w:t>
      </w:r>
      <w:r>
        <w:t xml:space="preserve"> </w:t>
      </w:r>
      <m:oMath>
        <m:r>
          <m:t>f</m:t>
        </m:r>
        <m:r>
          <m:rPr>
            <m:sty m:val="p"/>
          </m:rPr>
          <m:t>↦</m:t>
        </m:r>
        <m:r>
          <m:t>c</m:t>
        </m:r>
        <m:r>
          <m:t> </m:t>
        </m:r>
        <m:r>
          <m:t>f</m:t>
        </m:r>
      </m:oMath>
      <w:r>
        <w:t xml:space="preserve"> </w:t>
      </w:r>
      <w:r>
        <w:t xml:space="preserve">shifts each</w:t>
      </w:r>
      <w:r>
        <w:t xml:space="preserve"> </w:t>
      </w:r>
      <w:r>
        <w:t xml:space="preserve">trigger by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c</m:t>
        </m:r>
      </m:oMath>
      <w:r>
        <w:t xml:space="preserve">. This is a deliberate asymmetry with the escape stall test,</w:t>
      </w:r>
      <w:r>
        <w:t xml:space="preserve"> </w:t>
      </w:r>
      <w:r>
        <w:t xml:space="preserve">which uses the scale-aware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; on the shifted-and-scaled CEC functions</w:t>
      </w:r>
      <w:r>
        <w:t xml:space="preserve"> </w:t>
      </w:r>
      <w:r>
        <w:t xml:space="preserve">these guards therefore act as tuned late-stage heuristics rather than scale-invariant</w:t>
      </w:r>
      <w:r>
        <w:t xml:space="preserve"> </w:t>
      </w:r>
      <w:r>
        <w:t xml:space="preserve">rules.</w:t>
      </w:r>
    </w:p>
    <w:bookmarkEnd w:id="152"/>
    <w:bookmarkStart w:id="153" w:name="X3d60008232c5feb3eb3d439ce5b908a54477057"/>
    <w:p>
      <w:pPr>
        <w:pStyle w:val="Heading4"/>
      </w:pPr>
      <w:r>
        <w:t xml:space="preserve">Population-size floor and callback coupling.</w:t>
      </w:r>
    </w:p>
    <w:p>
      <w:pPr>
        <w:pStyle w:val="FirstParagraph"/>
      </w:pPr>
      <w:r>
        <w:t xml:space="preserve">The NLPSR population schedule carries a minimum-size floor governor</w:t>
      </w:r>
      <w:r>
        <w:t xml:space="preserve"> </w:t>
      </w:r>
      <w:r>
        <w:t xml:space="preserve">(SPNlpsrState in the source): it raises the reduction floor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w:r>
        <w:t xml:space="preserve">example from</w:t>
      </w:r>
      <w:r>
        <w:t xml:space="preserve"> </w:t>
      </w:r>
      <m:oMath>
        <m:r>
          <m:t>25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) until either the budget fraction reaches</w:t>
      </w:r>
      <w:r>
        <w:t xml:space="preserve"> </w:t>
      </w:r>
      <m:oMath>
        <m:r>
          <m:t>0.70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linkage-commit generations have accrued. The quantity it counts is a per-generation</w:t>
      </w:r>
      <w:r>
        <w:t xml:space="preserve"> </w:t>
      </w:r>
      <w:r>
        <w:t xml:space="preserve">linkage-commit decision,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objective-evaluation sample, so despite the source</w:t>
      </w:r>
      <w:r>
        <w:t xml:space="preserve"> </w:t>
      </w:r>
      <w:r>
        <w:t xml:space="preserve">label (</w:t>
      </w:r>
      <w:r>
        <w:t xml:space="preserve">“sample-protected”</w:t>
      </w:r>
      <w:r>
        <w:t xml:space="preserve">) it protects population diversity, not evaluation samples —</w:t>
      </w:r>
      <w:r>
        <w:t xml:space="preserve"> </w:t>
      </w:r>
      <w:r>
        <w:t xml:space="preserve">it merely slows the L-SHADE-style population reduction. One reproducibility note is</w:t>
      </w:r>
      <w:r>
        <w:t xml:space="preserve"> </w:t>
      </w:r>
      <w:r>
        <w:t xml:space="preserve">worth stating explicitly: the fitness-affecting link-lift EMA read-back that feeds the</w:t>
      </w:r>
      <w:r>
        <w:t xml:space="preserve"> </w:t>
      </w:r>
      <w:r>
        <w:t xml:space="preserve">senior-widening and broaden gates runs unconditionally in the per-generation loop of the</w:t>
      </w:r>
      <w:r>
        <w:t xml:space="preserve"> </w:t>
      </w:r>
      <w:r>
        <w:t xml:space="preserve">shipped module (it was moved out of the telemetry-callback path during the</w:t>
      </w:r>
      <w:r>
        <w:t xml:space="preserve"> </w:t>
      </w:r>
      <w:r>
        <w:t xml:space="preserve">bit-identical-certified performance campaign), so its effect is present in every run and</w:t>
      </w:r>
      <w:r>
        <w:t xml:space="preserve"> </w:t>
      </w:r>
      <w:r>
        <w:t xml:space="preserve">no callback-presence divergence is possible; the release-producing revision carried the</w:t>
      </w:r>
      <w:r>
        <w:t xml:space="preserve"> </w:t>
      </w:r>
      <w:r>
        <w:t xml:space="preserve">callback-path form with identical trajectories under the released driver, whose adapter</w:t>
      </w:r>
      <w:r>
        <w:t xml:space="preserve"> </w:t>
      </w:r>
      <w:r>
        <w:t xml:space="preserve">always supplied the callback.</w:t>
      </w:r>
    </w:p>
    <w:bookmarkEnd w:id="153"/>
    <w:bookmarkEnd w:id="154"/>
    <w:bookmarkStart w:id="155" w:name="lbl_sec_repro_release"/>
    <w:p>
      <w:pPr>
        <w:pStyle w:val="Heading2"/>
      </w:pPr>
      <w:bookmarkStart w:id="299" w:name="ref_sec_repro_release"/>
      <w:r>
        <w:t xml:space="preserve">S5.10.</w:t>
      </w:r>
      <w:bookmarkEnd w:id="299"/>
      <w:r>
        <w:tab/>
      </w:r>
      <w:r>
        <w:t xml:space="preserve"> Evidence Release, Checksums, and Promotion Pipeline</w:t>
      </w:r>
    </w:p>
    <w:p>
      <w:pPr>
        <w:pStyle w:val="FirstParagraph"/>
      </w:pPr>
      <w:r>
        <w:t xml:space="preserve">All CEC2017, CEC2011 and CEC2013 values in the main paper and in this</w:t>
      </w:r>
      <w:r>
        <w:t xml:space="preserve"> </w:t>
      </w:r>
      <w:r>
        <w:t xml:space="preserve">Supplementary Material derive from the promoted, read-only primary</w:t>
      </w:r>
      <w:r>
        <w:t xml:space="preserve"> </w:t>
      </w:r>
      <w:r>
        <w:t xml:space="preserve">evidence release accompanying this article (release</w:t>
      </w:r>
      <w:r>
        <w:t xml:space="preserve"> </w:t>
      </w:r>
      <w:r>
        <w:t xml:space="preserve">rel-2026-07-20-67d9345f9, anchor commit</w:t>
      </w:r>
      <w:r>
        <w:t xml:space="preserve"> </w:t>
      </w:r>
      <w:r>
        <w:t xml:space="preserve">67d9345f9502a9a584e645fa8948f60a61d70e29), whose manifest</w:t>
      </w:r>
      <w:r>
        <w:t xml:space="preserve"> </w:t>
      </w:r>
      <w:r>
        <w:t xml:space="preserve">records a SHA-256 checksum for every one of its 3</w:t>
      </w:r>
      <w:r>
        <w:t xml:space="preserve">,</w:t>
      </w:r>
      <w:r>
        <w:t xml:space="preserve">403 files (per-run</w:t>
      </w:r>
      <w:r>
        <w:t xml:space="preserve"> </w:t>
      </w:r>
      <w:r>
        <w:t xml:space="preserve">CSVs, seed schedules, per-generation checkpoint logs, summary CSVs, and</w:t>
      </w:r>
      <w:r>
        <w:t xml:space="preserve"> </w:t>
      </w:r>
      <w:r>
        <w:t xml:space="preserve">environment/verification records for all 21 (suite, optimizer) cells);</w:t>
      </w:r>
      <w:r>
        <w:t xml:space="preserve"> </w:t>
      </w:r>
      <w:r>
        <w:t xml:space="preserve">the CEC2013LSGO and CEC2020 values derive from the two separate,</w:t>
      </w:r>
      <w:r>
        <w:t xml:space="preserve"> </w:t>
      </w:r>
      <w:r>
        <w:t xml:space="preserve">non-superseding releases identified in Sections S7 and S8</w:t>
      </w:r>
      <w:r>
        <w:t xml:space="preserve"> </w:t>
      </w:r>
      <w:r>
        <w:t xml:space="preserve">(lsgo-rel-2026-07-28-ff1a046ef, 173 files;</w:t>
      </w:r>
      <w:r>
        <w:t xml:space="preserve"> </w:t>
      </w:r>
      <w:r>
        <w:t xml:space="preserve">cec2020-rel-2026-07-29-5867abe1e, 336 files), each carrying its own</w:t>
      </w:r>
      <w:r>
        <w:t xml:space="preserve"> </w:t>
      </w:r>
      <w:r>
        <w:t xml:space="preserve">SHA-256 manifest; and the Section S6 component study derives from the</w:t>
      </w:r>
      <w:r>
        <w:t xml:space="preserve"> </w:t>
      </w:r>
      <w:r>
        <w:t xml:space="preserve">immutable ablation release identified there.</w:t>
      </w:r>
    </w:p>
    <w:p>
      <w:pPr>
        <w:pStyle w:val="BodyText"/>
      </w:pPr>
      <w:r>
        <w:t xml:space="preserve">The derived statistical artifacts behind every table and figure —</w:t>
      </w:r>
      <w:r>
        <w:t xml:space="preserve"> </w:t>
      </w:r>
      <w:r>
        <w:t xml:space="preserve">descriptive statistics, Wilcoxon/Holm, Friedman/Iman–Davenport,</w:t>
      </w:r>
      <w:r>
        <w:t xml:space="preserve"> </w:t>
      </w:r>
      <w:r>
        <w:t xml:space="preserve">Nemenyi, effect sizes, and bootstrap outputs — are versioned as</w:t>
      </w:r>
      <w:r>
        <w:t xml:space="preserve"> </w:t>
      </w:r>
      <w:r>
        <w:t xml:space="preserve">checksummed analysis bundles in the repository, and every exhibit is</w:t>
      </w:r>
      <w:r>
        <w:t xml:space="preserve"> </w:t>
      </w:r>
      <w:r>
        <w:t xml:space="preserve">bound to its authoritative CSV</w:t>
      </w:r>
      <w:r>
        <w:t xml:space="preserve"> </w:t>
      </w:r>
      <w:r>
        <w:t xml:space="preserve">sources, generator command, and output checksum in</w:t>
      </w:r>
      <w:r>
        <w:t xml:space="preserve"> </w:t>
      </w:r>
      <w:r>
        <w:t xml:space="preserve">the artifact-binding manifest (artifact_binding.csv).</w:t>
      </w:r>
    </w:p>
    <w:p>
      <w:pPr>
        <w:pStyle w:val="BodyText"/>
      </w:pPr>
      <w:r>
        <w:t xml:space="preserve">Seeded stochastic analyses are themselves reproducible: the bootstrap</w:t>
      </w:r>
      <w:r>
        <w:t xml:space="preserve"> </w:t>
      </w:r>
      <w:r>
        <w:t xml:space="preserve">BCa rank-stability intervals of Table </w:t>
      </w:r>
      <w:r>
        <w:fldChar w:fldCharType="begin"/>
      </w:r>
      <w:r>
        <w:instrText xml:space="preserve"> REF ref_tab_bca_ci \h </w:instrText>
      </w:r>
      <w:r>
        <w:fldChar w:fldCharType="separate"/>
      </w:r>
      <w:r>
        <w:t xml:space="preserve">A17</w:t>
      </w:r>
      <w:r>
        <w:fldChar w:fldCharType="end"/>
      </w:r>
      <w:r>
        <w:t xml:space="preserve"> use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boot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under</w:t>
      </w:r>
      <w:r>
        <w:t xml:space="preserve"> </w:t>
      </w:r>
      <w:r>
        <w:t xml:space="preserve">base seed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260</m:t>
        </m:r>
        <m:r>
          <m:rPr>
            <m:sty m:val="p"/>
          </m:rPr>
          <m:t>,</m:t>
        </m:r>
        <m:r>
          <m:t>422</m:t>
        </m:r>
      </m:oMath>
      <w:r>
        <w:t xml:space="preserve"> </w:t>
      </w:r>
      <w:r>
        <w:t xml:space="preserve">and re-derive byte-identically.</w:t>
      </w:r>
    </w:p>
    <w:p>
      <w:pPr>
        <w:pStyle w:val="BodyText"/>
      </w:pPr>
      <w:r>
        <w:t xml:space="preserve">The software state itself is attested rather than asserted. The full test</w:t>
      </w:r>
      <w:r>
        <w:t xml:space="preserve"> </w:t>
      </w:r>
      <w:r>
        <w:t xml:space="preserve">suite (603 tests) and every release gate — build hygiene,</w:t>
      </w:r>
      <w:r>
        <w:t xml:space="preserve"> </w:t>
      </w:r>
      <w:r>
        <w:t xml:space="preserve">provenance-claim consistency, cross-format parity, and both Word validators —</w:t>
      </w:r>
      <w:r>
        <w:t xml:space="preserve"> </w:t>
      </w:r>
      <w:r>
        <w:t xml:space="preserve">were executed twice and completed with zero failures, on an interpreter</w:t>
      </w:r>
      <w:r>
        <w:t xml:space="preserve"> </w:t>
      </w:r>
      <w:r>
        <w:t xml:space="preserve">(Python 3.10.11) and dependency set verified to lie inside the support</w:t>
      </w:r>
      <w:r>
        <w:t xml:space="preserve"> </w:t>
      </w:r>
      <w:r>
        <w:t xml:space="preserve">envelope declared in pyproject.toml; a green suite on an</w:t>
      </w:r>
      <w:r>
        <w:t xml:space="preserve"> </w:t>
      </w:r>
      <w:r>
        <w:t xml:space="preserve">out-of-envelope stack would attest nothing about the supported configuration.</w:t>
      </w:r>
      <w:r>
        <w:t xml:space="preserve"> </w:t>
      </w:r>
      <w:r>
        <w:t xml:space="preserve">The record, with both JUnit XML reports and the resolved package versions, is</w:t>
      </w:r>
      <w:r>
        <w:t xml:space="preserve"> </w:t>
      </w:r>
      <w:r>
        <w:t xml:space="preserve">papers/governance/environment_attestation/, and is regenerated by</w:t>
      </w:r>
      <w:r>
        <w:t xml:space="preserve"> </w:t>
      </w:r>
      <w:r>
        <w:t xml:space="preserve">papers/scripts/make_environment_attestation.py, which refuses to</w:t>
      </w:r>
      <w:r>
        <w:t xml:space="preserve"> </w:t>
      </w:r>
      <w:r>
        <w:t xml:space="preserve">emit a green record unless all three conditions hold.</w:t>
      </w:r>
    </w:p>
    <w:p>
      <w:pPr>
        <w:pStyle w:val="BodyText"/>
      </w:pPr>
      <w:r>
        <w:t xml:space="preserve">Two pipeline rules govern what may be cited. First, the</w:t>
      </w:r>
      <w:r>
        <w:t xml:space="preserve"> </w:t>
      </w:r>
      <w:r>
        <w:rPr>
          <w:i/>
          <w:iCs/>
        </w:rPr>
        <w:t xml:space="preserve">promotion rule</w:t>
      </w:r>
      <w:r>
        <w:t xml:space="preserve">: new or independently reproduced runs land in the</w:t>
      </w:r>
      <w:r>
        <w:t xml:space="preserve"> </w:t>
      </w:r>
      <w:r>
        <w:t xml:space="preserve">results/ staging area, which is never citable; staging data</w:t>
      </w:r>
      <w:r>
        <w:t xml:space="preserve"> </w:t>
      </w:r>
      <w:r>
        <w:t xml:space="preserve">enters evidence only through the controlled promotion tool</w:t>
      </w:r>
      <w:r>
        <w:t xml:space="preserve"> </w:t>
      </w:r>
      <w:r>
        <w:t xml:space="preserve">(scripts/promote_evidence.py), which mints a new versioned</w:t>
      </w:r>
      <w:r>
        <w:t xml:space="preserve"> </w:t>
      </w:r>
      <w:r>
        <w:t xml:space="preserve">release identifier, so the released tree is immutable and every number</w:t>
      </w:r>
      <w:r>
        <w:t xml:space="preserve"> </w:t>
      </w:r>
      <w:r>
        <w:t xml:space="preserve">is traceable to exactly one release.</w:t>
      </w:r>
    </w:p>
    <w:p>
      <w:pPr>
        <w:pStyle w:val="BodyText"/>
      </w:pPr>
      <w:r>
        <w:t xml:space="preserve">Second, the</w:t>
      </w:r>
      <w:r>
        <w:t xml:space="preserve"> </w:t>
      </w:r>
      <w:r>
        <w:rPr>
          <w:i/>
          <w:iCs/>
        </w:rPr>
        <w:t xml:space="preserve">strict-source rule</w:t>
      </w:r>
      <w:r>
        <w:t xml:space="preserve">: per-run quantities may be read</w:t>
      </w:r>
      <w:r>
        <w:t xml:space="preserve"> </w:t>
      </w:r>
      <w:r>
        <w:t xml:space="preserve">only from the release’s per_run.csv files, with a single</w:t>
      </w:r>
      <w:r>
        <w:t xml:space="preserve"> </w:t>
      </w:r>
      <w:r>
        <w:t xml:space="preserve">sanctioned, audited exception — for APGSK on CEC2017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50</m:t>
        </m:r>
      </m:oMath>
      <w:r>
        <w:t xml:space="preserve">, where the per-run sidecar was overwritten by a later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-only invocation, the per-run source is the final-checkpoint</w:t>
      </w:r>
      <w:r>
        <w:t xml:space="preserve"> </w:t>
      </w:r>
      <w:r>
        <w:t xml:space="preserve">column of the corresponding per-generation logs, whose equivalence was</w:t>
      </w:r>
      <w:r>
        <w:t xml:space="preserve"> </w:t>
      </w:r>
      <w:r>
        <w:t xml:space="preserve">verified during the evidence audit (all 580 recomputed summary</w:t>
      </w:r>
      <w:r>
        <w:t xml:space="preserve"> </w:t>
      </w:r>
      <w:r>
        <w:t xml:space="preserve">statistics and all 5</w:t>
      </w:r>
      <w:r>
        <w:t xml:space="preserve">,</w:t>
      </w:r>
      <w:r>
        <w:t xml:space="preserve">916 recomputed seeds match).</w:t>
      </w:r>
    </w:p>
    <w:p>
      <w:pPr>
        <w:pStyle w:val="BodyText"/>
      </w:pPr>
      <w:r>
        <w:t xml:space="preserve">No missing value was ever imputed, and no measured quantity in any</w:t>
      </w:r>
      <w:r>
        <w:t xml:space="preserve"> </w:t>
      </w:r>
      <w:r>
        <w:t xml:space="preserve">released file was ever edited by hand: every per-run CSV, summary table</w:t>
      </w:r>
      <w:r>
        <w:t xml:space="preserve"> </w:t>
      </w:r>
      <w:r>
        <w:t xml:space="preserve">and seed schedule in every release is the machine-minted output of the run</w:t>
      </w:r>
      <w:r>
        <w:t xml:space="preserve"> </w:t>
      </w:r>
      <w:r>
        <w:t xml:space="preserve">— or, in one recovered case, of the audited recovery tool — that</w:t>
      </w:r>
      <w:r>
        <w:t xml:space="preserve"> </w:t>
      </w:r>
      <w:r>
        <w:t xml:space="preserve">produced it, re-hashed after promotion. Three released-file histories</w:t>
      </w:r>
      <w:r>
        <w:t xml:space="preserve"> </w:t>
      </w:r>
      <w:r>
        <w:t xml:space="preserve">postdate their original emission and are named here rather than left</w:t>
      </w:r>
      <w:r>
        <w:t xml:space="preserve"> </w:t>
      </w:r>
      <w:r>
        <w:t xml:space="preserve">implicit. First, the APGSK CEC2017 per-run file: its lost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rows were restored by the validated deterministic recovery</w:t>
      </w:r>
      <w:r>
        <w:t xml:space="preserve"> </w:t>
      </w:r>
      <w:r>
        <w:t xml:space="preserve">registered as change request CR-0006, and the restored rows reproduce the</w:t>
      </w:r>
      <w:r>
        <w:t xml:space="preserve"> </w:t>
      </w:r>
      <w:r>
        <w:t xml:space="preserve">frozen summary statistics exactly. Second, two overlay documentation</w:t>
      </w:r>
      <w:r>
        <w:t xml:space="preserve"> </w:t>
      </w:r>
      <w:r>
        <w:t xml:space="preserve">files of the ablation release were regenerated against the 51-run results</w:t>
      </w:r>
      <w:r>
        <w:t xml:space="preserve"> </w:t>
      </w:r>
      <w:r>
        <w:t xml:space="preserve">under that release’s dated amendment A1 — a documentation-only</w:t>
      </w:r>
      <w:r>
        <w:t xml:space="preserve"> </w:t>
      </w:r>
      <w:r>
        <w:t xml:space="preserve">amendment with zero data files changed. Third, the CEC2013LSGO release</w:t>
      </w:r>
      <w:r>
        <w:t xml:space="preserve"> </w:t>
      </w:r>
      <w:r>
        <w:t xml:space="preserve">carries files authored at promotion rather than emitted by a run: the</w:t>
      </w:r>
      <w:r>
        <w:t xml:space="preserve"> </w:t>
      </w:r>
      <w:r>
        <w:t xml:space="preserve">provenance sidecars recording the transformed Ackley variant used on F3,</w:t>
      </w:r>
      <w:r>
        <w:t xml:space="preserve"> </w:t>
      </w:r>
      <w:r>
        <w:t xml:space="preserve">F6 and F10, and the promotion notes that replace that suite’s</w:t>
      </w:r>
      <w:r>
        <w:t xml:space="preserve"> </w:t>
      </w:r>
      <w:r>
        <w:t xml:space="preserve">verification verdicts, where no reference bank exists to compare against,</w:t>
      </w:r>
      <w:r>
        <w:t xml:space="preserve"> </w:t>
      </w:r>
      <w:r>
        <w:t xml:space="preserve">with an explicit not-verified/no-reference verdict rather than a vacuous</w:t>
      </w:r>
      <w:r>
        <w:t xml:space="preserve"> </w:t>
      </w:r>
      <w:r>
        <w:t xml:space="preserve">consistent one, the staging originals being left unmodified. None of the</w:t>
      </w:r>
      <w:r>
        <w:t xml:space="preserve"> </w:t>
      </w:r>
      <w:r>
        <w:t xml:space="preserve">three histories touches a measured value, and the current generation of</w:t>
      </w:r>
      <w:r>
        <w:t xml:space="preserve"> </w:t>
      </w:r>
      <w:r>
        <w:t xml:space="preserve">every released file is minted by the pipeline’s own tools.</w:t>
      </w:r>
    </w:p>
    <w:p>
      <w:pPr>
        <w:pStyle w:val="BodyText"/>
      </w:pPr>
      <w:r>
        <w:t xml:space="preserve">One provenance qualification is restated from the main paper: the</w:t>
      </w:r>
      <w:r>
        <w:t xml:space="preserve"> </w:t>
      </w:r>
      <w:r>
        <w:t xml:space="preserve">eGSK panel cells are produced in-repository by the runnable eGSK</w:t>
      </w:r>
      <w:r>
        <w:t xml:space="preserve"> </w:t>
      </w:r>
      <w:r>
        <w:t xml:space="preserve">port, whose late local polish substitutes a SciPy-SLSQP solver for the</w:t>
      </w:r>
      <w:r>
        <w:t xml:space="preserve"> </w:t>
      </w:r>
      <w:r>
        <w:t xml:space="preserve">reference implementation’s MATLAB fmincon polish, with no numerical-equivalence</w:t>
      </w:r>
      <w:r>
        <w:t xml:space="preserve"> </w:t>
      </w:r>
      <w:r>
        <w:t xml:space="preserve">claim between the two backends; cross-implementation runtime and</w:t>
      </w:r>
      <w:r>
        <w:t xml:space="preserve"> </w:t>
      </w:r>
      <w:r>
        <w:t xml:space="preserve">environment comparability is therefore limited, and no</w:t>
      </w:r>
      <w:r>
        <w:t xml:space="preserve"> </w:t>
      </w:r>
      <w:r>
        <w:t xml:space="preserve">runtime-superiority claim involving eGSK is made anywhere in this paper.</w:t>
      </w:r>
    </w:p>
    <w:bookmarkEnd w:id="155"/>
    <w:bookmarkEnd w:id="156"/>
    <w:bookmarkStart w:id="175" w:name="lbl_sec_supp_ablation"/>
    <w:p>
      <w:pPr>
        <w:pStyle w:val="Heading1"/>
      </w:pPr>
      <w:bookmarkStart w:id="300" w:name="ref_sec_supp_ablation"/>
      <w:r>
        <w:t xml:space="preserve">S6.</w:t>
      </w:r>
      <w:bookmarkEnd w:id="300"/>
      <w:r>
        <w:tab/>
      </w:r>
      <w:r>
        <w:t xml:space="preserve"> Component-Contribution Study: Scaffold Remove-One Ablation</w:t>
      </w:r>
    </w:p>
    <w:p>
      <w:pPr>
        <w:pStyle w:val="FirstParagraph"/>
      </w:pPr>
      <w:r>
        <w:t xml:space="preserve">This section reports the component-level study that the main text reserves</w:t>
      </w:r>
      <w:r>
        <w:t xml:space="preserve"> </w:t>
      </w:r>
      <w:r>
        <w:t xml:space="preserve">for a follow-up supplement after the final algorithm freeze. It is a</w:t>
      </w:r>
      <w:r>
        <w:t xml:space="preserve"> </w:t>
      </w:r>
      <w:r>
        <w:t xml:space="preserve">deferred, supplement-only analysis: its design was prespecified before any</w:t>
      </w:r>
      <w:r>
        <w:t xml:space="preserve"> </w:t>
      </w:r>
      <w:r>
        <w:t xml:space="preserve">ablation was run, and it is reported here only after the primary manuscript</w:t>
      </w:r>
      <w:r>
        <w:t xml:space="preserve"> </w:t>
      </w:r>
      <w:r>
        <w:t xml:space="preserve">and its evidence release were frozen. It</w:t>
      </w:r>
      <w:r>
        <w:t xml:space="preserve"> </w:t>
      </w:r>
      <w:r>
        <w:t xml:space="preserve">changes no primary number, claim, equation, label, or figure; it adds a new,</w:t>
      </w:r>
      <w:r>
        <w:t xml:space="preserve"> </w:t>
      </w:r>
      <w:r>
        <w:t xml:space="preserve">separately released body of evidence. Every value below derives from the</w:t>
      </w:r>
      <w:r>
        <w:t xml:space="preserve"> </w:t>
      </w:r>
      <w:r>
        <w:t xml:space="preserve">single immutable ablation release abl-rel-2026-07-20, whose manifest</w:t>
      </w:r>
      <w:r>
        <w:t xml:space="preserve"> </w:t>
      </w:r>
      <w:r>
        <w:t xml:space="preserve">records a SHA-256 checksum for each of its 1</w:t>
      </w:r>
      <w:r>
        <w:t xml:space="preserve">,</w:t>
      </w:r>
      <w:r>
        <w:t xml:space="preserve">297 files, and which is</w:t>
      </w:r>
      <w:r>
        <w:t xml:space="preserve"> </w:t>
      </w:r>
      <w:r>
        <w:t xml:space="preserve">distinct from — and held separately in the repository from — the primary</w:t>
      </w:r>
      <w:r>
        <w:t xml:space="preserve"> </w:t>
      </w:r>
      <w:r>
        <w:t xml:space="preserve">evidence release, and is read under the same strict-source discipline.</w:t>
      </w:r>
    </w:p>
    <w:bookmarkStart w:id="159" w:name="lbl_sec_supp_ablation_design"/>
    <w:p>
      <w:pPr>
        <w:pStyle w:val="Heading2"/>
      </w:pPr>
      <w:bookmarkStart w:id="301" w:name="ref_sec_supp_ablation_design"/>
      <w:r>
        <w:t xml:space="preserve">S6.1.</w:t>
      </w:r>
      <w:bookmarkEnd w:id="301"/>
      <w:r>
        <w:tab/>
      </w:r>
      <w:r>
        <w:t xml:space="preserve"> Remove-One Design</w:t>
      </w:r>
    </w:p>
    <w:p>
      <w:pPr>
        <w:pStyle w:val="FirstParagraph"/>
      </w:pPr>
      <w:r>
        <w:t xml:space="preserve">The study removes one scaffold component at a time from the full frozen</w:t>
      </w:r>
      <w:r>
        <w:t xml:space="preserve"> </w:t>
      </w:r>
      <w:r>
        <w:t xml:space="preserve">configuration and measures the resulting change in performance, with the</w:t>
      </w:r>
      <w:r>
        <w:t xml:space="preserve"> </w:t>
      </w:r>
      <w:r>
        <w:t xml:space="preserve">interaction-structure memory (ISM) held</w:t>
      </w:r>
      <w:r>
        <w:t xml:space="preserve"> </w:t>
      </w:r>
      <w:r>
        <w:rPr>
          <w:i/>
          <w:iCs/>
        </w:rPr>
        <w:t xml:space="preserve">off</w:t>
      </w:r>
      <w:r>
        <w:t xml:space="preserve"> </w:t>
      </w:r>
      <w:r>
        <w:t xml:space="preserve">in every cell. Seven</w:t>
      </w:r>
      <w:r>
        <w:t xml:space="preserve"> </w:t>
      </w:r>
      <w:r>
        <w:t xml:space="preserve">cells are compared: a baseline full-scaffold cell and six remove-one</w:t>
      </w:r>
      <w:r>
        <w:t xml:space="preserve"> </w:t>
      </w:r>
      <w:r>
        <w:t xml:space="preserve">cells that each disable exactly one component — ACE operator control</w:t>
      </w:r>
      <w:r>
        <w:t xml:space="preserve"> </w:t>
      </w:r>
      <w:r>
        <w:t xml:space="preserve">(no_ace), NLPSR population reduction (no_psr),</w:t>
      </w:r>
      <w:r>
        <w:t xml:space="preserve"> </w:t>
      </w:r>
      <w:r>
        <w:t xml:space="preserve">budget-safe escape (no_bse), linkage-aware block crossover</w:t>
      </w:r>
      <w:r>
        <w:t xml:space="preserve"> </w:t>
      </w:r>
      <w:r>
        <w:t xml:space="preserve">(no_linkage), the charged coordinate local search</w:t>
      </w:r>
      <w:r>
        <w:t xml:space="preserve"> </w:t>
      </w:r>
      <w:r>
        <w:t xml:space="preserve">(no_localsearch), and the distance-filtered diversity archive</w:t>
      </w:r>
      <w:r>
        <w:t xml:space="preserve"> </w:t>
      </w:r>
      <w:r>
        <w:t xml:space="preserve">(no_arch).</w:t>
      </w:r>
    </w:p>
    <w:p>
      <w:pPr>
        <w:pStyle w:val="BodyText"/>
      </w:pPr>
      <w:r>
        <w:t xml:space="preserve">All seven cells share one frozen protocol: CEC2017 with the 29 scored</w:t>
      </w:r>
      <w:r>
        <w:t xml:space="preserve"> </w:t>
      </w:r>
      <w:r>
        <w:t xml:space="preserve">functions (F1, F3–F30; F2 excluded),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t>D</m:t>
        </m:r>
      </m:oMath>
      <w:r>
        <w:t xml:space="preserve"> </w:t>
      </w:r>
      <w:r>
        <w:fldChar w:fldCharType="begin"/>
      </w:r>
      <w:r>
        <w:instrText xml:space="preserve"> CITATION awad2016problem \l 1033 </w:instrText>
      </w:r>
      <w:r>
        <w:fldChar w:fldCharType="separate"/>
      </w:r>
      <w:r>
        <w:t xml:space="preserve">[1]</w:t>
      </w:r>
      <w:r>
        <w:fldChar w:fldCharType="end"/>
      </w:r>
      <w:r>
        <w:t xml:space="preserve">, and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runs per</w:t>
      </w:r>
      <w:r>
        <w:t xml:space="preserve"> </w:t>
      </w:r>
      <w:r>
        <w:t xml:space="preserve">(cell, function, dimension), matching the primary panel’s run count. The</w:t>
      </w:r>
      <w:r>
        <w:t xml:space="preserve"> </w:t>
      </w:r>
      <w:r>
        <w:t xml:space="preserve">base seed is</w:t>
      </w:r>
      <w:r>
        <w:t xml:space="preserve"> </w:t>
      </w:r>
      <m:oMath>
        <m:r>
          <m:t>20240620</m:t>
        </m:r>
      </m:oMath>
      <w:r>
        <w:t xml:space="preserve"> </w:t>
      </w:r>
      <w:r>
        <w:t xml:space="preserve">under the unified/threefry schedule; because the seed</w:t>
      </w:r>
      <w:r>
        <w:t xml:space="preserve"> </w:t>
      </w:r>
      <w:r>
        <w:t xml:space="preserve">schedule contains no cell or algorithm term, all seven cells share identical</w:t>
      </w:r>
      <w:r>
        <w:t xml:space="preserve"> </w:t>
      </w:r>
      <w:r>
        <w:t xml:space="preserve">seeds and identical initial populations per (dimension, function, run), so</w:t>
      </w:r>
      <w:r>
        <w:t xml:space="preserve"> </w:t>
      </w:r>
      <w:r>
        <w:t xml:space="preserve">every full-vs-cell contrast is paired by construction (common random</w:t>
      </w:r>
      <w:r>
        <w:t xml:space="preserve"> </w:t>
      </w:r>
      <w:r>
        <w:t xml:space="preserve">numbers). Identical evaluator, environment, and floating-point regime hold</w:t>
      </w:r>
      <w:r>
        <w:t xml:space="preserve"> </w:t>
      </w:r>
      <w:r>
        <w:t xml:space="preserve">across cells; equality of the objective-call budget across cells is a</w:t>
      </w:r>
      <w:r>
        <w:t xml:space="preserve"> </w:t>
      </w:r>
      <w:r>
        <w:t xml:space="preserve">validity gate, not a result.</w:t>
      </w:r>
    </w:p>
    <w:bookmarkStart w:id="157" w:name="lbl_scope_ism_is_off_in_every_cell"/>
    <w:p>
      <w:pPr>
        <w:pStyle w:val="Heading4"/>
      </w:pPr>
      <w:r>
        <w:t xml:space="preserve">Scope: ISM is off in every cell.</w:t>
      </w:r>
    </w:p>
    <w:p>
      <w:pPr>
        <w:pStyle w:val="FirstParagraph"/>
      </w:pPr>
      <w:r>
        <w:t xml:space="preserve">The interaction-structure memory is disabled</w:t>
      </w:r>
      <w:r>
        <w:t xml:space="preserve"> </w:t>
      </w:r>
      <w:r>
        <w:t xml:space="preserve">(interaction_graph_enabled = false) in all seven cells, including</w:t>
      </w:r>
      <w:r>
        <w:t xml:space="preserve"> </w:t>
      </w:r>
      <w:r>
        <w:t xml:space="preserve">baseline.</w:t>
      </w:r>
      <w:r>
        <w:t xml:space="preserve"> </w:t>
      </w:r>
      <w:r>
        <w:rPr>
          <w:b/>
          <w:bCs/>
        </w:rPr>
        <w:t xml:space="preserve">This study therefore cannot establish the effect</w:t>
      </w:r>
      <w:r>
        <w:rPr>
          <w:b/>
          <w:bCs/>
        </w:rPr>
        <w:t xml:space="preserve"> </w:t>
      </w:r>
      <w:r>
        <w:rPr>
          <w:b/>
          <w:bCs/>
        </w:rPr>
        <w:t xml:space="preserve">of the ISM overlay</w:t>
      </w:r>
      <w:r>
        <w:t xml:space="preserve">; the direct ISM contribution is a separate design</w:t>
      </w:r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ref_sec_supp_ablation_sgsm \h </w:instrText>
      </w:r>
      <w:r>
        <w:fldChar w:fldCharType="separate"/>
      </w:r>
      <w:r>
        <w:t xml:space="preserve">S6.5</w:t>
      </w:r>
      <w:r>
        <w:fldChar w:fldCharType="end"/>
      </w:r>
      <w:r>
        <w:t xml:space="preserve">). Every delta reported here is</w:t>
      </w:r>
      <w:r>
        <w:t xml:space="preserve"> </w:t>
      </w:r>
      <w:r>
        <w:t xml:space="preserve">conditional on ISM off.</w:t>
      </w:r>
    </w:p>
    <w:bookmarkEnd w:id="157"/>
    <w:bookmarkStart w:id="158" w:name="X7513cf11a59478540e080887ef4b4a04633bd2d"/>
    <w:p>
      <w:pPr>
        <w:pStyle w:val="Heading4"/>
      </w:pPr>
      <w:r>
        <w:t xml:space="preserve">Mandatory coupling and exclusion disclosures.</w:t>
      </w:r>
    </w:p>
    <w:p>
      <w:pPr>
        <w:pStyle w:val="FirstParagraph"/>
      </w:pPr>
      <w:r>
        <w:t xml:space="preserve">Two documented couplings qualify the cells. First, disabling the archive</w:t>
      </w:r>
      <w:r>
        <w:t xml:space="preserve"> </w:t>
      </w:r>
      <w:r>
        <w:t xml:space="preserve">(no_arch) also removes the archive-injection seed source that</w:t>
      </w:r>
      <w:r>
        <w:t xml:space="preserve"> </w:t>
      </w:r>
      <w:r>
        <w:t xml:space="preserve">budget-safe escape draws on, although BSE still fires its Cauchy rescue; the</w:t>
      </w:r>
      <w:r>
        <w:t xml:space="preserve"> </w:t>
      </w:r>
      <w:r>
        <w:t xml:space="preserve">no_arch delta is thus the archive</w:t>
      </w:r>
      <w:r>
        <w:t xml:space="preserve"> </w:t>
      </w:r>
      <w:r>
        <w:rPr>
          <w:i/>
          <w:iCs/>
        </w:rPr>
        <w:t xml:space="preserve">together with</w:t>
      </w:r>
      <w:r>
        <w:t xml:space="preserve"> </w:t>
      </w:r>
      <w:r>
        <w:t xml:space="preserve">its role as a</w:t>
      </w:r>
      <w:r>
        <w:t xml:space="preserve"> </w:t>
      </w:r>
      <w:r>
        <w:t xml:space="preserve">restart seed pool, a real algorithmic dependency rather than a toggle leak.</w:t>
      </w:r>
      <w:r>
        <w:t xml:space="preserve"> </w:t>
      </w:r>
      <w:r>
        <w:t xml:space="preserve">Second, disabling BSE (no_bse)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disable the separate</w:t>
      </w:r>
      <w:r>
        <w:t xml:space="preserve"> </w:t>
      </w:r>
      <w:r>
        <w:t xml:space="preserve">deep-stall restart, which remains active in that cell, so no_bse is</w:t>
      </w:r>
      <w:r>
        <w:t xml:space="preserve"> </w:t>
      </w:r>
      <w:r>
        <w:t xml:space="preserve">not a</w:t>
      </w:r>
      <w:r>
        <w:t xml:space="preserve"> </w:t>
      </w:r>
      <w:r>
        <w:t xml:space="preserve">“no-escape”</w:t>
      </w:r>
      <w:r>
        <w:t xml:space="preserve"> </w:t>
      </w:r>
      <w:r>
        <w:t xml:space="preserve">condition. Three further frozen flags are prespecified</w:t>
      </w:r>
      <w:r>
        <w:t xml:space="preserve"> </w:t>
      </w:r>
      <w:r>
        <w:t xml:space="preserve">exclusions from this matrix — the ARGP pool-pruning control, the</w:t>
      </w:r>
      <w:r>
        <w:t xml:space="preserve"> </w:t>
      </w:r>
      <w:r>
        <w:t xml:space="preserve">ISM-dependent final polish (whose contribution belongs to the ISM-overlay</w:t>
      </w:r>
      <w:r>
        <w:t xml:space="preserve"> </w:t>
      </w:r>
      <w:r>
        <w:t xml:space="preserve">design, Section </w:t>
      </w:r>
      <w:r>
        <w:fldChar w:fldCharType="begin"/>
      </w:r>
      <w:r>
        <w:instrText xml:space="preserve"> REF ref_sec_supp_ablation_sgsm \h </w:instrText>
      </w:r>
      <w:r>
        <w:fldChar w:fldCharType="separate"/>
      </w:r>
      <w:r>
        <w:t xml:space="preserve">S6.5</w:t>
      </w:r>
      <w:r>
        <w:fldChar w:fldCharType="end"/>
      </w:r>
      <w:r>
        <w:t xml:space="preserve">), and the deep-stall restart</w:t>
      </w:r>
      <w:r>
        <w:t xml:space="preserve"> </w:t>
      </w:r>
      <w:r>
        <w:t xml:space="preserve">(which overlaps BSE) — and no contribution of any sign is claimed for those</w:t>
      </w:r>
      <w:r>
        <w:t xml:space="preserve"> </w:t>
      </w:r>
      <w:r>
        <w:t xml:space="preserve">three from this scaffold matrix.</w:t>
      </w:r>
    </w:p>
    <w:bookmarkEnd w:id="158"/>
    <w:bookmarkEnd w:id="159"/>
    <w:bookmarkStart w:id="165" w:name="lbl_sec_supp_ablation_stats"/>
    <w:p>
      <w:pPr>
        <w:pStyle w:val="Heading2"/>
      </w:pPr>
      <w:bookmarkStart w:id="302" w:name="ref_sec_supp_ablation_stats"/>
      <w:r>
        <w:t xml:space="preserve">S6.2.</w:t>
      </w:r>
      <w:bookmarkEnd w:id="302"/>
      <w:r>
        <w:tab/>
      </w:r>
      <w:r>
        <w:t xml:space="preserve"> Statistical Treatment</w:t>
      </w:r>
    </w:p>
    <w:p>
      <w:pPr>
        <w:pStyle w:val="FirstParagraph"/>
      </w:pPr>
      <w:r>
        <w:t xml:space="preserve">Per dimension, the seven cells are ranked over the common 29-function set by</w:t>
      </w:r>
      <w:r>
        <w:t xml:space="preserve"> </w:t>
      </w:r>
      <w:r>
        <w:t xml:space="preserve">the Friedman test </w:t>
      </w:r>
      <w:r>
        <w:fldChar w:fldCharType="begin"/>
      </w:r>
      <w:r>
        <w:instrText xml:space="preserve"> CITATION friedman1937use \l 1033 \m demsar2006statistical </w:instrText>
      </w:r>
      <w:r>
        <w:fldChar w:fldCharType="separate"/>
      </w:r>
      <w:r>
        <w:t xml:space="preserve">[8,9]</w:t>
      </w:r>
      <w:r>
        <w:fldChar w:fldCharType="end"/>
      </w:r>
      <w:r>
        <w:t xml:space="preserve"> on the</w:t>
      </w:r>
      <w:r>
        <w:t xml:space="preserve"> </w:t>
      </w:r>
      <w:r>
        <w:t xml:space="preserve">per-function mean final error (lower rank is better). The omnibus</w:t>
      </w:r>
      <w:r>
        <w:t xml:space="preserve"> </w:t>
      </w:r>
      <m:oMath>
        <m:r>
          <m:t>p</m:t>
        </m:r>
      </m:oMath>
      <w:r>
        <w:t xml:space="preserve">-value is reported as the Iman–Davenport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tie-corrected</w:t>
      </w:r>
      <w:r>
        <w:t xml:space="preserve"> </w:t>
      </w:r>
      <w:r>
        <w:t xml:space="preserve">Friedman statistic, matching the convention used for the primary suites in</w:t>
      </w:r>
      <w:r>
        <w:t xml:space="preserve"> </w:t>
      </w:r>
      <w:r>
        <w:t xml:space="preserve">the main text; the exact-value ties created by the success floor are</w:t>
      </w:r>
      <w:r>
        <w:t xml:space="preserve"> </w:t>
      </w:r>
      <w:r>
        <w:t xml:space="preserve">material here, and since the correction factor satisfies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it can</w:t>
      </w:r>
      <w:r>
        <w:t xml:space="preserve"> </w:t>
      </w:r>
      <w:r>
        <w:t xml:space="preserve">only increase the statistic and leaves every mean rank untouched.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ref_tab_abl_scaffold \h </w:instrText>
      </w:r>
      <w:r>
        <w:fldChar w:fldCharType="separate"/>
      </w:r>
      <w:r>
        <w:t xml:space="preserve">A23</w:t>
      </w:r>
      <w:r>
        <w:fldChar w:fldCharType="end"/>
      </w:r>
      <w:r>
        <w:t xml:space="preserve"> reports the resulting mean-rank matrix and</w:t>
      </w:r>
      <w:r>
        <w:t xml:space="preserve"> </w:t>
      </w:r>
      <w:r>
        <w:t xml:space="preserve">Figure </w:t>
      </w:r>
      <w:r>
        <w:fldChar w:fldCharType="begin"/>
      </w:r>
      <w:r>
        <w:instrText xml:space="preserve"> REF ref_fig_abl_rankdelta \h </w:instrText>
      </w:r>
      <w:r>
        <w:fldChar w:fldCharType="separate"/>
      </w:r>
      <w:r>
        <w:t xml:space="preserve">B27</w:t>
      </w:r>
      <w:r>
        <w:fldChar w:fldCharType="end"/>
      </w:r>
      <w:r>
        <w:t xml:space="preserve"> the rank change from the baseline. The</w:t>
      </w:r>
      <w:r>
        <w:t xml:space="preserve"> </w:t>
      </w:r>
      <w:r>
        <w:t xml:space="preserve">inferential weight is carried by the full-vs-cell paired Wilcoxon signed-rank</w:t>
      </w:r>
      <w:r>
        <w:t xml:space="preserve"> </w:t>
      </w:r>
      <w:r>
        <w:t xml:space="preserve">test across functions </w:t>
      </w:r>
      <w:r>
        <w:fldChar w:fldCharType="begin"/>
      </w:r>
      <w:r>
        <w:instrText xml:space="preserve"> CITATION wilcoxon1945individual \l 1033 </w:instrText>
      </w:r>
      <w:r>
        <w:fldChar w:fldCharType="separate"/>
      </w:r>
      <w:r>
        <w:t xml:space="preserve">[6]</w:t>
      </w:r>
      <w:r>
        <w:fldChar w:fldCharType="end"/>
      </w:r>
      <w:r>
        <w:t xml:space="preserve">, Holm-corrected</w:t>
      </w:r>
      <w:r>
        <w:t xml:space="preserve"> </w:t>
      </w:r>
      <w:r>
        <w:t xml:space="preserve"> </w:t>
      </w:r>
      <w:r>
        <w:fldChar w:fldCharType="begin"/>
      </w:r>
      <w:r>
        <w:instrText xml:space="preserve"> CITATION holm1979simple \l 1033 </w:instrText>
      </w:r>
      <w:r>
        <w:fldChar w:fldCharType="separate"/>
      </w:r>
      <w:r>
        <w:t xml:space="preserve">[7]</w:t>
      </w:r>
      <w:r>
        <w:fldChar w:fldCharType="end"/>
      </w:r>
      <w:r>
        <w:t xml:space="preserve"> within each dimension’s family of six disabled-cell</w:t>
      </w:r>
      <w:r>
        <w:t xml:space="preserve"> </w:t>
      </w:r>
      <w:r>
        <w:t xml:space="preserve">comparisons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; Table </w:t>
      </w:r>
      <w:r>
        <w:fldChar w:fldCharType="begin"/>
      </w:r>
      <w:r>
        <w:instrText xml:space="preserve"> REF ref_tab_abl_wilcoxon \h </w:instrText>
      </w:r>
      <w:r>
        <w:fldChar w:fldCharType="separate"/>
      </w:r>
      <w:r>
        <w:t xml:space="preserve">A24</w:t>
      </w:r>
      <w:r>
        <w:fldChar w:fldCharType="end"/>
      </w:r>
      <w:r>
        <w:t xml:space="preserve"> reports the raw</w:t>
      </w:r>
      <w:r>
        <w:t xml:space="preserve"> </w:t>
      </w:r>
      <w:r>
        <w:t xml:space="preserve">and Holm-adjusted</w:t>
      </w:r>
      <w:r>
        <w:t xml:space="preserve"> </w:t>
      </w:r>
      <m:oMath>
        <m:r>
          <m:t>p</m:t>
        </m:r>
      </m:oMath>
      <w:r>
        <w:t xml:space="preserve">-values.</w:t>
      </w:r>
    </w:p>
    <w:bookmarkStart w:id="164" w:name="lbl_interpretation_boundary"/>
    <w:p>
      <w:pPr>
        <w:pStyle w:val="Heading4"/>
      </w:pPr>
      <w:r>
        <w:t xml:space="preserve">Interpretation boundary.</w:t>
      </w:r>
    </w:p>
    <w:p>
      <w:pPr>
        <w:pStyle w:val="FirstParagraph"/>
      </w:pPr>
      <w:r>
        <w:t xml:space="preserve">Each delta is a</w:t>
      </w:r>
      <w:r>
        <w:t xml:space="preserve"> </w:t>
      </w:r>
      <w:r>
        <w:rPr>
          <w:i/>
          <w:iCs/>
        </w:rPr>
        <w:t xml:space="preserve">conditional remove-one contribution</w:t>
      </w:r>
      <w:r>
        <w:t xml:space="preserve">: the effect of</w:t>
      </w:r>
      <w:r>
        <w:t xml:space="preserve"> </w:t>
      </w:r>
      <w:r>
        <w:t xml:space="preserve">disabling one component given all other scaffold components enabled and ISM</w:t>
      </w:r>
      <w:r>
        <w:t xml:space="preserve"> </w:t>
      </w:r>
      <w:r>
        <w:t xml:space="preserve">off. These are not independent causal effects, they do not decompose</w:t>
      </w:r>
      <w:r>
        <w:t xml:space="preserve"> </w:t>
      </w:r>
      <w:r>
        <w:t xml:space="preserve">additively, and — because several mechanisms flip sign across dimensions —</w:t>
      </w:r>
      <w:r>
        <w:t xml:space="preserve"> </w:t>
      </w:r>
      <w:r>
        <w:t xml:space="preserve">they are never averaged across dimensions. No result is generalized beyond</w:t>
      </w:r>
      <w:r>
        <w:t xml:space="preserve"> </w:t>
      </w:r>
      <w:r>
        <w:t xml:space="preserve">CEC2017 or beyond the tested dimensions. A geometric-mean error ratio can be</w:t>
      </w:r>
      <w:r>
        <w:t xml:space="preserve"> </w:t>
      </w:r>
      <w:r>
        <w:t xml:space="preserve">inflated by a few near-optimum functions and is read only alongside the</w:t>
      </w:r>
      <w:r>
        <w:t xml:space="preserve"> </w:t>
      </w:r>
      <w:r>
        <w:t xml:space="preserve">win/tie/loss split and the rank delta.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303" w:name="ref_tab_abl_scaffold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23</w:t>
      </w:r>
      <w:r>
        <w:fldChar w:fldCharType="end"/>
      </w:r>
      <w:bookmarkEnd w:id="303"/>
      <w:r>
        <w:rPr>
          <w:b/>
        </w:rPr>
        <w:t xml:space="preserve">. </w:t>
      </w:r>
      <w:r>
        <w:t xml:space="preserve"> Scaffold remove-one ablation on CEC2017: mean Friedman rank of each</w:t>
      </w:r>
      <w:r>
        <w:t xml:space="preserve"> </w:t>
      </w:r>
      <w:r>
        <w:t xml:space="preserve">cell per dimension, with the change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versus the full-scaffold</w:t>
      </w:r>
      <w:r>
        <w:t xml:space="preserve"> </w:t>
      </w:r>
      <w:r>
        <w:t xml:space="preserve">baseline in parentheses (positive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removing the component degrades</w:t>
      </w:r>
      <w:r>
        <w:t xml:space="preserve"> </w:t>
      </w:r>
      <w:r>
        <w:t xml:space="preserve">rank; lower rank is better). Seven cells, 29 functions, 51 runs per</w:t>
      </w:r>
      <w:r>
        <w:t xml:space="preserve"> </w:t>
      </w:r>
      <w:r>
        <w:t xml:space="preserve">(cell, function, dimension),</w:t>
      </w:r>
      <w:r>
        <w:t xml:space="preserve"> </w:t>
      </w:r>
      <w:r>
        <w:rPr>
          <w:b/>
          <w:bCs/>
        </w:rPr>
        <w:t xml:space="preserve">ISM off in every cell</w:t>
      </w:r>
      <w:r>
        <w:t xml:space="preserve">. Each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remove-one contribution (conditional on all other</w:t>
      </w:r>
      <w:r>
        <w:t xml:space="preserve"> </w:t>
      </w:r>
      <w:r>
        <w:t xml:space="preserve">components enabled and ISM off), not an independent causal effect; signs</w:t>
      </w:r>
      <w:r>
        <w:t xml:space="preserve"> </w:t>
      </w:r>
      <w:r>
        <w:t xml:space="preserve">differ across dimensions, so no value is averaged over dimensions.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marks a contrast that is Holm-significant within its dimension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; Table </w:t>
      </w:r>
      <w:r>
        <w:fldChar w:fldCharType="begin"/>
      </w:r>
      <w:r>
        <w:instrText xml:space="preserve"> REF ref_tab_abl_wilcoxon \h </w:instrText>
      </w:r>
      <w:r>
        <w:fldChar w:fldCharType="separate"/>
      </w:r>
      <w:r>
        <w:t xml:space="preserve">A24</w:t>
      </w:r>
      <w:r>
        <w:fldChar w:fldCharType="end"/>
      </w:r>
      <w:r>
        <w:t xml:space="preserve">).</w:t>
      </w:r>
    </w:p>
    <w:tbl>
      <w:tblPr>
        <w:tblStyle w:val="Table"/>
        <w:tblW w:w="4636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Scaffold remove-one ablation on CEC2017: mean Friedman rank per cell and dimension, change vs baseline in parentheses; ISM off in every cell; conditional remove-one contributions; 51 runs; * = Holm-significant."/>
        <w:tblDescription w:val="Scaffold remove-one ablation on CEC2017: mean Friedman rank per cell and dimension, change vs baseline in parentheses; ISM off in every cell; conditional remove-one contributions; 51 runs; * = Holm-significant."/>
        <w:tblLook w:val="04A0" w:firstRow="1" w:lastRow="0" w:firstColumn="0" w:lastColumn="0" w:noHBand="0" w:noVBand="1"/>
      </w:tblPr>
      <w:tblGrid>
        <w:gridCol w:w="1442"/>
        <w:gridCol w:w="848"/>
        <w:gridCol w:w="848"/>
        <w:gridCol w:w="749"/>
        <w:gridCol w:w="749"/>
      </w:tblGrid>
      <w:tr>
        <w:trPr>
          <w:cantSplit/>
          <w:tblHeader/>
        </w:trPr>
        <w:tc>
          <w:tcPr>
            <w:tcW w:w="1442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Configuration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D=10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D=30</w:t>
            </w:r>
          </w:p>
        </w:tc>
        <w:tc>
          <w:tcPr>
            <w:tcW w:w="749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D=50</w:t>
            </w:r>
          </w:p>
        </w:tc>
        <w:tc>
          <w:tcPr>
            <w:tcW w:w="749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D=100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Full scaffold (baseline)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3.22 (ref)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3.00 (ref)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3.26 (ref)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3.64 (ref)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-ACE (bandit operator control)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6.07 (+2.84)*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3.28 (+0.28)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4.45 (+1.19)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3.52 (-0.12)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-NLPSR (population reduction)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4.28 (+1.05)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5.90 (+2.90)*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4.66 (+1.40)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4.59 (+0.95)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-BSE (budget-safe escape)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4.09 (+0.86)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4.31 (+1.31)*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3.98 (+0.72)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4.12 (+0.48)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-Linkage-aware block crossover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3.24 (+0.02)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3.34 (+0.34)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3.28 (+0.02)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3.41 (-0.22)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-Local search (coordinate)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3.50 (+0.28)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5.03 (+2.03)*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4.95 (+1.69)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5.02 (+1.38)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-Diversity archive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3.60 (+0.38)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3.14 (+0.14)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3.43 (+0.17)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3.71 (+0.07)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Iman-Davenport omnibus p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9.8e-09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1.2e-10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3.8e-03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2.7e-02</w:t>
            </w:r>
          </w:p>
        </w:tc>
      </w:tr>
    </w:tbl>
    <w:bookmarkStart w:id="163" w:name="lbl_fig_abl_rankdelta"/>
    <w:p>
      <w:pPr>
        <w:pStyle w:val="CaptionedFigure"/>
        <w:keepNext/>
        <w:keepLines/>
      </w:pPr>
      <w:r>
        <w:drawing>
          <wp:inline>
            <wp:extent cx="5620004" cy="3079310"/>
            <wp:effectExtent b="0" l="0" r="0" t="0"/>
            <wp:docPr descr="Figure B27.  Conditional rank degradation from removing each scaffold component on CEC2017 (ISM off in every cell; 51 runs; 29 functions). Bars show the change in mean Friedman rank versus the full-scaffold baseline; positive means removing the component degrades rank. Colours follow the frozen per-cell palette;  marks Holm-significant contrasts within a dimension (). Each bar is a conditional remove-one contribution, not an independent causal effect, and bars are not averaged across dimensions. " title="" id="161" name="Picture"/>
            <a:graphic>
              <a:graphicData uri="http://schemas.openxmlformats.org/drawingml/2006/picture">
                <pic:pic>
                  <pic:nvPicPr>
                    <pic:cNvPr descr="figures/ablation/abl_rank_delta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004" cy="307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rPr>
          <w:b/>
        </w:rPr>
        <w:t xml:space="preserve">Figure </w:t>
      </w:r>
      <w:bookmarkStart w:id="304" w:name="ref_fig_abl_rankdelta"/>
      <w:r>
        <w:rPr>
          <w:b/>
        </w:rPr>
        <w:t xml:space="preserve">B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 xml:space="preserve">27</w:t>
      </w:r>
      <w:r>
        <w:fldChar w:fldCharType="end"/>
      </w:r>
      <w:bookmarkEnd w:id="304"/>
      <w:r>
        <w:rPr>
          <w:b/>
        </w:rPr>
        <w:t xml:space="preserve">. </w:t>
      </w:r>
      <w:r>
        <w:t xml:space="preserve"> Conditional rank degradation from removing each scaffold component on</w:t>
      </w:r>
      <w:r>
        <w:t xml:space="preserve"> </w:t>
      </w:r>
      <w:r>
        <w:t xml:space="preserve">CEC2017 (</w:t>
      </w:r>
      <w:r>
        <w:rPr>
          <w:b/>
          <w:bCs/>
        </w:rPr>
        <w:t xml:space="preserve">ISM off in every cell</w:t>
      </w:r>
      <w:r>
        <w:t xml:space="preserve">; 51 runs; 29 functions). Bars show</w:t>
      </w:r>
      <w:r>
        <w:t xml:space="preserve"> </w:t>
      </w:r>
      <w:r>
        <w:t xml:space="preserve">the change in mean Friedman rank versus the full-scaffold baseline; positive</w:t>
      </w:r>
      <w:r>
        <w:t xml:space="preserve"> </w:t>
      </w:r>
      <w:r>
        <w:t xml:space="preserve">means removing the component degrades rank. Colours follow the frozen</w:t>
      </w:r>
      <w:r>
        <w:t xml:space="preserve"> </w:t>
      </w:r>
      <w:r>
        <w:t xml:space="preserve">per-cell palette;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Holm-significant contrasts within a dimension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). Each bar is a conditional remove-one contribution, not an</w:t>
      </w:r>
      <w:r>
        <w:t xml:space="preserve"> </w:t>
      </w:r>
      <w:r>
        <w:t xml:space="preserve">independent causal effect, and bars are not averaged across dimensions.</w:t>
      </w:r>
      <w:r>
        <w:t xml:space="preserve"> </w:t>
      </w:r>
    </w:p>
    <w:bookmarkEnd w:id="163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05" w:name="ref_tab_abl_wilcoxon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24</w:t>
      </w:r>
      <w:r>
        <w:fldChar w:fldCharType="end"/>
      </w:r>
      <w:bookmarkEnd w:id="305"/>
      <w:r>
        <w:rPr>
          <w:b/>
        </w:rPr>
        <w:t xml:space="preserve">. </w:t>
      </w:r>
      <w:r>
        <w:t xml:space="preserve"> Scaffold remove-one ablation on CEC2017: full-vs-cell paired Wilcoxon</w:t>
      </w:r>
      <w:r>
        <w:t xml:space="preserve"> </w:t>
      </w:r>
      <w:r>
        <w:t xml:space="preserve">signed-rank test across the 29 functions </w:t>
      </w:r>
      <w:r>
        <w:fldChar w:fldCharType="begin"/>
      </w:r>
      <w:r>
        <w:instrText xml:space="preserve"> CITATION wilcoxon1945individual \l 1033 </w:instrText>
      </w:r>
      <w:r>
        <w:fldChar w:fldCharType="separate"/>
      </w:r>
      <w:r>
        <w:t xml:space="preserve">[6]</w:t>
      </w:r>
      <w:r>
        <w:fldChar w:fldCharType="end"/>
      </w:r>
      <w:r>
        <w:t xml:space="preserve"> with</w:t>
      </w:r>
      <w:r>
        <w:t xml:space="preserve"> </w:t>
      </w:r>
      <w:r>
        <w:t xml:space="preserve">Holm correction </w:t>
      </w:r>
      <w:r>
        <w:fldChar w:fldCharType="begin"/>
      </w:r>
      <w:r>
        <w:instrText xml:space="preserve"> CITATION holm1979simple \l 1033 </w:instrText>
      </w:r>
      <w:r>
        <w:fldChar w:fldCharType="separate"/>
      </w:r>
      <w:r>
        <w:t xml:space="preserve">[7]</w:t>
      </w:r>
      <w:r>
        <w:fldChar w:fldCharType="end"/>
      </w:r>
      <w:r>
        <w:t xml:space="preserve"> within each dimension’s six-comparison</w:t>
      </w:r>
      <w:r>
        <w:t xml:space="preserve"> </w:t>
      </w:r>
      <w:r>
        <w:t xml:space="preserve">family (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), ordered by ascending raw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within each dimension.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rank repeats the mean-rank change from Table </w:t>
      </w:r>
      <w:r>
        <w:fldChar w:fldCharType="begin"/>
      </w:r>
      <w:r>
        <w:instrText xml:space="preserve"> REF ref_tab_abl_scaffold \h </w:instrText>
      </w:r>
      <w:r>
        <w:fldChar w:fldCharType="separate"/>
      </w:r>
      <w:r>
        <w:t xml:space="preserve">A23</w:t>
      </w:r>
      <w:r>
        <w:fldChar w:fldCharType="end"/>
      </w:r>
      <w:r>
        <w:t xml:space="preserve">.</w:t>
      </w:r>
      <w:r>
        <w:t xml:space="preserve"> </w:t>
      </w:r>
      <w:r>
        <w:t xml:space="preserve">Every contrast is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remove-one comparison with ISM off in</w:t>
      </w:r>
      <w:r>
        <w:t xml:space="preserve"> </w:t>
      </w:r>
      <w:r>
        <w:t xml:space="preserve">both cells and 51 runs per cell; the four Holm-significant results are all</w:t>
      </w:r>
      <w:r>
        <w:t xml:space="preserve"> </w:t>
      </w:r>
      <w:r>
        <w:rPr>
          <w:i/>
          <w:iCs/>
        </w:rPr>
        <w:t xml:space="preserve">favorable</w:t>
      </w:r>
      <w:r>
        <w:t xml:space="preserve"> </w:t>
      </w:r>
      <w:r>
        <w:t xml:space="preserve">(removing the component degrades performance).</w:t>
      </w:r>
    </w:p>
    <w:tbl>
      <w:tblPr>
        <w:tblStyle w:val="Table"/>
        <w:tblW w:w="3999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Scaffold remove-one ablation on CEC2017: full-vs-cell paired Wilcoxon signed-rank with Holm correction within each dimension (alpha=0.05); ISM off; 51 runs; ordered by ascending raw p within each dimension."/>
        <w:tblDescription w:val="Scaffold remove-one ablation on CEC2017: full-vs-cell paired Wilcoxon signed-rank with Holm correction within each dimension (alpha=0.05); ISM off; 51 runs; ordered by ascending raw p within each dimension."/>
        <w:tblLook w:val="04A0" w:firstRow="1" w:lastRow="0" w:firstColumn="0" w:lastColumn="0" w:noHBand="0" w:noVBand="1"/>
      </w:tblPr>
      <w:tblGrid>
        <w:gridCol w:w="551"/>
        <w:gridCol w:w="947"/>
        <w:gridCol w:w="551"/>
        <w:gridCol w:w="848"/>
        <w:gridCol w:w="650"/>
        <w:gridCol w:w="452"/>
      </w:tblGrid>
      <w:tr>
        <w:trPr>
          <w:cantSplit/>
          <w:tblHeader/>
        </w:trPr>
        <w:tc>
          <w:tcPr>
            <w:tcW w:w="551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Dim</w:t>
            </w:r>
          </w:p>
        </w:tc>
        <w:tc>
          <w:tcPr>
            <w:tcW w:w="947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Component removed</w:t>
            </w:r>
          </w:p>
        </w:tc>
        <w:tc>
          <w:tcPr>
            <w:tcW w:w="551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Δrank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Wilcoxon p</w:t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Holm p</w:t>
            </w:r>
          </w:p>
        </w:tc>
        <w:tc>
          <w:tcPr>
            <w:tcW w:w="452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Holm sig.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-ACE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+2.84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1.84e-04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0.0011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-Local search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+0.28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0.044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0.219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-BSE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+0.86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0.071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0.286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-NLPSR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+1.05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0.226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0.678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-Archive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+0.38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0.310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0.678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-Linkage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+0.02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D=30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-Local search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+2.03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2.41e-04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0.0014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D=30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-NLPSR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+2.90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8.77e-04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0.0044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D=30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-BSE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+1.31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0.0085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0.034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D=30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-Archive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+0.14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0.338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D=30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-Linkage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+0.34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0.343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D=30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-ACE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+0.28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0.648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D=50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-BSE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+0.72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0.018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0.109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D=50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-NLPSR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+1.40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0.025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0.123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D=50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-Local search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+1.69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0.025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0.123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D=50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-ACE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+1.19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0.054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0.163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D=50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-Archive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+0.17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0.237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0.475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D=50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-Linkage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+0.02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0.713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0.713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-BSE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+0.48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0.061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0.368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-Local search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+1.38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0.086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0.428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-NLPSR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+0.95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0.125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0.499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-Linkage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-0.22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0.697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-ACE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-0.12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0.829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D=100</w:t>
            </w:r>
          </w:p>
        </w:tc>
        <w:tc>
          <w:tcPr>
            <w:tcW w:w="947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-Archive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+0.07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0.856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452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</w:t>
            </w:r>
          </w:p>
        </w:tc>
      </w:tr>
    </w:tbl>
    <w:bookmarkEnd w:id="164"/>
    <w:bookmarkEnd w:id="165"/>
    <w:bookmarkStart w:id="166" w:name="lbl_sec_supp_ablation_findings"/>
    <w:p>
      <w:pPr>
        <w:pStyle w:val="Heading2"/>
      </w:pPr>
      <w:bookmarkStart w:id="306" w:name="ref_sec_supp_ablation_findings"/>
      <w:r>
        <w:t xml:space="preserve">S6.3.</w:t>
      </w:r>
      <w:bookmarkEnd w:id="306"/>
      <w:r>
        <w:tab/>
      </w:r>
      <w:r>
        <w:t xml:space="preserve"> Findings (Conditional, ISM Off)</w:t>
      </w:r>
    </w:p>
    <w:p>
      <w:pPr>
        <w:pStyle w:val="FirstParagraph"/>
      </w:pPr>
      <w:r>
        <w:t xml:space="preserve">Across the four dimensions, only four of the twenty-four (cell, dimension)</w:t>
      </w:r>
      <w:r>
        <w:t xml:space="preserve"> </w:t>
      </w:r>
      <w:r>
        <w:t xml:space="preserve">contrasts survive Holm correction, and all four are</w:t>
      </w:r>
      <w:r>
        <w:t xml:space="preserve"> </w:t>
      </w:r>
      <w:r>
        <w:rPr>
          <w:i/>
          <w:iCs/>
        </w:rPr>
        <w:t xml:space="preserve">favorable</w:t>
      </w:r>
      <w:r>
        <w:t xml:space="preserve"> </w:t>
      </w:r>
      <w:r>
        <w:t xml:space="preserve">—</w:t>
      </w:r>
      <w:r>
        <w:t xml:space="preserve"> </w:t>
      </w:r>
      <w:r>
        <w:t xml:space="preserve">removing the named component degrades performance: ACE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(Holm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and,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the local search</w:t>
      </w:r>
      <w:r>
        <w:t xml:space="preserve"> </w:t>
      </w:r>
      <w:r>
        <w:t xml:space="preserve">(Holm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NLPSR (Holm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and the</w:t>
      </w:r>
      <w:r>
        <w:t xml:space="preserve"> </w:t>
      </w:r>
      <w:r>
        <w:t xml:space="preserve">budget-safe escape (Holm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 The per-mechanism</w:t>
      </w:r>
      <w:r>
        <w:t xml:space="preserve"> </w:t>
      </w:r>
      <w:r>
        <w:t xml:space="preserve">reading is dimension-structured: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ACE</w:t>
      </w:r>
      <w:r>
        <w:t xml:space="preserve"> </w:t>
      </w:r>
      <w:r>
        <w:t xml:space="preserve">is the low-dimensional backbone: the dominant and only</w:t>
      </w:r>
      <w:r>
        <w:t xml:space="preserve"> </w:t>
      </w:r>
      <w:r>
        <w:t xml:space="preserve">Holm-significant effect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(rank change</w:t>
      </w:r>
      <w:r>
        <w:t xml:space="preserve"> </w:t>
      </w:r>
      <m:oMath>
        <m:r>
          <m:rPr>
            <m:sty m:val="p"/>
          </m:rPr>
          <m:t>+</m:t>
        </m:r>
        <m:r>
          <m:t>2.84</m:t>
        </m:r>
      </m:oMath>
      <w:r>
        <w:t xml:space="preserve">), fading at mid</w:t>
      </w:r>
      <w:r>
        <w:t xml:space="preserve"> </w:t>
      </w:r>
      <w:r>
        <w:t xml:space="preserve">dimension and mildly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(non-significant)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where the</w:t>
      </w:r>
      <w:r>
        <w:t xml:space="preserve"> </w:t>
      </w:r>
      <w:r>
        <w:t xml:space="preserve">conditional delta’s sign reverses.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NLPSR</w:t>
      </w:r>
      <w:r>
        <w:t xml:space="preserve"> </w:t>
      </w:r>
      <w:r>
        <w:t xml:space="preserve">is the mid/upper-tier population backbone: the</w:t>
      </w:r>
      <w:r>
        <w:t xml:space="preserve"> </w:t>
      </w:r>
      <w:r>
        <w:t xml:space="preserve">largest and a Holm-significant degradation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(rank change</w:t>
      </w:r>
      <w:r>
        <w:t xml:space="preserve"> </w:t>
      </w:r>
      <m:oMath>
        <m:r>
          <m:rPr>
            <m:sty m:val="p"/>
          </m:rPr>
          <m:t>+</m:t>
        </m:r>
        <m:r>
          <m:t>2.90</m:t>
        </m:r>
      </m:oMath>
      <w:r>
        <w:t xml:space="preserve">)</w:t>
      </w:r>
      <w:r>
        <w:t xml:space="preserve"> </w:t>
      </w:r>
      <w:r>
        <w:t xml:space="preserve">and the second-largest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though not Holm-significant</w:t>
      </w:r>
      <w:r>
        <w:t xml:space="preserve"> </w:t>
      </w:r>
      <w:r>
        <w:t xml:space="preserve">beyond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Local search</w:t>
      </w:r>
      <w:r>
        <w:t xml:space="preserve"> </w:t>
      </w:r>
      <w:r>
        <w:t xml:space="preserve">is the most consistent mid/upper-tier</w:t>
      </w:r>
      <w:r>
        <w:t xml:space="preserve"> </w:t>
      </w:r>
      <w:r>
        <w:t xml:space="preserve">contributor: Holm-significant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and the single largest</w:t>
      </w:r>
      <w:r>
        <w:t xml:space="preserve"> </w:t>
      </w:r>
      <w:r>
        <w:t xml:space="preserve">degradation at both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(non-significant at either), but</w:t>
      </w:r>
      <w:r>
        <w:t xml:space="preserve"> </w:t>
      </w:r>
      <w:r>
        <w:t xml:space="preserve">negligible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BSE</w:t>
      </w:r>
      <w:r>
        <w:t xml:space="preserve"> </w:t>
      </w:r>
      <w:r>
        <w:t xml:space="preserve">yields a positive delta at every dimension (</w:t>
      </w:r>
      <m:oMath>
        <m:r>
          <m:rPr>
            <m:sty m:val="p"/>
          </m:rPr>
          <m:t>+</m:t>
        </m:r>
        <m:r>
          <m:t>0.48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1.31</m:t>
        </m:r>
      </m:oMath>
      <w:r>
        <w:t xml:space="preserve">), Holm-significant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Linkage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are aggregate rank-neutral or</w:t>
      </w:r>
      <w:r>
        <w:t xml:space="preserve"> </w:t>
      </w:r>
      <w:r>
        <w:t xml:space="preserve">sign-mixed across dimensions (removing the linkage slightly</w:t>
      </w:r>
      <w:r>
        <w:t xml:space="preserve"> </w:t>
      </w:r>
      <w:r>
        <w:rPr>
          <w:i/>
          <w:iCs/>
        </w:rPr>
        <w:t xml:space="preserve">improves</w:t>
      </w:r>
      <w:r>
        <w:t xml:space="preserve"> </w:t>
      </w:r>
      <w:r>
        <w:t xml:space="preserve">rank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); their conditional contribution has no stable sign, which is</w:t>
      </w:r>
      <w:r>
        <w:t xml:space="preserve"> </w:t>
      </w:r>
      <w:r>
        <w:t xml:space="preserve">why per-dimension reporting is mandatory and no dimension-averaged number is</w:t>
      </w:r>
      <w:r>
        <w:t xml:space="preserve"> </w:t>
      </w:r>
      <w:r>
        <w:t xml:space="preserve">quoted.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the omnibus signal is weakest (</w:t>
      </w:r>
      <m:oMath>
        <m:r>
          <m:t>p</m:t>
        </m:r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 and</w:t>
      </w:r>
      <w:r>
        <w:t xml:space="preserve"> </w:t>
      </w:r>
      <w:r>
        <w:t xml:space="preserve">no contrast survives Holm;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ordering is descriptive only. All six</w:t>
      </w:r>
      <w:r>
        <w:t xml:space="preserve"> </w:t>
      </w:r>
      <w:r>
        <w:t xml:space="preserve">disabled cells changed at least one function’s per-run trajectory at every</w:t>
      </w:r>
      <w:r>
        <w:t xml:space="preserve"> </w:t>
      </w:r>
      <w:r>
        <w:t xml:space="preserve">dimension (active on 20–29 of 29 functions), so there are no null-contrast</w:t>
      </w:r>
      <w:r>
        <w:t xml:space="preserve"> </w:t>
      </w:r>
      <w:r>
        <w:t xml:space="preserve">cells and every contrast is identifiable.</w:t>
      </w:r>
    </w:p>
    <w:bookmarkEnd w:id="166"/>
    <w:bookmarkStart w:id="167" w:name="lbl_sec_supp_ablation_limits"/>
    <w:p>
      <w:pPr>
        <w:pStyle w:val="Heading2"/>
      </w:pPr>
      <w:bookmarkStart w:id="307" w:name="ref_sec_supp_ablation_limits"/>
      <w:r>
        <w:t xml:space="preserve">S6.4.</w:t>
      </w:r>
      <w:bookmarkEnd w:id="307"/>
      <w:r>
        <w:tab/>
      </w:r>
      <w:r>
        <w:t xml:space="preserve"> What This Study Does Not Establish</w:t>
      </w:r>
    </w:p>
    <w:p>
      <w:pPr>
        <w:pStyle w:val="FirstParagraph"/>
      </w:pPr>
      <w:r>
        <w:t xml:space="preserve">The scaffold study is bounded on five axes, restated so that no reader</w:t>
      </w:r>
      <w:r>
        <w:t xml:space="preserve"> </w:t>
      </w:r>
      <w:r>
        <w:t xml:space="preserve">over-extends it. (i) It is ISM-off throughout and says nothing about the</w:t>
      </w:r>
      <w:r>
        <w:t xml:space="preserve"> </w:t>
      </w:r>
      <w:r>
        <w:t xml:space="preserve">interaction-structure memory. (ii) Its deltas are conditional, not causal,</w:t>
      </w:r>
      <w:r>
        <w:t xml:space="preserve"> </w:t>
      </w:r>
      <w:r>
        <w:t xml:space="preserve">and not additive. (iii) It covers one suite (CEC2017) and the four tested</w:t>
      </w:r>
      <w:r>
        <w:t xml:space="preserve"> </w:t>
      </w:r>
      <w:r>
        <w:t xml:space="preserve">dimensions only. (iv) The no_arch and no_bse couplings</w:t>
      </w:r>
      <w:r>
        <w:t xml:space="preserve"> </w:t>
      </w:r>
      <w:r>
        <w:t xml:space="preserve">above qualify two cells, and ARGP, the final polish, and the deep-stall</w:t>
      </w:r>
      <w:r>
        <w:t xml:space="preserve"> </w:t>
      </w:r>
      <w:r>
        <w:t xml:space="preserve">restart are untested here. (v) Aggregate ratios can be dominated by a few</w:t>
      </w:r>
      <w:r>
        <w:t xml:space="preserve"> </w:t>
      </w:r>
      <w:r>
        <w:t xml:space="preserve">functions and are never read alone. Under the prespecified one-directional</w:t>
      </w:r>
      <w:r>
        <w:t xml:space="preserve"> </w:t>
      </w:r>
      <w:r>
        <w:t xml:space="preserve">correction guard, every favorable component result here is supplement-only and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upgrade, strengthen, or convert any frozen main-text claim</w:t>
      </w:r>
      <w:r>
        <w:t xml:space="preserve"> </w:t>
      </w:r>
      <w:r>
        <w:t xml:space="preserve">(the main text defers all per-component attribution); no primary claim is</w:t>
      </w:r>
      <w:r>
        <w:t xml:space="preserve"> </w:t>
      </w:r>
      <w:r>
        <w:t xml:space="preserve">contradicted, and none is amended.</w:t>
      </w:r>
    </w:p>
    <w:bookmarkEnd w:id="167"/>
    <w:bookmarkStart w:id="169" w:name="lbl_sec_supp_ablation_sgsm"/>
    <w:p>
      <w:pPr>
        <w:pStyle w:val="Heading2"/>
      </w:pPr>
      <w:bookmarkStart w:id="308" w:name="ref_sec_supp_ablation_sgsm"/>
      <w:r>
        <w:t xml:space="preserve">S6.5.</w:t>
      </w:r>
      <w:bookmarkEnd w:id="308"/>
      <w:r>
        <w:tab/>
      </w:r>
      <w:r>
        <w:t xml:space="preserve"> ISM-Overlay Isolation: Direct Component Study</w:t>
      </w:r>
    </w:p>
    <w:p>
      <w:pPr>
        <w:pStyle w:val="FirstParagraph"/>
      </w:pPr>
      <w:r>
        <w:t xml:space="preserve">The direct contribution of the interaction-structure memory — the isolation</w:t>
      </w:r>
      <w:r>
        <w:t xml:space="preserve"> </w:t>
      </w:r>
      <w:r>
        <w:t xml:space="preserve">reviewers requested —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experimental design from the</w:t>
      </w:r>
      <w:r>
        <w:t xml:space="preserve"> </w:t>
      </w:r>
      <w:r>
        <w:t xml:space="preserve">scaffold matrix above, and is reported here. Four ISM-active configurations</w:t>
      </w:r>
      <w:r>
        <w:t xml:space="preserve"> </w:t>
      </w:r>
      <w:r>
        <w:t xml:space="preserve">share one seed schedule (paired, common random numbers): the full overlay and</w:t>
      </w:r>
      <w:r>
        <w:t xml:space="preserve"> </w:t>
      </w:r>
      <w:r>
        <w:t xml:space="preserve">three single-toggle variants that disable, in turn, the interaction-structure</w:t>
      </w:r>
      <w:r>
        <w:t xml:space="preserve"> </w:t>
      </w:r>
      <w:r>
        <w:t xml:space="preserve">memory itself (no_sgsm), its adaptive confidence gate</w:t>
      </w:r>
      <w:r>
        <w:t xml:space="preserve"> </w:t>
      </w:r>
      <w:r>
        <w:t xml:space="preserve">(no_adaptive), and the ISM-dependent final polish</w:t>
      </w:r>
      <w:r>
        <w:t xml:space="preserve"> </w:t>
      </w:r>
      <w:r>
        <w:t xml:space="preserve">(no_finalpolish). Each cell runs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paired repetitions —</w:t>
      </w:r>
      <w:r>
        <w:t xml:space="preserve"> </w:t>
      </w:r>
      <w:r>
        <w:t xml:space="preserve">matching the primary panel’s run count — at the</w:t>
      </w:r>
      <w:r>
        <w:t xml:space="preserve"> </w:t>
      </w:r>
      <w:r>
        <w:t xml:space="preserve">overlay’s active tiers,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, on the primary CEC2017 suite (and,</w:t>
      </w:r>
      <w:r>
        <w:t xml:space="preserve"> </w:t>
      </w:r>
      <w:r>
        <w:t xml:space="preserve">as a second suite, CEC2013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). Cells are compared on per-function</w:t>
      </w:r>
      <w:r>
        <w:t xml:space="preserve"> </w:t>
      </w:r>
      <w:r>
        <w:t xml:space="preserve">mean final error by a paired Wilcoxon signed-rank test across functions,</w:t>
      </w:r>
      <w:r>
        <w:t xml:space="preserve"> </w:t>
      </w:r>
      <w:r>
        <w:t xml:space="preserve">Holm-corrected over the prespecified three-comparison family, with Friedman</w:t>
      </w:r>
      <w:r>
        <w:t xml:space="preserve"> </w:t>
      </w:r>
      <w:r>
        <w:t xml:space="preserve">ranks over the four cells and Vargha–Delaney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effect sizes on the raw</w:t>
      </w:r>
      <w:r>
        <w:t xml:space="preserve"> </w:t>
      </w:r>
      <w:r>
        <w:t xml:space="preserve">runs; the four cells differ overall (Iman–Davenport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84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5.59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84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4.87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81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5.96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for CEC2017</w:t>
      </w:r>
      <w:r>
        <w:t xml:space="preserve"> </w:t>
      </w:r>
      <m:oMath>
        <m:r>
          <m:t>D</m:t>
        </m:r>
        <m:r>
          <m:t>50</m:t>
        </m:r>
      </m:oMath>
      <w:r>
        <w:t xml:space="preserve">, CEC2017</w:t>
      </w:r>
      <w:r>
        <w:t xml:space="preserve"> </w:t>
      </w:r>
      <m:oMath>
        <m:r>
          <m:t>D</m:t>
        </m:r>
        <m:r>
          <m:t>100</m:t>
        </m:r>
      </m:oMath>
      <w:r>
        <w:t xml:space="preserve">,</w:t>
      </w:r>
      <w:r>
        <w:t xml:space="preserve"> </w:t>
      </w:r>
      <w:r>
        <w:t xml:space="preserve">and CEC2013</w:t>
      </w:r>
      <w:r>
        <w:t xml:space="preserve"> </w:t>
      </w:r>
      <m:oMath>
        <m:r>
          <m:t>D</m:t>
        </m:r>
        <m:r>
          <m:t>50</m:t>
        </m:r>
      </m:oMath>
      <w:r>
        <w:t xml:space="preserve">). These omnibus values use the tie-corrected Friedman</w:t>
      </w:r>
      <w:r>
        <w:t xml:space="preserve"> </w:t>
      </w:r>
      <w:r>
        <w:t xml:space="preserve">statistic with the Iman–Davenport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the same decision criterion the</w:t>
      </w:r>
      <w:r>
        <w:t xml:space="preserve"> </w:t>
      </w:r>
      <w:r>
        <w:t xml:space="preserve">main text applies to the primary suites — so component and primary</w:t>
      </w:r>
      <w:r>
        <w:t xml:space="preserve"> </w:t>
      </w:r>
      <w:r>
        <w:t xml:space="preserve">omnibus figures are now directly comparable. The classical chi-square</w:t>
      </w:r>
      <w:r>
        <w:t xml:space="preserve"> </w:t>
      </w:r>
      <w:r>
        <w:t xml:space="preserve">approximation reported previously (</w:t>
      </w:r>
      <m:oMath>
        <m:r>
          <m:t>p</m:t>
        </m:r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and</w:t>
      </w:r>
      <w:r>
        <w:t xml:space="preserve"> </w:t>
      </w:r>
      <m:oMath>
        <m:r>
          <m:t>3.8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is retained as an audit</w:t>
      </w:r>
      <w:r>
        <w:t xml:space="preserve"> </w:t>
      </w:r>
      <w:r>
        <w:t xml:space="preserve">companion in the released contrasts files. Because the tie-correction</w:t>
      </w:r>
      <w:r>
        <w:t xml:space="preserve"> </w:t>
      </w:r>
      <w:r>
        <w:t xml:space="preserve">factor satisfies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1</m:t>
        </m:r>
      </m:oMath>
      <w:r>
        <w:t xml:space="preserve">, the correction can only increase the</w:t>
      </w:r>
      <w:r>
        <w:t xml:space="preserve"> </w:t>
      </w:r>
      <w:r>
        <w:t xml:space="preserve">statistic: every</w:t>
      </w:r>
      <w:r>
        <w:t xml:space="preserve"> </w:t>
      </w:r>
      <m:oMath>
        <m:r>
          <m:t>p</m:t>
        </m:r>
      </m:oMath>
      <w:r>
        <w:t xml:space="preserve">-value decreases and no ranking or Holm decision in</w:t>
      </w:r>
      <w:r>
        <w:t xml:space="preserve"> </w:t>
      </w:r>
      <w:r>
        <w:t xml:space="preserve">this section changes. The findings below are carried by the</w:t>
      </w:r>
      <w:r>
        <w:t xml:space="preserve"> </w:t>
      </w:r>
      <w:r>
        <w:t xml:space="preserve">Holm-corrected paired Wilcoxon tests of Table </w:t>
      </w:r>
      <w:r>
        <w:fldChar w:fldCharType="begin"/>
      </w:r>
      <w:r>
        <w:instrText xml:space="preserve"> REF ref_tab_ism_isolation \h </w:instrText>
      </w:r>
      <w:r>
        <w:fldChar w:fldCharType="separate"/>
      </w:r>
      <w:r>
        <w:t xml:space="preserve">A25</w:t>
      </w:r>
      <w:r>
        <w:fldChar w:fldCharType="end"/>
      </w:r>
      <w:r>
        <w:t xml:space="preserve">,</w:t>
      </w:r>
      <w:r>
        <w:t xml:space="preserve"> </w:t>
      </w:r>
      <w:r>
        <w:t xml:space="preserve">which the choice of omnibus statistic does not affect.</w:t>
      </w:r>
    </w:p>
    <w:bookmarkStart w:id="168" w:name="lbl_tab_ism_isolation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09" w:name="ref_tab_ism_isolation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25</w:t>
      </w:r>
      <w:r>
        <w:fldChar w:fldCharType="end"/>
      </w:r>
      <w:bookmarkEnd w:id="309"/>
      <w:r>
        <w:rPr>
          <w:b/>
        </w:rPr>
        <w:t xml:space="preserve">. </w:t>
      </w:r>
      <w:r>
        <w:t xml:space="preserve"> Direct ISM-overlay isolation: the full overlay versus each</w:t>
      </w:r>
      <w:r>
        <w:t xml:space="preserve"> </w:t>
      </w:r>
      <w:r>
        <w:t xml:space="preserve">single-toggle cell, paired across functions and Holm-corrected.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rank is</w:t>
      </w:r>
      <w:r>
        <w:t xml:space="preserve"> </w:t>
      </w:r>
      <w:r>
        <w:t xml:space="preserve">the Friedman mean-rank change when the mechanism is removed (lower rank is</w:t>
      </w:r>
      <w:r>
        <w:t xml:space="preserve"> </w:t>
      </w:r>
      <w:r>
        <w:t xml:space="preserve">better, so positive means removal</w:t>
      </w:r>
      <w:r>
        <w:t xml:space="preserve"> </w:t>
      </w:r>
      <w:r>
        <w:rPr>
          <w:i/>
          <w:iCs/>
        </w:rPr>
        <w:t xml:space="preserve">hurts</w:t>
      </w:r>
      <w:r>
        <w:t xml:space="preserve">);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favors the full</w:t>
      </w:r>
      <w:r>
        <w:t xml:space="preserve"> </w:t>
      </w:r>
      <w:r>
        <w:t xml:space="preserve">overlay. Bold Holm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rect ISM-overlay isolation: the full overlay versus each single-toggle cell, paired across functions and Holm-corrected. Δrank is the Friedman mean-rank change when the mechanism is removed (lower rank is better, so positive means removal hurts); A_12 &gt; 0.5 favors the full overlay. Bold Holm p &lt; 0.05.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Suite (</w:t>
            </w:r>
            <m:oMath>
              <m:r>
                <m:t>D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mechanism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rank vs 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Holm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CEC2017 (</w:t>
            </w:r>
            <m:oMath>
              <m:r>
                <m:t>50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interaction-structure memory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0.983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0.51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adaptive confidence gate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0.283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0.51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ISM-dependent final polish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1.14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0.002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0.59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CEC2017 (</w:t>
            </w:r>
            <m:oMath>
              <m:r>
                <m:t>100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interaction-structure memory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0.897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0.50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adaptive confidence gate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0.86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0.079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0.54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ISM-dependent final polish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0.98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0.005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0.53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CEC2013 (</w:t>
            </w:r>
            <m:oMath>
              <m:r>
                <m:t>50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interaction-structure memory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0.647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0.42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adaptive confidence gate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0.235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0.52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ISM-dependent final polish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1.18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0.002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0.64</m:t>
              </m:r>
            </m:oMath>
          </w:p>
        </w:tc>
      </w:tr>
    </w:tbl>
    <w:bookmarkEnd w:id="168"/>
    <w:p>
      <w:pPr>
        <w:pStyle w:val="BodyText"/>
      </w:pPr>
      <w:r>
        <w:t xml:space="preserve">Two findings are consistent across both tiers of the primary suite and the</w:t>
      </w:r>
      <w:r>
        <w:t xml:space="preserve"> </w:t>
      </w:r>
      <w:r>
        <w:t xml:space="preserve">second suite (Table </w:t>
      </w:r>
      <w:r>
        <w:fldChar w:fldCharType="begin"/>
      </w:r>
      <w:r>
        <w:instrText xml:space="preserve"> REF ref_tab_ism_isolation \h </w:instrText>
      </w:r>
      <w:r>
        <w:fldChar w:fldCharType="separate"/>
      </w:r>
      <w:r>
        <w:t xml:space="preserve">A25</w:t>
      </w:r>
      <w:r>
        <w:fldChar w:fldCharType="end"/>
      </w:r>
      <w:r>
        <w:t xml:space="preserve">). First,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interaction-structure memory shows no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significant standalone benefit at its active tiers</w:t>
      </w:r>
      <w:r>
        <w:t xml:space="preserve">: disabling it moves the mean</w:t>
      </w:r>
      <w:r>
        <w:t xml:space="preserve"> </w:t>
      </w:r>
      <w:r>
        <w:t xml:space="preserve">rank negligibly (CEC2017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rank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+</m:t>
        </m:r>
        <m:r>
          <m:t>0.05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0.16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t>100</m:t>
        </m:r>
      </m:oMath>
      <w:r>
        <w:t xml:space="preserve">),</w:t>
      </w:r>
      <w:r>
        <w:t xml:space="preserve"> </w:t>
      </w:r>
      <w:r>
        <w:t xml:space="preserve">the paired test is far from significance (Holm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0.90</m:t>
        </m:r>
      </m:oMath>
      <w:r>
        <w:t xml:space="preserve">), and the</w:t>
      </w:r>
      <w:r>
        <w:t xml:space="preserve"> </w:t>
      </w:r>
      <w:r>
        <w:t xml:space="preserve">effect size is essentially null (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0.51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0.50</m:t>
        </m:r>
      </m:oMath>
      <w:r>
        <w:t xml:space="preserve">); on CEC2013 the</w:t>
      </w:r>
      <w:r>
        <w:t xml:space="preserve"> </w:t>
      </w:r>
      <w:r>
        <w:t xml:space="preserve">rank delta is similarly negligible (</w:t>
      </w:r>
      <m:oMath>
        <m:r>
          <m:rPr>
            <m:sty m:val="p"/>
          </m:rPr>
          <m:t>+</m:t>
        </m:r>
        <m:r>
          <m:t>0.20</m:t>
        </m:r>
      </m:oMath>
      <w:r>
        <w:t xml:space="preserve">) while the raw-run effect size</w:t>
      </w:r>
      <w:r>
        <w:t xml:space="preserve"> </w:t>
      </w:r>
      <w:r>
        <w:t xml:space="preserve">leans slightly toward the memory being off (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0.42</m:t>
        </m:r>
      </m:oMath>
      <w:r>
        <w:t xml:space="preserve">). Measured on the</w:t>
      </w:r>
      <w:r>
        <w:t xml:space="preserve"> </w:t>
      </w:r>
      <w:r>
        <w:t xml:space="preserve">corrected compiled backend (Section </w:t>
      </w:r>
      <w:r>
        <w:fldChar w:fldCharType="begin"/>
      </w:r>
      <w:r>
        <w:instrText xml:space="preserve"> REF ref_sec_supp_ablation_caveats \h </w:instrText>
      </w:r>
      <w:r>
        <w:fldChar w:fldCharType="separate"/>
      </w:r>
      <w:r>
        <w:t xml:space="preserve">S6.7</w:t>
      </w:r>
      <w:r>
        <w:fldChar w:fldCharType="end"/>
      </w:r>
      <w:r>
        <w:t xml:space="preserve">), the</w:t>
      </w:r>
      <w:r>
        <w:t xml:space="preserve"> </w:t>
      </w:r>
      <w:r>
        <w:t xml:space="preserve">memory’s wall-time cost is substantial at every active tier:</w:t>
      </w:r>
      <w:r>
        <w:t xml:space="preserve"> </w:t>
      </w:r>
      <m:oMath>
        <m:r>
          <m:rPr>
            <m:sty m:val="b"/>
          </m:rPr>
          <m:t>+</m:t>
        </m:r>
        <m:r>
          <m:rPr>
            <m:sty m:val="b"/>
          </m:rPr>
          <m:t>57.3</m:t>
        </m:r>
        <m:r>
          <m:rPr>
            <m:sty m:val="b"/>
          </m:rPr>
          <m:t>%</m:t>
        </m:r>
      </m:oMath>
      <w:r>
        <w:t xml:space="preserve"> </w:t>
      </w:r>
      <w:r>
        <w:t xml:space="preserve">at CEC2017</w:t>
      </w:r>
      <w:r>
        <w:t xml:space="preserve"> </w:t>
      </w:r>
      <m:oMath>
        <m:r>
          <m:t>D</m:t>
        </m:r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+</m:t>
        </m:r>
        <m:r>
          <m:rPr>
            <m:sty m:val="b"/>
          </m:rPr>
          <m:t>36.3</m:t>
        </m:r>
        <m:r>
          <m:rPr>
            <m:sty m:val="b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t>100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+</m:t>
        </m:r>
        <m:r>
          <m:t>30.3</m:t>
        </m:r>
        <m:r>
          <m:rPr>
            <m:sty m:val="p"/>
          </m:rPr>
          <m:t>%</m:t>
        </m:r>
      </m:oMath>
      <w:r>
        <w:t xml:space="preserve"> </w:t>
      </w:r>
      <w:r>
        <w:t xml:space="preserve">on CEC2013</w:t>
      </w:r>
      <w:r>
        <w:t xml:space="preserve"> </w:t>
      </w:r>
      <m:oMath>
        <m:r>
          <m:t>D</m:t>
        </m:r>
        <m:r>
          <m:t>50</m:t>
        </m:r>
      </m:oMath>
      <w:r>
        <w:t xml:space="preserve"> </w:t>
      </w:r>
      <w:r>
        <w:t xml:space="preserve">— so it costs a third to well over half again in</w:t>
      </w:r>
      <w:r>
        <w:t xml:space="preserve"> </w:t>
      </w:r>
      <w:r>
        <w:t xml:space="preserve">wall-clock and buys no measurable accuracy return. Second,</w:t>
      </w:r>
      <w:r>
        <w:t xml:space="preserve"> </w:t>
      </w:r>
      <w:r>
        <w:rPr>
          <w:b/>
          <w:bCs/>
        </w:rPr>
        <w:t xml:space="preserve">removing the complete final-polish phase changed performance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significantly in these cells</w:t>
      </w:r>
      <w:r>
        <w:t xml:space="preserve"> </w:t>
      </w:r>
      <w:r>
        <w:t xml:space="preserve">(Holm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</m:t>
        </m:r>
      </m:oMath>
      <w:r>
        <w:t xml:space="preserve">,</w:t>
      </w:r>
      <w:r>
        <w:t xml:space="preserve"> </w:t>
      </w:r>
      <m:oMath>
        <m:r>
          <m:t>0.005</m:t>
        </m:r>
      </m:oMath>
      <w:r>
        <w:t xml:space="preserve">,</w:t>
      </w:r>
      <w:r>
        <w:t xml:space="preserve"> </w:t>
      </w:r>
      <m:oMath>
        <m:r>
          <m:t>0.002</m:t>
        </m:r>
      </m:oMath>
      <w:r>
        <w:t xml:space="preserve">;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0.59</m:t>
        </m:r>
      </m:oMath>
      <w:r>
        <w:t xml:space="preserve">,</w:t>
      </w:r>
      <w:r>
        <w:t xml:space="preserve"> </w:t>
      </w:r>
      <m:oMath>
        <m:r>
          <m:t>0.53</m:t>
        </m:r>
      </m:oMath>
      <w:r>
        <w:t xml:space="preserve">,</w:t>
      </w:r>
      <w:r>
        <w:t xml:space="preserve"> </w:t>
      </w:r>
      <m:oMath>
        <m:r>
          <m:t>0.64</m:t>
        </m:r>
      </m:oMath>
      <w:r>
        <w:t xml:space="preserve">); the contrast removes the whole phase, so which</w:t>
      </w:r>
      <w:r>
        <w:t xml:space="preserve"> </w:t>
      </w:r>
      <w:r>
        <w:t xml:space="preserve">of its parts carries the effect—and in particular whether the learned</w:t>
      </w:r>
      <w:r>
        <w:t xml:space="preserve"> </w:t>
      </w:r>
      <w:r>
        <w:t xml:space="preserve">eigenbasis outperforms coordinate axes—remains unidentified, while the adaptive confidence gate helps directionally but not</w:t>
      </w:r>
      <w:r>
        <w:t xml:space="preserve"> </w:t>
      </w:r>
      <w:r>
        <w:t xml:space="preserve">significantly. This corroborates the bundled-tier reading of the main text: the</w:t>
      </w:r>
      <w:r>
        <w:t xml:space="preserve"> </w:t>
      </w:r>
      <w:r>
        <w:t xml:space="preserve">upper-tier behavior is a property of the full tier configuration rather</w:t>
      </w:r>
      <w:r>
        <w:t xml:space="preserve"> </w:t>
      </w:r>
      <w:r>
        <w:t xml:space="preserve">than of the interaction-structure memory in isolation, and DT-GSK’s</w:t>
      </w:r>
      <w:r>
        <w:t xml:space="preserve"> </w:t>
      </w:r>
      <w:r>
        <w:t xml:space="preserve">family-best standing rests on the complete dimension-tiered system — of whose</w:t>
      </w:r>
      <w:r>
        <w:t xml:space="preserve"> </w:t>
      </w:r>
      <w:r>
        <w:t xml:space="preserve">added mechanisms only the final polish carries an isolated, statistically</w:t>
      </w:r>
      <w:r>
        <w:t xml:space="preserve"> </w:t>
      </w:r>
      <w:r>
        <w:t xml:space="preserve">significant effect at these tiers (the no_sgsm row is itself null, but it</w:t>
      </w:r>
      <w:r>
        <w:t xml:space="preserve"> </w:t>
      </w:r>
      <w:r>
        <w:t xml:space="preserve">disables the memory entirely — removing its linkage channel as well as its</w:t>
      </w:r>
      <w:r>
        <w:t xml:space="preserve"> </w:t>
      </w:r>
      <w:r>
        <w:t xml:space="preserve">eigenbasis — so it cannot separate the basis from the endgame;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ref_sec_supp_rev_basis \h </w:instrText>
      </w:r>
      <w:r>
        <w:fldChar w:fldCharType="separate"/>
      </w:r>
      <w:r>
        <w:t xml:space="preserve">S9.1</w:t>
      </w:r>
      <w:r>
        <w:fldChar w:fldCharType="end"/>
      </w:r>
      <w:r>
        <w:t xml:space="preserve"> does that directly). The interaction-structure memory’s isolated</w:t>
      </w:r>
      <w:r>
        <w:t xml:space="preserve"> </w:t>
      </w:r>
      <w:r>
        <w:t xml:space="preserve">utility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100</m:t>
        </m:r>
      </m:oMath>
      <w:r>
        <w:t xml:space="preserve"> </w:t>
      </w:r>
      <w:r>
        <w:t xml:space="preserve">therefore remains unestablished; whether its</w:t>
      </w:r>
      <w:r>
        <w:t xml:space="preserve"> </w:t>
      </w:r>
      <w:r>
        <w:t xml:space="preserve">structure-building role becomes decisive at larger scales is left to future work.</w:t>
      </w:r>
    </w:p>
    <w:bookmarkEnd w:id="169"/>
    <w:bookmarkStart w:id="171" w:name="lbl_sec_supp_ablation_subset"/>
    <w:p>
      <w:pPr>
        <w:pStyle w:val="Heading2"/>
      </w:pPr>
      <w:bookmarkStart w:id="310" w:name="ref_sec_supp_ablation_subset"/>
      <w:r>
        <w:t xml:space="preserve">S6.6.</w:t>
      </w:r>
      <w:bookmarkEnd w:id="310"/>
      <w:r>
        <w:tab/>
      </w:r>
      <w:r>
        <w:t xml:space="preserve"> Conditional-Benefit Analysis by Function Class (Post-Hoc)</w:t>
      </w:r>
    </w:p>
    <w:p>
      <w:pPr>
        <w:pStyle w:val="FirstParagraph"/>
      </w:pPr>
      <w:r>
        <w:t xml:space="preserve">The direct isolation above (Table </w:t>
      </w:r>
      <w:r>
        <w:fldChar w:fldCharType="begin"/>
      </w:r>
      <w:r>
        <w:instrText xml:space="preserve"> REF ref_tab_ism_isolation \h </w:instrText>
      </w:r>
      <w:r>
        <w:fldChar w:fldCharType="separate"/>
      </w:r>
      <w:r>
        <w:t xml:space="preserve">A25</w:t>
      </w:r>
      <w:r>
        <w:fldChar w:fldCharType="end"/>
      </w:r>
      <w:r>
        <w:t xml:space="preserve">) returns a null for the</w:t>
      </w:r>
      <w:r>
        <w:t xml:space="preserve"> </w:t>
      </w:r>
      <w:r>
        <w:t xml:space="preserve">interaction-structure memory</w:t>
      </w:r>
      <w:r>
        <w:t xml:space="preserve"> </w:t>
      </w:r>
      <w:r>
        <w:rPr>
          <w:i/>
          <w:iCs/>
        </w:rPr>
        <w:t xml:space="preserve">aggregated</w:t>
      </w:r>
      <w:r>
        <w:t xml:space="preserve"> </w:t>
      </w:r>
      <w:r>
        <w:t xml:space="preserve">over the CEC2017 functions. Because a</w:t>
      </w:r>
      <w:r>
        <w:t xml:space="preserve"> </w:t>
      </w:r>
      <w:r>
        <w:t xml:space="preserve">coordinate-pair interaction memory should, if it helps at all, help most on functions</w:t>
      </w:r>
      <w:r>
        <w:t xml:space="preserve"> </w:t>
      </w:r>
      <w:r>
        <w:t xml:space="preserve">with genuine variable interaction, we ask</w:t>
      </w:r>
      <w:r>
        <w:t xml:space="preserve"> </w:t>
      </w:r>
      <w:r>
        <w:rPr>
          <w:i/>
          <w:iCs/>
        </w:rPr>
        <w:t xml:space="preserve">post hoc</w:t>
      </w:r>
      <w:r>
        <w:t xml:space="preserve"> </w:t>
      </w:r>
      <w:r>
        <w:t xml:space="preserve">(this analysis was not</w:t>
      </w:r>
      <w:r>
        <w:t xml:space="preserve"> </w:t>
      </w:r>
      <w:r>
        <w:t xml:space="preserve">pre-registered) whether the aggregate null conceals a conditional benefit on those</w:t>
      </w:r>
      <w:r>
        <w:t xml:space="preserve"> </w:t>
      </w:r>
      <w:r>
        <w:t xml:space="preserve">functions. We partition the 29 scored CEC2017 functions into the four standard</w:t>
      </w:r>
      <w:r>
        <w:t xml:space="preserve"> </w:t>
      </w:r>
      <w:r>
        <w:t xml:space="preserve">CEC2017 classes </w:t>
      </w:r>
      <w:r>
        <w:fldChar w:fldCharType="begin"/>
      </w:r>
      <w:r>
        <w:instrText xml:space="preserve"> CITATION awad2016problem \l 1033 </w:instrText>
      </w:r>
      <w:r>
        <w:fldChar w:fldCharType="separate"/>
      </w:r>
      <w:r>
        <w:t xml:space="preserve">[1]</w:t>
      </w:r>
      <w:r>
        <w:fldChar w:fldCharType="end"/>
      </w:r>
      <w:r>
        <w:t xml:space="preserve"> — unimodal (F1, F3), simple multimodal</w:t>
      </w:r>
      <w:r>
        <w:t xml:space="preserve"> </w:t>
      </w:r>
      <w:r>
        <w:t xml:space="preserve">(F4–F10), hybrid (F11–F20), and composition (F21–F30) — and, within each class,</w:t>
      </w:r>
      <w:r>
        <w:t xml:space="preserve"> </w:t>
      </w:r>
      <w:r>
        <w:t xml:space="preserve">count the per-function win/tie/loss of the full overlay against the memory-off</w:t>
      </w:r>
      <w:r>
        <w:t xml:space="preserve"> </w:t>
      </w:r>
      <w:r>
        <w:t xml:space="preserve">(no_sgsm) cell (a win is a lower per-function mean error with the</w:t>
      </w:r>
      <w:r>
        <w:t xml:space="preserve"> </w:t>
      </w:r>
      <w:r>
        <w:t xml:space="preserve">interaction-structure memory on; tie at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). The hybrid and</w:t>
      </w:r>
      <w:r>
        <w:t xml:space="preserve"> </w:t>
      </w:r>
      <w:r>
        <w:t xml:space="preserve">composition functions, whose sub-component and rotation structure make variable</w:t>
      </w:r>
      <w:r>
        <w:t xml:space="preserve"> </w:t>
      </w:r>
      <w:r>
        <w:t xml:space="preserve">interaction explicit, are where such a memory should most plausibly help.</w:t>
      </w:r>
    </w:p>
    <w:bookmarkStart w:id="170" w:name="lbl_tab_ism_subset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11" w:name="ref_tab_ism_subset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26</w:t>
      </w:r>
      <w:r>
        <w:fldChar w:fldCharType="end"/>
      </w:r>
      <w:bookmarkEnd w:id="311"/>
      <w:r>
        <w:rPr>
          <w:b/>
        </w:rPr>
        <w:t xml:space="preserve">. </w:t>
      </w:r>
      <w:r>
        <w:t xml:space="preserve"> Post-hoc conditional-benefit analysis: per-function win/tie/loss of the full</w:t>
      </w:r>
      <w:r>
        <w:t xml:space="preserve"> </w:t>
      </w:r>
      <w:r>
        <w:t xml:space="preserve">overlay versus the memory-off (no_sgsm) cell, by CEC2017 function class,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(51 paired runs; a win is a lower per-function mean error with the</w:t>
      </w:r>
      <w:r>
        <w:t xml:space="preserve"> </w:t>
      </w:r>
      <w:r>
        <w:t xml:space="preserve">interaction-structure memory on). Exploratory; not part of the pre-registered</w:t>
      </w:r>
      <w:r>
        <w:t xml:space="preserve"> </w:t>
      </w:r>
      <w:r>
        <w:t xml:space="preserve">isolation.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ost-hoc conditional-benefit analysis: per-function win/tie/loss of the full overlay versus the memory-off (no_sgsm) cell, by CEC2017 function class, at D=50 and D=100 (51 paired runs; a win is a lower per-function mean error with the interaction-structure memory on). Exploratory; not part of the pre-registered isolation.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 class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W/T/L (win-rate)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W/T/L (win-rate)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Unimodal (F1, F3)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2/0/0 (1.00)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1/0/1 (0.50)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Simple multimodal (F4–F10)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3/0/4 (0.43)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4/0/3 (0.57)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Hybrid (F11–F20)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7/0/3 (0.70)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4/0/6 (0.40)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Composition (F21–F30)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3/0/7 (0.30)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5/0/5 (0.50)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Interacting (F11–F30)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10/0/10 (0.50)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9/0/11 (0.45)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Non-interacting (F1–F10)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5/0/4 (0.56)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5/0/4 (0.56)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All 29 (aggregate)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15/0/14 (0.52)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14/0/15 (0.48)</w:t>
            </w:r>
          </w:p>
        </w:tc>
      </w:tr>
    </w:tbl>
    <w:bookmarkEnd w:id="170"/>
    <w:p>
      <w:pPr>
        <w:pStyle w:val="BodyText"/>
      </w:pPr>
      <w:r>
        <w:t xml:space="preserve">No class shows a benefit that survives even a nominal sign test (all subset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0.3</m:t>
        </m:r>
      </m:oMath>
      <w:r>
        <w:t xml:space="preserve">; the interacting-vs-non-interacting contrast is</w:t>
      </w:r>
      <w:r>
        <w:t xml:space="preserve"> </w:t>
      </w:r>
      <m:oMath>
        <m:r>
          <m:t>0.50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0.56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0.45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0.56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— the interacting classes never lead). The only</w:t>
      </w:r>
      <w:r>
        <w:t xml:space="preserve"> </w:t>
      </w:r>
      <w:r>
        <w:t xml:space="preserve">favorable lean is on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hybrids (win-rate</w:t>
      </w:r>
      <w:r>
        <w:t xml:space="preserve"> </w:t>
      </w:r>
      <m:oMath>
        <m:r>
          <m:t>0.70</m:t>
        </m:r>
      </m:oMath>
      <w:r>
        <w:t xml:space="preserve">, median per-function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-error gain</w:t>
      </w:r>
      <w:r>
        <w:t xml:space="preserve"> </w:t>
      </w:r>
      <m:oMath>
        <m:r>
          <m:rPr>
            <m:sty m:val="p"/>
          </m:rPr>
          <m:t>+</m:t>
        </m:r>
        <m:r>
          <m:t>0.026</m:t>
        </m:r>
      </m:oMath>
      <w:r>
        <w:t xml:space="preserve">),</w:t>
      </w:r>
      <w:r>
        <w:t xml:space="preserve"> </w:t>
      </w:r>
      <w:r>
        <w:t xml:space="preserve">and it reverses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(win-rate</w:t>
      </w:r>
      <w:r>
        <w:t xml:space="preserve"> </w:t>
      </w:r>
      <m:oMath>
        <m:r>
          <m:t>0.40</m:t>
        </m:r>
      </m:oMath>
      <w:r>
        <w:t xml:space="preserve">, median</w:t>
      </w:r>
      <w:r>
        <w:t xml:space="preserve"> </w:t>
      </w:r>
      <m:oMath>
        <m:r>
          <m:rPr>
            <m:sty m:val="p"/>
          </m:rPr>
          <m:t>−</m:t>
        </m:r>
        <m:r>
          <m:t>0.002</m:t>
        </m:r>
      </m:oMath>
      <w:r>
        <w:t xml:space="preserve">); the</w:t>
      </w:r>
      <w:r>
        <w:t xml:space="preserve"> </w:t>
      </w:r>
      <w:r>
        <w:t xml:space="preserve">composition functions lean the other way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(win-rate</w:t>
      </w:r>
      <w:r>
        <w:t xml:space="preserve"> </w:t>
      </w:r>
      <m:oMath>
        <m:r>
          <m:t>0.30</m:t>
        </m:r>
      </m:oMath>
      <w:r>
        <w:t xml:space="preserve">) and are flat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. Together with the aggregate</w:t>
      </w:r>
      <w:r>
        <w:t xml:space="preserve"> </w:t>
      </w:r>
      <w:r>
        <w:t xml:space="preserve">Vargha–Delaney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≈</m:t>
        </m:r>
        <m:r>
          <m:t>0.50</m:t>
        </m:r>
      </m:oMath>
      <w:r>
        <w:t xml:space="preserve">, the point estimates cluster on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average effect rather than on a small one — though, absent a formal equivalence</w:t>
      </w:r>
      <w:r>
        <w:t xml:space="preserve"> </w:t>
      </w:r>
      <w:r>
        <w:t xml:space="preserve">test, this evidence is consistent with zero rather than establishing it. The aggregate null is therefore not explained by the separable-problem</w:t>
      </w:r>
      <w:r>
        <w:t xml:space="preserve"> </w:t>
      </w:r>
      <w:r>
        <w:t xml:space="preserve">subset: no standalone benefit is detected even on the categories where variable</w:t>
      </w:r>
      <w:r>
        <w:t xml:space="preserve"> </w:t>
      </w:r>
      <w:r>
        <w:t xml:space="preserve">interaction is present by construction. This is a failure to detect an effect</w:t>
      </w:r>
      <w:r>
        <w:t xml:space="preserve"> </w:t>
      </w:r>
      <w:r>
        <w:t xml:space="preserve">under this design, not a demonstration that none exists. We accordingly report the</w:t>
      </w:r>
      <w:r>
        <w:t xml:space="preserve"> </w:t>
      </w:r>
      <w:r>
        <w:t xml:space="preserve">interaction-structure memory as a controlled negative result on cheap accepted-move</w:t>
      </w:r>
      <w:r>
        <w:t xml:space="preserve"> </w:t>
      </w:r>
      <w:r>
        <w:t xml:space="preserve">structure-learning — a boundary we believe is itself informative for the GSK family.</w:t>
      </w:r>
    </w:p>
    <w:bookmarkEnd w:id="171"/>
    <w:bookmarkStart w:id="174" w:name="lbl_sec_supp_ablation_caveats"/>
    <w:p>
      <w:pPr>
        <w:pStyle w:val="Heading2"/>
      </w:pPr>
      <w:bookmarkStart w:id="312" w:name="ref_sec_supp_ablation_caveats"/>
      <w:r>
        <w:t xml:space="preserve">S6.7.</w:t>
      </w:r>
      <w:bookmarkEnd w:id="312"/>
      <w:r>
        <w:tab/>
      </w:r>
      <w:r>
        <w:t xml:space="preserve"> Implementation Caveats: Two Corrected Defects and Their Evidence Trail</w:t>
      </w:r>
    </w:p>
    <w:p>
      <w:pPr>
        <w:pStyle w:val="FirstParagraph"/>
      </w:pPr>
      <w:r>
        <w:t xml:space="preserve">A post-freeze code audit identified two implementation defects in the released</w:t>
      </w:r>
      <w:r>
        <w:t xml:space="preserve"> </w:t>
      </w:r>
      <w:r>
        <w:t xml:space="preserve">optimizer. Both were disclosed, then</w:t>
      </w:r>
      <w:r>
        <w:t xml:space="preserve"> </w:t>
      </w:r>
      <w:r>
        <w:rPr>
          <w:i/>
          <w:iCs/>
        </w:rPr>
        <w:t xml:space="preserve">fixed in the source</w:t>
      </w:r>
      <w:r>
        <w:t xml:space="preserve"> </w:t>
      </w:r>
      <w:r>
        <w:t xml:space="preserve">(each locked by a</w:t>
      </w:r>
      <w:r>
        <w:t xml:space="preserve"> </w:t>
      </w:r>
      <w:r>
        <w:t xml:space="preserve">regression test that fails on the pre-fix code), and the primary-panel, scaffold, and</w:t>
      </w:r>
      <w:r>
        <w:t xml:space="preserve"> </w:t>
      </w:r>
      <w:r>
        <w:t xml:space="preserve">overlay evidence in this paper was</w:t>
      </w:r>
      <w:r>
        <w:t xml:space="preserve"> </w:t>
      </w:r>
      <w:r>
        <w:rPr>
          <w:b/>
          <w:bCs/>
        </w:rPr>
        <w:t xml:space="preserve">fully regenerated with the corrected</w:t>
      </w:r>
      <w:r>
        <w:rPr>
          <w:b/>
          <w:bCs/>
        </w:rPr>
        <w:t xml:space="preserve"> </w:t>
      </w:r>
      <w:r>
        <w:rPr>
          <w:b/>
          <w:bCs/>
        </w:rPr>
        <w:t xml:space="preserve">binary at 51 runs per cell</w:t>
      </w:r>
      <w:r>
        <w:t xml:space="preserve">; every number in the current release therefore reflects</w:t>
      </w:r>
      <w:r>
        <w:t xml:space="preserve"> </w:t>
      </w:r>
      <w:r>
        <w:t xml:space="preserve">the corrected implementation. The two defects and their measured consequences are</w:t>
      </w:r>
      <w:r>
        <w:t xml:space="preserve"> </w:t>
      </w:r>
      <w:r>
        <w:t xml:space="preserve">recorded here for provenance.</w:t>
      </w:r>
    </w:p>
    <w:bookmarkStart w:id="172" w:name="X5c4849c3a4aebe2354ece7fbe6bbaf09ac32a25"/>
    <w:p>
      <w:pPr>
        <w:pStyle w:val="Heading4"/>
      </w:pPr>
      <w:r>
        <w:t xml:space="preserve">The interaction graph’s compiled kernels were silently disabled in the</w:t>
      </w:r>
      <w:r>
        <w:t xml:space="preserve"> </w:t>
      </w:r>
      <w:r>
        <w:t xml:space="preserve">pre-fix runs.</w:t>
      </w:r>
    </w:p>
    <w:p>
      <w:pPr>
        <w:pStyle w:val="FirstParagraph"/>
      </w:pPr>
      <w:r>
        <w:t xml:space="preserve">The interaction graph ships compiled (numba) kernels alongside</w:t>
      </w:r>
      <w:r>
        <w:t xml:space="preserve"> </w:t>
      </w:r>
      <w:r>
        <w:rPr>
          <w:smallCaps/>
        </w:rPr>
        <w:t xml:space="preserve">NumPy</w:t>
      </w:r>
      <w:r>
        <w:t xml:space="preserve"> </w:t>
      </w:r>
      <w:r>
        <w:t xml:space="preserve">reference implementations, guarded by an import that silently falls back to</w:t>
      </w:r>
      <w:r>
        <w:t xml:space="preserve"> </w:t>
      </w:r>
      <w:r>
        <w:rPr>
          <w:smallCaps/>
        </w:rPr>
        <w:t xml:space="preserve">NumPy</w:t>
      </w:r>
      <w:r>
        <w:t xml:space="preserve"> </w:t>
      </w:r>
      <w:r>
        <w:t xml:space="preserve">if the compiled module is unavailable. In the pre-fix configuration</w:t>
      </w:r>
      <w:r>
        <w:t xml:space="preserve"> </w:t>
      </w:r>
      <w:r>
        <w:t xml:space="preserve">that import named the wrong module path, so the earlier runs executed the</w:t>
      </w:r>
      <w:r>
        <w:t xml:space="preserve"> </w:t>
      </w:r>
      <w:r>
        <w:rPr>
          <w:smallCaps/>
        </w:rPr>
        <w:t xml:space="preserve">NumPy</w:t>
      </w:r>
      <w:r>
        <w:t xml:space="preserve"> </w:t>
      </w:r>
      <w:r>
        <w:t xml:space="preserve">path throughout. The compiled kernels are built without fast-math and</w:t>
      </w:r>
      <w:r>
        <w:t xml:space="preserve"> </w:t>
      </w:r>
      <w:r>
        <w:t xml:space="preserve">without thread-parallel reduction precisely so that they reproduce the</w:t>
      </w:r>
      <w:r>
        <w:t xml:space="preserve"> </w:t>
      </w:r>
      <w:r>
        <w:rPr>
          <w:smallCaps/>
        </w:rPr>
        <w:t xml:space="preserve">NumPy</w:t>
      </w:r>
      <w:r>
        <w:t xml:space="preserve"> </w:t>
      </w:r>
      <w:r>
        <w:t xml:space="preserve">arithmetic exactly, and we confirmed bit-identical optimization results across both</w:t>
      </w:r>
      <w:r>
        <w:t xml:space="preserve"> </w:t>
      </w:r>
      <w:r>
        <w:t xml:space="preserve">backends — the defect inflated wall-clock only. The overhead and runtime figures</w:t>
      </w:r>
      <w:r>
        <w:t xml:space="preserve"> </w:t>
      </w:r>
      <w:r>
        <w:t xml:space="preserve">in this paper (Section </w:t>
      </w:r>
      <w:r>
        <w:fldChar w:fldCharType="begin"/>
      </w:r>
      <w:r>
        <w:instrText xml:space="preserve"> REF ref_sec_supp_ablation_sgsm \h </w:instrText>
      </w:r>
      <w:r>
        <w:fldChar w:fldCharType="separate"/>
      </w:r>
      <w:r>
        <w:t xml:space="preserve">S6.5</w:t>
      </w:r>
      <w:r>
        <w:fldChar w:fldCharType="end"/>
      </w:r>
      <w:r>
        <w:t xml:space="preserve"> and the main-text runtime table)</w:t>
      </w:r>
      <w:r>
        <w:t xml:space="preserve"> </w:t>
      </w:r>
      <w:r>
        <w:t xml:space="preserve">were re-measured with the compiled kernels active over the full 51-run overlay:</w:t>
      </w:r>
      <w:r>
        <w:t xml:space="preserve"> </w:t>
      </w:r>
      <w:r>
        <w:t xml:space="preserve">the memory’s wall-time cost is</w:t>
      </w:r>
      <w:r>
        <w:t xml:space="preserve"> </w:t>
      </w:r>
      <m:oMath>
        <m:r>
          <m:rPr>
            <m:sty m:val="p"/>
          </m:rPr>
          <m:t>+</m:t>
        </m:r>
        <m:r>
          <m:t>57.3</m:t>
        </m:r>
        <m:r>
          <m:rPr>
            <m:sty m:val="p"/>
          </m:rPr>
          <m:t>%</m:t>
        </m:r>
      </m:oMath>
      <w:r>
        <w:t xml:space="preserve"> </w:t>
      </w:r>
      <w:r>
        <w:t xml:space="preserve">at CEC2017</w:t>
      </w:r>
      <w:r>
        <w:t xml:space="preserve"> </w:t>
      </w:r>
      <m:oMath>
        <m:r>
          <m:t>D</m:t>
        </m:r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36.3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t>100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30.3</m:t>
        </m:r>
        <m:r>
          <m:rPr>
            <m:sty m:val="p"/>
          </m:rPr>
          <m:t>%</m:t>
        </m:r>
      </m:oMath>
      <w:r>
        <w:t xml:space="preserve"> </w:t>
      </w:r>
      <w:r>
        <w:t xml:space="preserve">on CEC2013</w:t>
      </w:r>
      <w:r>
        <w:t xml:space="preserve"> </w:t>
      </w:r>
      <m:oMath>
        <m:r>
          <m:t>D</m:t>
        </m:r>
        <m:r>
          <m:t>50</m:t>
        </m:r>
      </m:oMath>
      <w:r>
        <w:t xml:space="preserve">. These are close to the</w:t>
      </w:r>
      <w:r>
        <w:t xml:space="preserve"> </w:t>
      </w:r>
      <m:oMath>
        <m:r>
          <m:rPr>
            <m:sty m:val="p"/>
          </m:rPr>
          <m:t>+</m:t>
        </m:r>
        <m:r>
          <m:t>54</m:t>
        </m:r>
        <m:r>
          <m:rPr>
            <m:sty m:val="p"/>
          </m:rPr>
          <m:t>%</m:t>
        </m:r>
      </m:oMath>
      <w:r>
        <w:t xml:space="preserve">/</w:t>
      </w:r>
      <m:oMath>
        <m:r>
          <m:rPr>
            <m:sty m:val="p"/>
          </m:rPr>
          <m:t>+</m:t>
        </m:r>
        <m:r>
          <m:t>37</m:t>
        </m:r>
        <m:r>
          <m:rPr>
            <m:sty m:val="p"/>
          </m:rPr>
          <m:t>%</m:t>
        </m:r>
      </m:oMath>
      <w:r>
        <w:t xml:space="preserve"> </w:t>
      </w:r>
      <w:r>
        <w:t xml:space="preserve">recorded</w:t>
      </w:r>
      <w:r>
        <w:t xml:space="preserve"> </w:t>
      </w:r>
      <w:r>
        <w:t xml:space="preserve">before the backend fix, which is expected rather than surprising: the compiled</w:t>
      </w:r>
      <w:r>
        <w:t xml:space="preserve"> </w:t>
      </w:r>
      <w:r>
        <w:t xml:space="preserve">kernels accelerated the memory-on and memory-off arms alike, so the</w:t>
      </w:r>
      <w:r>
        <w:t xml:space="preserve"> </w:t>
      </w:r>
      <w:r>
        <w:rPr>
          <w:i/>
          <w:iCs/>
        </w:rPr>
        <w:t xml:space="preserve">ratio</w:t>
      </w:r>
      <w:r>
        <w:t xml:space="preserve"> </w:t>
      </w:r>
      <w:r>
        <w:t xml:space="preserve">between them barely moved. The fix removed a wall-clock inflation common to both</w:t>
      </w:r>
      <w:r>
        <w:t xml:space="preserve"> </w:t>
      </w:r>
      <w:r>
        <w:t xml:space="preserve">arms; it did not make the interaction-structure memory cheaper relative to</w:t>
      </w:r>
      <w:r>
        <w:t xml:space="preserve"> </w:t>
      </w:r>
      <w:r>
        <w:t xml:space="preserve">running without it.</w:t>
      </w:r>
    </w:p>
    <w:bookmarkEnd w:id="172"/>
    <w:bookmarkStart w:id="173" w:name="X213bc8907ca5741e949c74c3940bf2647299e40"/>
    <w:p>
      <w:pPr>
        <w:pStyle w:val="Heading4"/>
      </w:pPr>
      <w:r>
        <w:t xml:space="preserve">The final polish previously refined a one-generation-stale incumbent.</w:t>
      </w:r>
    </w:p>
    <w:p>
      <w:pPr>
        <w:pStyle w:val="FirstParagraph"/>
      </w:pPr>
      <w:r>
        <w:t xml:space="preserve">In the pre-fix binary, the eigenframe polish was invoked with the incumbent</w:t>
      </w:r>
      <w:r>
        <w:t xml:space="preserve"> </w:t>
      </w:r>
      <w:r>
        <w:t xml:space="preserve">materialized at the end of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generation, and its accept test</w:t>
      </w:r>
      <w:r>
        <w:t xml:space="preserve"> </w:t>
      </w:r>
      <w:r>
        <w:t xml:space="preserve">compared against that same stale value — so the polish could start from, and</w:t>
      </w:r>
      <w:r>
        <w:t xml:space="preserve"> </w:t>
      </w:r>
      <w:r>
        <w:t xml:space="preserve">accept against, a point the current generation had already improved upon. Reported</w:t>
      </w:r>
      <w:r>
        <w:t xml:space="preserve"> </w:t>
      </w:r>
      <w:r>
        <w:t xml:space="preserve">results were protected throughout by a best-ever shadow (no run could report a value</w:t>
      </w:r>
      <w:r>
        <w:t xml:space="preserve"> </w:t>
      </w:r>
      <w:r>
        <w:t xml:space="preserve">worse than the best it found), so this was a loss of polish</w:t>
      </w:r>
      <w:r>
        <w:t xml:space="preserve"> </w:t>
      </w:r>
      <w:r>
        <w:rPr>
          <w:i/>
          <w:iCs/>
        </w:rPr>
        <w:t xml:space="preserve">effectiveness</w:t>
      </w:r>
      <w:r>
        <w:t xml:space="preserve">,</w:t>
      </w:r>
      <w:r>
        <w:t xml:space="preserve"> </w:t>
      </w:r>
      <w:r>
        <w:t xml:space="preserve">never a correctness defect. The fix re-materializes the incumbent atomically at</w:t>
      </w:r>
      <w:r>
        <w:t xml:space="preserve"> </w:t>
      </w:r>
      <w:r>
        <w:t xml:space="preserve">polish entry. The isolation reported above therefore measures the polish</w:t>
      </w:r>
      <w:r>
        <w:t xml:space="preserve"> </w:t>
      </w:r>
      <w:r>
        <w:rPr>
          <w:i/>
          <w:iCs/>
        </w:rPr>
        <w:t xml:space="preserve">un-handicapped</w:t>
      </w:r>
      <w:r>
        <w:t xml:space="preserve">; its contribution remains Holm-significant on every suite and</w:t>
      </w:r>
      <w:r>
        <w:t xml:space="preserve"> </w:t>
      </w:r>
      <w:r>
        <w:t xml:space="preserve">tier, and the headline panel ranks are unchanged relative to the pre-fix release —</w:t>
      </w:r>
      <w:r>
        <w:t xml:space="preserve"> </w:t>
      </w:r>
      <w:r>
        <w:t xml:space="preserve">the correction altered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trajectories without flipping any per-function</w:t>
      </w:r>
      <w:r>
        <w:t xml:space="preserve"> </w:t>
      </w:r>
      <w:r>
        <w:t xml:space="preserve">panel ordering.</w:t>
      </w:r>
    </w:p>
    <w:bookmarkEnd w:id="173"/>
    <w:bookmarkEnd w:id="174"/>
    <w:bookmarkEnd w:id="175"/>
    <w:bookmarkStart w:id="189" w:name="lbl_sec_supp_cec2013lsgo"/>
    <w:p>
      <w:pPr>
        <w:pStyle w:val="Heading1"/>
      </w:pPr>
      <w:bookmarkStart w:id="313" w:name="ref_sec_supp_cec2013lsgo"/>
      <w:r>
        <w:t xml:space="preserve">S7.</w:t>
      </w:r>
      <w:bookmarkEnd w:id="313"/>
      <w:r>
        <w:tab/>
      </w:r>
      <w:r>
        <w:t xml:space="preserve"> CEC2013LSGO Large-Scale Suite</w:t>
      </w:r>
    </w:p>
    <w:bookmarkStart w:id="176" w:name="lbl_sec_supp_lsgo_protocol"/>
    <w:p>
      <w:pPr>
        <w:pStyle w:val="Heading2"/>
      </w:pPr>
      <w:bookmarkStart w:id="314" w:name="ref_sec_supp_lsgo_protocol"/>
      <w:r>
        <w:t xml:space="preserve">S7.1.</w:t>
      </w:r>
      <w:bookmarkEnd w:id="314"/>
      <w:r>
        <w:tab/>
      </w:r>
      <w:r>
        <w:t xml:space="preserve"> Protocol, Evidential Tiers, and Scope</w:t>
      </w:r>
    </w:p>
    <w:p>
      <w:pPr>
        <w:pStyle w:val="FirstParagraph"/>
      </w:pPr>
      <w:r>
        <w:t xml:space="preserve">CEC2013LSGO is the large-scale suite of this study, reported as a</w:t>
      </w:r>
      <w:r>
        <w:t xml:space="preserve"> </w:t>
      </w:r>
      <w:r>
        <w:t xml:space="preserve">family-internal comparison at the suite’s native scale: 15 functions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, with the two overlapping functions F13 and F14 at their native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905</m:t>
        </m:r>
      </m:oMath>
      <w:r>
        <w:t xml:space="preserve">; 25 runs per function; a budget of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function</w:t>
      </w:r>
      <w:r>
        <w:t xml:space="preserve"> </w:t>
      </w:r>
      <w:r>
        <w:t xml:space="preserve">evaluations per run; and the same seven-algorithm family panel and unified</w:t>
      </w:r>
      <w:r>
        <w:t xml:space="preserve"> </w:t>
      </w:r>
      <w:r>
        <w:t xml:space="preserve">seed schedule (base seed 20240620) used throughout this</w:t>
      </w:r>
      <w:r>
        <w:t xml:space="preserve"> </w:t>
      </w:r>
      <w:r>
        <w:t xml:space="preserve">paper </w:t>
      </w:r>
      <w:r>
        <w:fldChar w:fldCharType="begin"/>
      </w:r>
      <w:r>
        <w:instrText xml:space="preserve"> CITATION li2013lsgo \l 1033 </w:instrText>
      </w:r>
      <w:r>
        <w:fldChar w:fldCharType="separate"/>
      </w:r>
      <w:r>
        <w:t xml:space="preserve">[5]</w:t>
      </w:r>
      <w:r>
        <w:fldChar w:fldCharType="end"/>
      </w:r>
      <w:r>
        <w:t xml:space="preserve">. Statistics on this suite use the raw best</w:t>
      </w:r>
      <w:r>
        <w:t xml:space="preserve"> </w:t>
      </w:r>
      <w:r>
        <w:t xml:space="preserve">objective value (CEC2011-style; the suite’s error column is not populated),</w:t>
      </w:r>
      <w:r>
        <w:t xml:space="preserve"> </w:t>
      </w:r>
      <w:r>
        <w:t xml:space="preserve">so magnitudes are not comparable across functions and no error floor is</w:t>
      </w:r>
      <w:r>
        <w:t xml:space="preserve"> </w:t>
      </w:r>
      <w:r>
        <w:t xml:space="preserve">applied. One benchmark-implementation disclosure governs every F3, F6 and</w:t>
      </w:r>
      <w:r>
        <w:t xml:space="preserve"> </w:t>
      </w:r>
      <w:r>
        <w:t xml:space="preserve">F10 value: those functions ran the</w:t>
      </w:r>
      <w:r>
        <w:t xml:space="preserve"> </w:t>
      </w:r>
      <w:r>
        <w:rPr>
          <w:i/>
          <w:iCs/>
        </w:rPr>
        <w:t xml:space="preserve">transformed</w:t>
      </w:r>
      <w:r>
        <w:t xml:space="preserve"> </w:t>
      </w:r>
      <w:r>
        <w:t xml:space="preserve">Ackley variant, so</w:t>
      </w:r>
      <w:r>
        <w:t xml:space="preserve"> </w:t>
      </w:r>
      <w:r>
        <w:t xml:space="preserve">results on them are not comparable to published values obtained on the raw</w:t>
      </w:r>
      <w:r>
        <w:t xml:space="preserve"> </w:t>
      </w:r>
      <w:r>
        <w:t xml:space="preserve">variant, and no such comparison is drawn anywhere in this paper.</w:t>
      </w:r>
      <w:r>
        <w:t xml:space="preserve"> </w:t>
      </w:r>
      <w:r>
        <w:t xml:space="preserve">Every number in this section derives from the separate, non-superseding</w:t>
      </w:r>
      <w:r>
        <w:t xml:space="preserve"> </w:t>
      </w:r>
      <w:r>
        <w:t xml:space="preserve">evidence release lsgo-rel-2026-07-28-ff1a046ef and its committed analysis</w:t>
      </w:r>
      <w:r>
        <w:t xml:space="preserve"> </w:t>
      </w:r>
      <w:r>
        <w:t xml:space="preserve">bundle; the primary evidence release rel-2026-07-20-67d9345f9 is untouched</w:t>
      </w:r>
      <w:r>
        <w:t xml:space="preserve"> </w:t>
      </w:r>
      <w:r>
        <w:t xml:space="preserve">by this suite.</w:t>
      </w:r>
    </w:p>
    <w:p>
      <w:pPr>
        <w:pStyle w:val="BodyText"/>
      </w:pPr>
      <w:r>
        <w:t xml:space="preserve">Two evidential tiers apply, fixed by the pre-registered analysis-plan</w:t>
      </w:r>
      <w:r>
        <w:t xml:space="preserve"> </w:t>
      </w:r>
      <w:r>
        <w:t xml:space="preserve">addendum (statistical_analysis_plan_addendum_cec2020_lsgo.md,</w:t>
      </w:r>
      <w:r>
        <w:t xml:space="preserve"> </w:t>
      </w:r>
      <w:r>
        <w:t xml:space="preserve">signing commit 5c9bfae82) and binding on every sentence of this section.</w:t>
      </w:r>
      <w:r>
        <w:t xml:space="preserve"> </w:t>
      </w:r>
      <w:r>
        <w:t xml:space="preserve">Before the addendum was signed, the family-only Friedman mean ranks, the</w:t>
      </w:r>
      <w:r>
        <w:t xml:space="preserve"> </w:t>
      </w:r>
      <w:r>
        <w:t xml:space="preserve">omnibus, the Nemenyi view and the per-function win/loss descriptives of</w:t>
      </w:r>
      <w:r>
        <w:t xml:space="preserve"> </w:t>
      </w:r>
      <w:r>
        <w:t xml:space="preserve">this suite had been informally inspected; the addendum’s Section 6</w:t>
      </w:r>
      <w:r>
        <w:t xml:space="preserve"> </w:t>
      </w:r>
      <w:r>
        <w:t xml:space="preserve">declares that exposure verbatim. Those quantities are therefore reported</w:t>
      </w:r>
      <w:r>
        <w:t xml:space="preserve"> </w:t>
      </w:r>
      <w:r>
        <w:t xml:space="preserve">here as</w:t>
      </w:r>
      <w:r>
        <w:t xml:space="preserve"> </w:t>
      </w:r>
      <w:r>
        <w:rPr>
          <w:i/>
          <w:iCs/>
        </w:rPr>
        <w:t xml:space="preserve">descriptive-after-inspection</w:t>
      </w:r>
      <w:r>
        <w:t xml:space="preserve">: they carry no confirmatory</w:t>
      </w:r>
      <w:r>
        <w:t xml:space="preserve"> </w:t>
      </w:r>
      <w:r>
        <w:t xml:space="preserve">weight and enter no headline. The run-level paired Wilcoxon layer and the</w:t>
      </w:r>
      <w:r>
        <w:t xml:space="preserve"> </w:t>
      </w:r>
      <w:r>
        <w:t xml:space="preserve">effect-size layer had never been computed when the addendum was signed;</w:t>
      </w:r>
      <w:r>
        <w:t xml:space="preserve"> </w:t>
      </w:r>
      <w:r>
        <w:t xml:space="preserve">they were registered there, before computation, as the confirmatory LSGO</w:t>
      </w:r>
      <w:r>
        <w:t xml:space="preserve"> </w:t>
      </w:r>
      <w:r>
        <w:t xml:space="preserve">layer, and their first computations are recorded in the addendum’s dated</w:t>
      </w:r>
      <w:r>
        <w:t xml:space="preserve"> </w:t>
      </w:r>
      <w:r>
        <w:t xml:space="preserve">Amendments 1 and 2.</w:t>
      </w:r>
    </w:p>
    <w:p>
      <w:pPr>
        <w:pStyle w:val="BodyText"/>
      </w:pPr>
      <w:r>
        <w:t xml:space="preserve">The CEC2013LSGO analysis in this paper is family-internal: it ranks the</w:t>
      </w:r>
      <w:r>
        <w:t xml:space="preserve"> </w:t>
      </w:r>
      <w:r>
        <w:t xml:space="preserve">seven GSK-family variants against one another under a common protocol.</w:t>
      </w:r>
      <w:r>
        <w:t xml:space="preserve"> </w:t>
      </w:r>
      <w:r>
        <w:t xml:space="preserve">Dedicated large-scale optimizers — for example</w:t>
      </w:r>
      <w:r>
        <w:t xml:space="preserve"> </w:t>
      </w:r>
      <w:r>
        <w:t xml:space="preserve">SHADE-ILS </w:t>
      </w:r>
      <w:r>
        <w:fldChar w:fldCharType="begin"/>
      </w:r>
      <w:r>
        <w:instrText xml:space="preserve"> CITATION molina2018shadeils \l 1033 </w:instrText>
      </w:r>
      <w:r>
        <w:fldChar w:fldCharType="separate"/>
      </w:r>
      <w:r>
        <w:t xml:space="preserve">[17]</w:t>
      </w:r>
      <w:r>
        <w:fldChar w:fldCharType="end"/>
      </w:r>
      <w:r>
        <w:t xml:space="preserve"> and MOS </w:t>
      </w:r>
      <w:r>
        <w:fldChar w:fldCharType="begin"/>
      </w:r>
      <w:r>
        <w:instrText xml:space="preserve"> CITATION latorre2013mos \l 1033 </w:instrText>
      </w:r>
      <w:r>
        <w:fldChar w:fldCharType="separate"/>
      </w:r>
      <w:r>
        <w:t xml:space="preserve">[18]</w:t>
      </w:r>
      <w:r>
        <w:fldChar w:fldCharType="end"/>
      </w:r>
      <w:r>
        <w:t xml:space="preserve"> —</w:t>
      </w:r>
      <w:r>
        <w:t xml:space="preserve"> </w:t>
      </w:r>
      <w:r>
        <w:t xml:space="preserve">report substantially stronger published results on this suite than any</w:t>
      </w:r>
      <w:r>
        <w:t xml:space="preserve"> </w:t>
      </w:r>
      <w:r>
        <w:t xml:space="preserve">GSK-family member, and no competitiveness with such specialists is claimed</w:t>
      </w:r>
      <w:r>
        <w:t xml:space="preserve"> </w:t>
      </w:r>
      <w:r>
        <w:t xml:space="preserve">here; cross-paradigm comparison is outside this paper’s scope.</w:t>
      </w:r>
    </w:p>
    <w:p>
      <w:pPr>
        <w:pStyle w:val="BodyText"/>
      </w:pPr>
      <w:r>
        <w:t xml:space="preserve">For completeness: the public repository cited in the Data Availability</w:t>
      </w:r>
      <w:r>
        <w:t xml:space="preserve"> </w:t>
      </w:r>
      <w:r>
        <w:t xml:space="preserve">Statement additionally holds exploratory first-party ports of SHADE-ILS, MOS</w:t>
      </w:r>
      <w:r>
        <w:t xml:space="preserve"> </w:t>
      </w:r>
      <w:r>
        <w:t xml:space="preserve">and DECC-G, executed on this suite under the same harness and seed schedule.</w:t>
      </w:r>
      <w:r>
        <w:t xml:space="preserve"> </w:t>
      </w:r>
      <w:r>
        <w:t xml:space="preserve">They are retained there as exploratory material outside the registered</w:t>
      </w:r>
      <w:r>
        <w:t xml:space="preserve"> </w:t>
      </w:r>
      <w:r>
        <w:t xml:space="preserve">panel; they are not analysed in this paper, they enter no ranking or test</w:t>
      </w:r>
      <w:r>
        <w:t xml:space="preserve"> </w:t>
      </w:r>
      <w:r>
        <w:t xml:space="preserve">reported here, and no claim in this paper rests on them.</w:t>
      </w:r>
    </w:p>
    <w:bookmarkEnd w:id="176"/>
    <w:bookmarkStart w:id="177" w:name="lbl_sec_supp_lsgo_config"/>
    <w:p>
      <w:pPr>
        <w:pStyle w:val="Heading2"/>
      </w:pPr>
      <w:bookmarkStart w:id="315" w:name="ref_sec_supp_lsgo_config"/>
      <w:r>
        <w:t xml:space="preserve">S7.2.</w:t>
      </w:r>
      <w:bookmarkEnd w:id="315"/>
      <w:r>
        <w:tab/>
      </w:r>
      <w:r>
        <w:t xml:space="preserve"> Configuration Provenance on This Suite</w:t>
      </w:r>
    </w:p>
    <w:p>
      <w:pPr>
        <w:pStyle w:val="FirstParagraph"/>
      </w:pPr>
      <w:r>
        <w:t xml:space="preserve">DT-GSK runs the same hash-frozen configuration here as on the</w:t>
      </w:r>
      <w:r>
        <w:t xml:space="preserve"> </w:t>
      </w:r>
      <w:r>
        <w:t xml:space="preserve">bound-constrained suites, with one disclosed exception that exists for no</w:t>
      </w:r>
      <w:r>
        <w:t xml:space="preserve"> </w:t>
      </w:r>
      <w:r>
        <w:t xml:space="preserve">other suite: the shipped dimension-tier table does not extend to the</w:t>
      </w:r>
      <w:r>
        <w:t xml:space="preserve"> </w:t>
      </w:r>
      <w:r>
        <w:t xml:space="preserve">suite’s native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, so two linkage-block-size entries</w:t>
      </w:r>
      <w:r>
        <w:t xml:space="preserve"> </w:t>
      </w:r>
      <w:r>
        <w:t xml:space="preserve">(</w:t>
      </w:r>
      <m:oMath>
        <m:r>
          <m:t>905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→</m:t>
        </m:r>
        <m:r>
          <m:t>50</m:t>
        </m:r>
      </m:oMath>
      <w:r>
        <w:t xml:space="preserve">) were added for this</w:t>
      </w:r>
      <w:r>
        <w:t xml:space="preserve"> </w:t>
      </w:r>
      <w:r>
        <w:t xml:space="preserve">suite alone, while all six comparators ran with empty optimizer options.</w:t>
      </w:r>
      <w:r>
        <w:t xml:space="preserve"> </w:t>
      </w:r>
      <w:r>
        <w:t xml:space="preserve">A second configuration asymmetry is disclosed here because it is larger on</w:t>
      </w:r>
      <w:r>
        <w:t xml:space="preserve"> </w:t>
      </w:r>
      <w:r>
        <w:t xml:space="preserve">this suite than anywhere else in the paper: DT-GSK’s</w:t>
      </w:r>
      <w:r>
        <w:t xml:space="preserve"> </w:t>
      </w:r>
      <m:oMath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rule gives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against the comparators’ reference-implementation value of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— a</w:t>
      </w:r>
      <w:r>
        <w:t xml:space="preserve"> </w:t>
      </w:r>
      <w:r>
        <w:t xml:space="preserve">fifty-fold ratio at initialization, where the corresponding ratio is</w:t>
      </w:r>
      <w:r>
        <w:t xml:space="preserve"> </w:t>
      </w:r>
      <w:r>
        <w:t xml:space="preserve">five-fold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on the bound-constrained suites. The budget is</w:t>
      </w:r>
      <w:r>
        <w:t xml:space="preserve"> </w:t>
      </w:r>
      <w:r>
        <w:t xml:space="preserve">equalized on function evaluations rather than on population size, so the</w:t>
      </w:r>
      <w:r>
        <w:t xml:space="preserve"> </w:t>
      </w:r>
      <w:r>
        <w:t xml:space="preserve">larger initial population buys proportionally fewer generations; the</w:t>
      </w:r>
      <w:r>
        <w:t xml:space="preserve"> </w:t>
      </w:r>
      <w:r>
        <w:t xml:space="preserve">population rule is not a controlled variable on this suite, and the</w:t>
      </w:r>
      <w:r>
        <w:t xml:space="preserve"> </w:t>
      </w:r>
      <w:r>
        <w:t xml:space="preserve">matched-population control of Section </w:t>
      </w:r>
      <w:r>
        <w:fldChar w:fldCharType="begin"/>
      </w:r>
      <w:r>
        <w:instrText xml:space="preserve"> REF ref_sec_supp_rev_np \h </w:instrText>
      </w:r>
      <w:r>
        <w:fldChar w:fldCharType="separate"/>
      </w:r>
      <w:r>
        <w:t xml:space="preserve">S9.2</w:t>
      </w:r>
      <w:r>
        <w:fldChar w:fldCharType="end"/>
      </w:r>
      <w:r>
        <w:t xml:space="preserve"> covers</w:t>
      </w:r>
      <w:r>
        <w:t xml:space="preserve"> </w:t>
      </w:r>
      <w:r>
        <w:t xml:space="preserve">CEC2017 only.</w:t>
      </w:r>
      <w:r>
        <w:t xml:space="preserve"> </w:t>
      </w:r>
      <w:r>
        <w:t xml:space="preserve">The value 50 follows a structural rule recorded in the configuration file</w:t>
      </w:r>
      <w:r>
        <w:t xml:space="preserve"> </w:t>
      </w:r>
      <w:r>
        <w:t xml:space="preserve">at the time the entries were introduced: it matches the benchmark’s own</w:t>
      </w:r>
      <w:r>
        <w:t xml:space="preserve"> </w:t>
      </w:r>
      <w:r>
        <w:t xml:space="preserve">declared group structure — the suite builds its partially separable</w:t>
      </w:r>
      <w:r>
        <w:t xml:space="preserve"> </w:t>
      </w:r>
      <w:r>
        <w:t xml:space="preserve">functions from groups of 25, 50 and 100 variables, with F8–F11 using</w:t>
      </w:r>
      <w:r>
        <w:t xml:space="preserve"> </w:t>
      </w:r>
      <w:r>
        <w:t xml:space="preserve">twenty groups of 50 and F13/F14 using 50-dimensional overlapping groups</w:t>
      </w:r>
      <w:r>
        <w:t xml:space="preserve"> </w:t>
      </w:r>
      <w:r>
        <w:t xml:space="preserve">— rather than any observed result, and no parameter search was run.</w:t>
      </w:r>
      <w:r>
        <w:t xml:space="preserve"> </w:t>
      </w:r>
      <w:r>
        <w:t xml:space="preserve">The timing is disclosed rather than glossed: the two entries were added on</w:t>
      </w:r>
      <w:r>
        <w:t xml:space="preserve"> </w:t>
      </w:r>
      <w:r>
        <w:t xml:space="preserve">2026-07-24, while DT-GSK CEC2013LSGO results had existed in the</w:t>
      </w:r>
      <w:r>
        <w:t xml:space="preserve"> </w:t>
      </w:r>
      <w:r>
        <w:t xml:space="preserve">repository since 2026-07-21, so outcome-blindness is not asserted for</w:t>
      </w:r>
      <w:r>
        <w:t xml:space="preserve"> </w:t>
      </w:r>
      <w:r>
        <w:t xml:space="preserve">them. What is asserted is the stated structural rule, its contemporaneous</w:t>
      </w:r>
      <w:r>
        <w:t xml:space="preserve"> </w:t>
      </w:r>
      <w:r>
        <w:t xml:space="preserve">record in the configuration file, and the absence of any parameter</w:t>
      </w:r>
      <w:r>
        <w:t xml:space="preserve"> </w:t>
      </w:r>
      <w:r>
        <w:t xml:space="preserve">search; the registered run-level layer below, which found no suite-level</w:t>
      </w:r>
      <w:r>
        <w:t xml:space="preserve"> </w:t>
      </w:r>
      <w:r>
        <w:t xml:space="preserve">separation in DT-GSK’s favor against any comparator, is not inflated</w:t>
      </w:r>
      <w:r>
        <w:t xml:space="preserve"> </w:t>
      </w:r>
      <w:r>
        <w:t xml:space="preserve">by this choice.</w:t>
      </w:r>
    </w:p>
    <w:bookmarkEnd w:id="177"/>
    <w:bookmarkStart w:id="179" w:name="lbl_sec_supp_lsgo_ranks"/>
    <w:p>
      <w:pPr>
        <w:pStyle w:val="Heading2"/>
      </w:pPr>
      <w:bookmarkStart w:id="316" w:name="ref_sec_supp_lsgo_ranks"/>
      <w:r>
        <w:t xml:space="preserve">S7.3.</w:t>
      </w:r>
      <w:bookmarkEnd w:id="316"/>
      <w:r>
        <w:tab/>
      </w:r>
      <w:r>
        <w:t xml:space="preserve"> Family Friedman and Nemenyi View (Descriptive After Inspection)</w:t>
      </w:r>
    </w:p>
    <w:p>
      <w:pPr>
        <w:pStyle w:val="FirstParagraph"/>
      </w:pPr>
      <w:r>
        <w:t xml:space="preserve">The registered standing statement for this suite is quoted from the</w:t>
      </w:r>
      <w:r>
        <w:t xml:space="preserve"> </w:t>
      </w:r>
      <w:r>
        <w:t xml:space="preserve">addendum’s pre-committed wording bank: DT-GSK and AGSK share the</w:t>
      </w:r>
      <w:r>
        <w:t xml:space="preserve"> </w:t>
      </w:r>
      <w:r>
        <w:t xml:space="preserve">best descriptive family mean rank (both 3.1333, tied-first); no member</w:t>
      </w:r>
      <w:r>
        <w:t xml:space="preserve"> </w:t>
      </w:r>
      <w:r>
        <w:t xml:space="preserve">except eGSK (worse) is separable by the omnibus procedure; and</w:t>
      </w:r>
      <w:r>
        <w:t xml:space="preserve"> </w:t>
      </w:r>
      <w:r>
        <w:t xml:space="preserve">DT-GSK is last on F7 and F15. Table </w:t>
      </w:r>
      <w:r>
        <w:fldChar w:fldCharType="begin"/>
      </w:r>
      <w:r>
        <w:instrText xml:space="preserve"> REF ref_tab_supp_lsgo_ranks \h </w:instrText>
      </w:r>
      <w:r>
        <w:fldChar w:fldCharType="separate"/>
      </w:r>
      <w:r>
        <w:t xml:space="preserve">A27</w:t>
      </w:r>
      <w:r>
        <w:fldChar w:fldCharType="end"/>
      </w:r>
      <w:r>
        <w:t xml:space="preserve"> gives</w:t>
      </w:r>
      <w:r>
        <w:t xml:space="preserve"> </w:t>
      </w:r>
      <w:r>
        <w:t xml:space="preserve">the full view. The tie-corrected Friedman omnibus over the 15 function</w:t>
      </w:r>
      <w:r>
        <w:t xml:space="preserve"> </w:t>
      </w:r>
      <w:r>
        <w:t xml:space="preserve">blocks gives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15.314</m:t>
        </m:r>
      </m:oMath>
      <w:r>
        <w:t xml:space="preserve"> </w:t>
      </w:r>
      <w:r>
        <w:t xml:space="preserve">(df 6, tie correction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1.0</m:t>
        </m:r>
      </m:oMath>
      <w:r>
        <w:t xml:space="preserve">, no tied</w:t>
      </w:r>
      <w:r>
        <w:t xml:space="preserve"> </w:t>
      </w:r>
      <w:r>
        <w:t xml:space="preserve">blocks), Iman–Davenport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84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2.8707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0.0136</m:t>
        </m:r>
      </m:oMath>
      <w:r>
        <w:t xml:space="preserve">; the Nemenyi</w:t>
      </w:r>
      <w:r>
        <w:t xml:space="preserve"> </w:t>
      </w:r>
      <w:r>
        <w:t xml:space="preserve">critical distance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2.326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),</w:t>
      </w:r>
      <w:r>
        <w:t xml:space="preserve"> </w:t>
      </w:r>
      <w:r>
        <w:t xml:space="preserve">which separates only eGSK from the two tied-first members. Under the</w:t>
      </w:r>
      <w:r>
        <w:t xml:space="preserve"> </w:t>
      </w:r>
      <w:r>
        <w:t xml:space="preserve">registered tier this entire subsection is descriptive-after-inspection:</w:t>
      </w:r>
      <w:r>
        <w:t xml:space="preserve"> </w:t>
      </w:r>
      <w:r>
        <w:t xml:space="preserve">it carries no confirmatory weight, and the mandatory median-basis re-rank</w:t>
      </w:r>
      <w:r>
        <w:t xml:space="preserve"> </w:t>
      </w:r>
      <w:r>
        <w:t xml:space="preserve">of the registered robustness family reproduces every ordinal, the</w:t>
      </w:r>
      <w:r>
        <w:t xml:space="preserve"> </w:t>
      </w:r>
      <w:r>
        <w:t xml:space="preserve">registered relative-tie-band variant leaves every win/tie/loss split</w:t>
      </w:r>
      <w:r>
        <w:t xml:space="preserve"> </w:t>
      </w:r>
      <w:r>
        <w:t xml:space="preserve">unchanged on the raw basis, while the</w:t>
      </w:r>
      <w:r>
        <w:t xml:space="preserve"> </w:t>
      </w:r>
      <w:r>
        <w:t xml:space="preserve">leave-one-function-out variant — registered as exploratory because the</w:t>
      </w:r>
      <w:r>
        <w:t xml:space="preserve"> </w:t>
      </w:r>
      <w:r>
        <w:t xml:space="preserve">F7/F15 deletions are inspection-informed — moves some ordinals and is</w:t>
      </w:r>
      <w:r>
        <w:t xml:space="preserve"> </w:t>
      </w:r>
      <w:r>
        <w:t xml:space="preserve">recorded in full in the released robustness digest.</w:t>
      </w:r>
    </w:p>
    <w:bookmarkStart w:id="178" w:name="lbl_tab_supp_lsgo_rank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17" w:name="ref_tab_supp_lsgo_ranks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27</w:t>
      </w:r>
      <w:r>
        <w:fldChar w:fldCharType="end"/>
      </w:r>
      <w:bookmarkEnd w:id="317"/>
      <w:r>
        <w:rPr>
          <w:b/>
        </w:rPr>
        <w:t xml:space="preserve">. </w:t>
      </w:r>
      <w:r>
        <w:t xml:space="preserve"> CEC2013LSGO family-only tie-corrected Friedman mean ranks over</w:t>
      </w:r>
      <w:r>
        <w:t xml:space="preserve"> </w:t>
      </w:r>
      <w:r>
        <w:t xml:space="preserve">the 15 function blocks (native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; F13/F14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905</m:t>
        </m:r>
      </m:oMath>
      <w:r>
        <w:t xml:space="preserve">; 25 runs;</w:t>
      </w:r>
      <w:r>
        <w:t xml:space="preserve"> </w:t>
      </w:r>
      <w:r>
        <w:t xml:space="preserve">raw best-objective basis) with the Nemenyi critical distance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2.326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). Lower rank</w:t>
      </w:r>
      <w:r>
        <w:t xml:space="preserve"> </w:t>
      </w:r>
      <w:r>
        <w:t xml:space="preserve">is better; DT-GSK and AGSK are exactly tied-first. Evidential</w:t>
      </w:r>
      <w:r>
        <w:t xml:space="preserve"> </w:t>
      </w:r>
      <w:r>
        <w:t xml:space="preserve">tier: descriptive-after-inspection (addendum Section 6) — these ranks</w:t>
      </w:r>
      <w:r>
        <w:t xml:space="preserve"> </w:t>
      </w:r>
      <w:r>
        <w:t xml:space="preserve">were informally inspected before the analysis plan was signed, carry no</w:t>
      </w:r>
      <w:r>
        <w:t xml:space="preserve"> </w:t>
      </w:r>
      <w:r>
        <w:t xml:space="preserve">confirmatory weight, and enter no confirmatory headline.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13LSGO family-only tie-corrected Friedman mean ranks over the 15 function blocks (native D = 1000; F13/F14 at D = 905; 25 runs; raw best-objective basis) with the Nemenyi critical distance CD = 2.326 (k = 7, N = 15, α= 0.05). Lower rank is better; DT-GSK and AGSK are exactly tied-first. Evidential tier: descriptive-after-inspection (addendum Section 6) — these ranks were informally inspected before the analysis plan was signed, carry no confirmatory weight, and enter no confirmatory headline.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 rank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Ordinal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(tied-first)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DT-GSK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(tied-first)</w:t>
            </w:r>
          </w:p>
        </w:tc>
      </w:tr>
    </w:tbl>
    <w:bookmarkEnd w:id="178"/>
    <w:bookmarkEnd w:id="179"/>
    <w:bookmarkStart w:id="181" w:name="lbl_sec_supp_lsgo_pairwise"/>
    <w:p>
      <w:pPr>
        <w:pStyle w:val="Heading2"/>
      </w:pPr>
      <w:bookmarkStart w:id="318" w:name="ref_sec_supp_lsgo_pairwise"/>
      <w:r>
        <w:t xml:space="preserve">S7.4.</w:t>
      </w:r>
      <w:bookmarkEnd w:id="318"/>
      <w:r>
        <w:tab/>
      </w:r>
      <w:r>
        <w:t xml:space="preserve"> Across-Function Wilcoxon (Supporting, With Disclosure)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ref_tab_supp_lsgo_wilcoxon \h </w:instrText>
      </w:r>
      <w:r>
        <w:fldChar w:fldCharType="separate"/>
      </w:r>
      <w:r>
        <w:t xml:space="preserve">A28</w:t>
      </w:r>
      <w:r>
        <w:fldChar w:fldCharType="end"/>
      </w:r>
      <w:r>
        <w:t xml:space="preserve"> reports the across-function Wilcoxon</w:t>
      </w:r>
      <w:r>
        <w:t xml:space="preserve"> </w:t>
      </w:r>
      <w:r>
        <w:t xml:space="preserve">signed-rank layer: DT-GSK against each comparator on the 15 paired</w:t>
      </w:r>
      <w:r>
        <w:t xml:space="preserve"> </w:t>
      </w:r>
      <w:r>
        <w:t xml:space="preserve">per-function means of the raw best objective, decided by exact sign-flip</w:t>
      </w:r>
      <w:r>
        <w:t xml:space="preserve"> </w:t>
      </w:r>
      <w:r>
        <w:t xml:space="preserve">enumeration over all</w:t>
      </w:r>
      <w:r>
        <w:t xml:space="preserve"> </w:t>
      </w:r>
      <m:oMath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 </w:t>
      </w:r>
      <w:r>
        <w:t xml:space="preserve">patterns, with the normal-approximation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recorded alongside for continuity with the frozen suites and Holm</w:t>
      </w:r>
      <w:r>
        <w:t xml:space="preserve"> </w:t>
      </w:r>
      <w:r>
        <w:t xml:space="preserve">correction over 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comparators. No comparator separates from</w:t>
      </w:r>
      <w:r>
        <w:t xml:space="preserve"> </w:t>
      </w:r>
      <w:r>
        <w:t xml:space="preserve">DT-GSK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after Holm — the smallest Holm-adjusted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0.2875 (APGSK and eGSK) — so this layer demonstrates no</w:t>
      </w:r>
      <w:r>
        <w:t xml:space="preserve"> </w:t>
      </w:r>
      <w:r>
        <w:t xml:space="preserve">separation in either direction; in particular, paired tests do not</w:t>
      </w:r>
      <w:r>
        <w:t xml:space="preserve"> </w:t>
      </w:r>
      <w:r>
        <w:t xml:space="preserve">separate DT-GSK from AGSK (exact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0.8469</m:t>
        </m:r>
      </m:oMath>
      <w:r>
        <w:t xml:space="preserve">, Holm-adjusted</w:t>
      </w:r>
      <w:r>
        <w:t xml:space="preserve"> </w:t>
      </w:r>
      <m:oMath>
        <m:r>
          <m:t>1.0</m:t>
        </m:r>
      </m:oMath>
      <w:r>
        <w:t xml:space="preserve">).</w:t>
      </w:r>
      <w:r>
        <w:t xml:space="preserve"> </w:t>
      </w:r>
      <w:r>
        <w:t xml:space="preserve">Per the addendum’s pre-committed power disclosure, these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across-function families are low-powered by construction (Nemenyi</w:t>
      </w:r>
      <w:r>
        <w:t xml:space="preserve"> </w:t>
      </w:r>
      <w:r>
        <w:t xml:space="preserve">critical distance</w:t>
      </w:r>
      <w:r>
        <w:t xml:space="preserve"> </w:t>
      </w:r>
      <m:oMath>
        <m:r>
          <m:t>2.326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1.673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</m:t>
        </m:r>
      </m:oMath>
      <w:r>
        <w:t xml:space="preserve"> </w:t>
      </w:r>
      <w:r>
        <w:t xml:space="preserve">CEC2017</w:t>
      </w:r>
      <w:r>
        <w:t xml:space="preserve"> </w:t>
      </w:r>
      <w:r>
        <w:t xml:space="preserve">families), so non-significance on this suite is read as no separation</w:t>
      </w:r>
      <w:r>
        <w:t xml:space="preserve"> </w:t>
      </w:r>
      <w:r>
        <w:t xml:space="preserve">demonstrated, never as equivalence.</w:t>
      </w:r>
    </w:p>
    <w:bookmarkStart w:id="180" w:name="lbl_tab_supp_lsgo_wilcoxon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19" w:name="ref_tab_supp_lsgo_wilcoxon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28</w:t>
      </w:r>
      <w:r>
        <w:fldChar w:fldCharType="end"/>
      </w:r>
      <w:bookmarkEnd w:id="319"/>
      <w:r>
        <w:rPr>
          <w:b/>
        </w:rPr>
        <w:t xml:space="preserve">. </w:t>
      </w:r>
      <w:r>
        <w:t xml:space="preserve"> Across-function Wilcoxon signed-rank layer on CEC2013LSGO,</w:t>
      </w:r>
      <w:r>
        <w:t xml:space="preserve"> </w:t>
      </w:r>
      <w:r>
        <w:t xml:space="preserve">DT-GSK vs. each family comparator 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paired per-function</w:t>
      </w:r>
      <w:r>
        <w:t xml:space="preserve"> </w:t>
      </w:r>
      <w:r>
        <w:t xml:space="preserve">means of the raw best objective over 25 runs; zero differences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discarded before ranking — none occurred,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throughout). The decision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exact</w:t>
      </w:r>
      <w:r>
        <w:t xml:space="preserve"> </w:t>
      </w:r>
      <w:r>
        <w:t xml:space="preserve">two-sided sign-flip enumeration over all</w:t>
      </w:r>
      <w:r>
        <w:t xml:space="preserve"> </w:t>
      </w:r>
      <m:oMath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 </w:t>
      </w:r>
      <w:r>
        <w:t xml:space="preserve">signed-rank patterns;</w:t>
      </w:r>
      <w:r>
        <w:t xml:space="preserve"> </w:t>
      </w:r>
      <w:r>
        <w:t xml:space="preserve">the normal-approximation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recorded for continuity with the frozen</w:t>
      </w:r>
      <w:r>
        <w:t xml:space="preserve"> </w:t>
      </w:r>
      <w:r>
        <w:t xml:space="preserve">suites; Holm step-down is applied over the six comparators. W–L is the</w:t>
      </w:r>
      <w:r>
        <w:t xml:space="preserve"> </w:t>
      </w:r>
      <w:r>
        <w:t xml:space="preserve">per-function mean win–loss split for DT-GSK. No comparison is</w:t>
      </w:r>
      <w:r>
        <w:t xml:space="preserve"> </w:t>
      </w:r>
      <w:r>
        <w:t xml:space="preserve">Holm-significant: this layer demonstrates no separation in either</w:t>
      </w:r>
      <w:r>
        <w:t xml:space="preserve"> </w:t>
      </w:r>
      <w:r>
        <w:t xml:space="preserve">direction. Evidential tier: supporting-with-disclosure (addendum</w:t>
      </w:r>
      <w:r>
        <w:t xml:space="preserve"> </w:t>
      </w:r>
      <w:r>
        <w:t xml:space="preserve">Section 4).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cross-function Wilcoxon signed-rank layer on CEC2013LSGO, DT-GSK vs. each family comparator (n = 15 paired per-function means of the raw best objective over 25 runs; zero differences |Δ| &lt; 10^-8 discarded before ranking — none occurred, n_eff = 15 throughout). The decision p is the exact two-sided sign-flip enumeration over all 2^15 signed-rank patterns; the normal-approximation p is recorded for continuity with the frozen suites; Holm step-down is applied over the six comparators. W–L is the per-function mean win–loss split for DT-GSK. No comparison is Holm-significant: this layer demonstrates no separation in either direction. Evidential tier: supporting-with-disclosure (addendum Section 4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Comparator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W–L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(exact)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(normal)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(Holm)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Decision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separation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9–6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separation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11–4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separation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11–4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separation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separation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11–4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separation</w:t>
            </w:r>
          </w:p>
        </w:tc>
      </w:tr>
    </w:tbl>
    <w:bookmarkEnd w:id="180"/>
    <w:bookmarkEnd w:id="181"/>
    <w:bookmarkStart w:id="183" w:name="lbl_sec_supp_lsgo_runlevel"/>
    <w:p>
      <w:pPr>
        <w:pStyle w:val="Heading2"/>
      </w:pPr>
      <w:bookmarkStart w:id="320" w:name="ref_sec_supp_lsgo_runlevel"/>
      <w:r>
        <w:t xml:space="preserve">S7.5.</w:t>
      </w:r>
      <w:bookmarkEnd w:id="320"/>
      <w:r>
        <w:tab/>
      </w:r>
      <w:r>
        <w:t xml:space="preserve"> Run-Level Paired Wilcoxon (Registered Confirmatory Layer)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ref_tab_supp_lsgo_runlevel \h </w:instrText>
      </w:r>
      <w:r>
        <w:fldChar w:fldCharType="separate"/>
      </w:r>
      <w:r>
        <w:t xml:space="preserve">A29</w:t>
      </w:r>
      <w:r>
        <w:fldChar w:fldCharType="end"/>
      </w:r>
      <w:r>
        <w:t xml:space="preserve"> reports the registered confirmatory</w:t>
      </w:r>
      <w:r>
        <w:t xml:space="preserve"> </w:t>
      </w:r>
      <w:r>
        <w:t xml:space="preserve">layer: per-function run-level Wilcoxon over the 25 seed-paired runs</w:t>
      </w:r>
      <w:r>
        <w:t xml:space="preserve"> </w:t>
      </w:r>
      <w:r>
        <w:t xml:space="preserve">(pairing key = run id; seed identity across all seven algorithms verified</w:t>
      </w:r>
      <w:r>
        <w:t xml:space="preserve"> </w:t>
      </w:r>
      <w:r>
        <w:t xml:space="preserve">with zero mismatches), exact two-sided</w:t>
      </w:r>
      <w:r>
        <w:t xml:space="preserve"> </w:t>
      </w:r>
      <m:oMath>
        <m:r>
          <m:t>p</m:t>
        </m:r>
      </m:oMath>
      <w:r>
        <w:t xml:space="preserve">, Holm-corrected</w:t>
      </w:r>
      <w:r>
        <w:t xml:space="preserve"> </w:t>
      </w:r>
      <w:r>
        <w:rPr>
          <w:i/>
          <w:iCs/>
        </w:rPr>
        <w:t xml:space="preserve">across</w:t>
      </w:r>
      <w:r>
        <w:rPr>
          <w:i/>
          <w:iCs/>
        </w:rPr>
        <w:t xml:space="preserve"> </w:t>
      </w:r>
      <w:r>
        <w:rPr>
          <w:i/>
          <w:iCs/>
        </w:rPr>
        <w:t xml:space="preserve">the 15 functions</w:t>
      </w:r>
      <w:r>
        <w:t xml:space="preserve"> </w:t>
      </w:r>
      <w:r>
        <w:t xml:space="preserve">per comparator (</w:t>
      </w:r>
      <m:oMath>
        <m:r>
          <m:t>m</m:t>
        </m:r>
        <m:r>
          <m:rPr>
            <m:sty m:val="p"/>
          </m:rPr>
          <m:t>=</m:t>
        </m:r>
        <m:r>
          <m:t>15</m:t>
        </m:r>
      </m:oMath>
      <w:r>
        <w:t xml:space="preserve">); as registered, no additional</w:t>
      </w:r>
      <w:r>
        <w:t xml:space="preserve"> </w:t>
      </w:r>
      <w:r>
        <w:t xml:space="preserve">correction is applied across the six comparators, so the six columns are</w:t>
      </w:r>
      <w:r>
        <w:t xml:space="preserve"> </w:t>
      </w:r>
      <w:r>
        <w:t xml:space="preserve">not jointly error-controlled and are never summed into one claim. Two</w:t>
      </w:r>
      <w:r>
        <w:t xml:space="preserve"> </w:t>
      </w:r>
      <w:r>
        <w:t xml:space="preserve">cross-comparator regularities are stated in both directions: DT-GSK is</w:t>
      </w:r>
      <w:r>
        <w:t xml:space="preserve"> </w:t>
      </w:r>
      <w:r>
        <w:t xml:space="preserve">Holm-significantly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than every family member on F4 and F8,</w:t>
      </w:r>
      <w:r>
        <w:t xml:space="preserve"> </w:t>
      </w:r>
      <w:r>
        <w:t xml:space="preserve">and Holm-significantly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every family member on F7 and</w:t>
      </w:r>
      <w:r>
        <w:t xml:space="preserve"> </w:t>
      </w:r>
      <w:r>
        <w:t xml:space="preserve">F15. Per comparator, the Holm-significant win/loss/no-separation counts</w:t>
      </w:r>
      <w:r>
        <w:t xml:space="preserve"> </w:t>
      </w:r>
      <w:r>
        <w:t xml:space="preserve">are 8/6/1 vs. GSK; 9/6/0 vs. AGSK; 11/3/1 vs. APGSK; 11/4/0 vs. FDB-AGSK; 7/6/2 vs. ATMALS-GSK; 11/4/0 vs. eGSK.</w:t>
      </w:r>
      <w:r>
        <w:t xml:space="preserve"> </w:t>
      </w:r>
      <w:r>
        <w:t xml:space="preserve">The binding suite-level wording, fixed by the addendum’s Section 9 before</w:t>
      </w:r>
      <w:r>
        <w:t xml:space="preserve"> </w:t>
      </w:r>
      <w:r>
        <w:t xml:space="preserve">this layer was ever computed, applies verbatim: tied-first descriptive</w:t>
      </w:r>
      <w:r>
        <w:t xml:space="preserve"> </w:t>
      </w:r>
      <w:r>
        <w:t xml:space="preserve">rank; paired tests do not separate DT-GSK from AGSK.</w:t>
      </w:r>
    </w:p>
    <w:bookmarkStart w:id="182" w:name="lbl_tab_supp_lsgo_runlevel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21" w:name="ref_tab_supp_lsgo_runlevel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29</w:t>
      </w:r>
      <w:r>
        <w:fldChar w:fldCharType="end"/>
      </w:r>
      <w:bookmarkEnd w:id="321"/>
      <w:r>
        <w:rPr>
          <w:b/>
        </w:rPr>
        <w:t xml:space="preserve">. </w:t>
      </w:r>
      <w:r>
        <w:t xml:space="preserve"> Registered confirmatory layer on CEC2013LSGO: per-function</w:t>
      </w:r>
      <w:r>
        <w:t xml:space="preserve"> </w:t>
      </w:r>
      <w:r>
        <w:t xml:space="preserve">run-level Wilcoxon over the 25 seed-paired runs, DT-GSK vs. each</w:t>
      </w:r>
      <w:r>
        <w:t xml:space="preserve"> </w:t>
      </w:r>
      <w:r>
        <w:t xml:space="preserve">family comparator, exact two-sided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Holm-corrected across the 15</w:t>
      </w:r>
      <w:r>
        <w:t xml:space="preserve"> </w:t>
      </w:r>
      <w:r>
        <w:t xml:space="preserve">functions per comparator (</w:t>
      </w:r>
      <m:oMath>
        <m:r>
          <m:t>m</m:t>
        </m:r>
        <m:r>
          <m:rPr>
            <m:sty m:val="p"/>
          </m:rPr>
          <m:t>=</m:t>
        </m:r>
        <m:r>
          <m:t>15</m:t>
        </m:r>
      </m:oMath>
      <w:r>
        <w:t xml:space="preserve">; no correction across comparators, as</w:t>
      </w:r>
      <w:r>
        <w:t xml:space="preserve"> </w:t>
      </w:r>
      <w:r>
        <w:t xml:space="preserve">registered). Cell entries are the Holm-significant outcome for DT-GSK</w:t>
      </w:r>
      <w:r>
        <w:t xml:space="preserve"> </w:t>
      </w:r>
      <w:r>
        <w:t xml:space="preserve">(W = win, L = loss, n.s. = no separation demonstrated) with the</w:t>
      </w:r>
      <w:r>
        <w:t xml:space="preserve"> </w:t>
      </w:r>
      <w:r>
        <w:t xml:space="preserve">Holm-adjusted</w:t>
      </w:r>
      <w:r>
        <w:t xml:space="preserve"> </w:t>
      </w:r>
      <m:oMath>
        <m:r>
          <m:t>p</m:t>
        </m:r>
      </m:oMath>
      <w:r>
        <w:t xml:space="preserve">. Zero differences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are discarded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in every cell). DT-GSK wins F4 and F8</w:t>
      </w:r>
      <w:r>
        <w:t xml:space="preserve"> </w:t>
      </w:r>
      <w:r>
        <w:t xml:space="preserve">against every comparator and loses F7 and F15 against every comparator.</w:t>
      </w:r>
      <w:r>
        <w:t xml:space="preserve"> </w:t>
      </w:r>
      <w:r>
        <w:t xml:space="preserve">Evidential tier: confirmatory-with-disclosure (addendum Sections 3–4;</w:t>
      </w:r>
      <w:r>
        <w:t xml:space="preserve"> </w:t>
      </w:r>
      <w:r>
        <w:t xml:space="preserve">never computed before registration).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stered confirmatory layer on CEC2013LSGO: per-function run-level Wilcoxon over the 25 seed-paired runs, DT-GSK vs. each family comparator, exact two-sided p Holm-corrected across the 15 functions per comparator (m = 15; no correction across comparators, as registered). Cell entries are the Holm-significant outcome for DT-GSK (W = win, L = loss, n.s. = no separation demonstrated) with the Holm-adjusted p. Zero differences |Δ| &lt; 10^-8 are discarded (n_eff = 25 in every cell). DT-GSK wins F4 and F8 against every comparator and loses F7 and F15 against every comparator. Evidential tier: confirmatory-with-disclosure (addendum Sections 3–4; never computed before registration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eGSK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3.02E-05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3.61E-04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4.17E-06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0.0160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3.27E-05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1.07E-04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2.38E-06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2.09E-06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1.79E-06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0.1334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1.62E-04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2.98E-06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0.0029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0.5424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9.58E-05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0.9158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1.67E-05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0.0473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0.8325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8.94E-07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9.83E-06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1.67E-05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8.94E-07</w:t>
            </w:r>
          </w:p>
        </w:tc>
      </w:tr>
    </w:tbl>
    <w:bookmarkEnd w:id="182"/>
    <w:bookmarkEnd w:id="183"/>
    <w:bookmarkStart w:id="185" w:name="lbl_sec_supp_lsgo_effects"/>
    <w:p>
      <w:pPr>
        <w:pStyle w:val="Heading2"/>
      </w:pPr>
      <w:bookmarkStart w:id="322" w:name="ref_sec_supp_lsgo_effects"/>
      <w:r>
        <w:t xml:space="preserve">S7.6.</w:t>
      </w:r>
      <w:bookmarkEnd w:id="322"/>
      <w:r>
        <w:tab/>
      </w:r>
      <w:r>
        <w:t xml:space="preserve"> Effect Sizes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ref_tab_supp_lsgo_effects \h </w:instrText>
      </w:r>
      <w:r>
        <w:fldChar w:fldCharType="separate"/>
      </w:r>
      <w:r>
        <w:t xml:space="preserve">A30</w:t>
      </w:r>
      <w:r>
        <w:fldChar w:fldCharType="end"/>
      </w:r>
      <w:r>
        <w:t xml:space="preserve"> reports the registered effect-size</w:t>
      </w:r>
      <w:r>
        <w:t xml:space="preserve"> </w:t>
      </w:r>
      <w:r>
        <w:t xml:space="preserve">layer: run-level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 Cliff’s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over the 25 seed-paired</w:t>
      </w:r>
      <w:r>
        <w:t xml:space="preserve"> </w:t>
      </w:r>
      <w:r>
        <w:t xml:space="preserve">runs per cell, with BCa 95% confidence intervals (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on</w:t>
      </w:r>
      <w:r>
        <w:t xml:space="preserve"> </w:t>
      </w:r>
      <w:r>
        <w:t xml:space="preserve">the paired mean differences released in the analysis bundle. All 90</w:t>
      </w:r>
      <w:r>
        <w:t xml:space="preserve"> </w:t>
      </w:r>
      <w:r>
        <w:t xml:space="preserve">cells are non-degenerate 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everywhere). Effects</w:t>
      </w:r>
      <w:r>
        <w:t xml:space="preserve"> </w:t>
      </w:r>
      <w:r>
        <w:t xml:space="preserve">are bimodal rather than graded: 86 of 90 cells are large, and 52 are</w:t>
      </w:r>
      <w:r>
        <w:t xml:space="preserve"> </w:t>
      </w:r>
      <w:r>
        <w:t xml:space="preserve">saturated at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(complete sample separation);</w:t>
      </w:r>
      <w:r>
        <w:t xml:space="preserve"> </w:t>
      </w:r>
      <w:r>
        <w:t xml:space="preserve">85 of the 90 BCa intervals exclude zero. F4 and F8 are complete</w:t>
      </w:r>
      <w:r>
        <w:t xml:space="preserve"> </w:t>
      </w:r>
      <w:r>
        <w:t xml:space="preserve">separations in DT-GSK’s favor against all six comparators; F7 and F15</w:t>
      </w:r>
      <w:r>
        <w:t xml:space="preserve"> </w:t>
      </w:r>
      <w:r>
        <w:t xml:space="preserve">are near-complete separations against it. Mean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by comparator is</w:t>
      </w:r>
      <w:r>
        <w:t xml:space="preserve"> </w:t>
      </w:r>
      <w:r>
        <w:t xml:space="preserve">0.5885 vs. GSK, 0.6097 vs. AGSK, 0.7830 vs. APGSK, 0.7060 vs. FDB-AGSK, 0.4988 vs. ATMALS-GSK, 0.7261 vs. eGSK.</w:t>
      </w:r>
      <w:r>
        <w:t xml:space="preserve"> </w:t>
      </w:r>
      <w:r>
        <w:t xml:space="preserve">Against ATMALS-GSK the mean effect favors the comparator (mean Cliff’s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0.0025</m:t>
        </m:r>
      </m:oMath>
      <w:r>
        <w:t xml:space="preserve">): no superiority over ATMALS-GSK on this suite is</w:t>
      </w:r>
      <w:r>
        <w:t xml:space="preserve"> </w:t>
      </w:r>
      <w:r>
        <w:t xml:space="preserve">supportable from the effect layer. One divergence of estimand, not of</w:t>
      </w:r>
      <w:r>
        <w:t xml:space="preserve"> </w:t>
      </w:r>
      <w:r>
        <w:t xml:space="preserve">direction, is disclosed rather than suppressed: on F1 vs. GSK,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0.1456</m:t>
        </m:r>
      </m:oMath>
      <w:r>
        <w:t xml:space="preserve"> </w:t>
      </w:r>
      <w:r>
        <w:t xml:space="preserve">(large, favoring GSK) while the BCa interval on the</w:t>
      </w:r>
      <w:r>
        <w:t xml:space="preserve"> </w:t>
      </w:r>
      <w:r>
        <w:t xml:space="preserve">paired mean difference straddles zero (mean difference</w:t>
      </w:r>
      <w:r>
        <w:t xml:space="preserve"> </w:t>
      </w:r>
      <m:oMath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</w:t>
      </w:r>
      <w:r>
        <w:t xml:space="preserve"> </w:t>
      </w:r>
      <w:r>
        <w:t xml:space="preserve">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r>
          <m:t>4.23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]</m:t>
        </m:r>
      </m:oMath>
      <w:r>
        <w:t xml:space="preserve">), because F1’s raw</w:t>
      </w:r>
      <w:r>
        <w:t xml:space="preserve"> </w:t>
      </w:r>
      <w:r>
        <w:t xml:space="preserve">distribution is heavy-tailed; both are reported.</w:t>
      </w:r>
    </w:p>
    <w:bookmarkStart w:id="184" w:name="lbl_tab_supp_lsgo_effect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23" w:name="ref_tab_supp_lsgo_effects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30</w:t>
      </w:r>
      <w:r>
        <w:fldChar w:fldCharType="end"/>
      </w:r>
      <w:bookmarkEnd w:id="323"/>
      <w:r>
        <w:rPr>
          <w:b/>
        </w:rPr>
        <w:t xml:space="preserve">. </w:t>
      </w:r>
      <w:r>
        <w:t xml:space="preserve"> Run-level effect sizes on CEC2013LSGO: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/Cliff’s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DT-GSK against each family comparator on each function</w:t>
      </w:r>
      <w:r>
        <w:t xml:space="preserve"> </w:t>
      </w:r>
      <w:r>
        <w:t xml:space="preserve">(25 seed-paired runs; tie band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counted half;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favor DT-GSK). BCa 95% intervals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on the paired mean differences accompany every cell in</w:t>
      </w:r>
      <w:r>
        <w:t xml:space="preserve"> </w:t>
      </w:r>
      <w:r>
        <w:t xml:space="preserve">the released bundle; no cell is degenerate. Saturated cells (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exactly</w:t>
      </w:r>
      <w:r>
        <w:t xml:space="preserve"> </w:t>
      </w:r>
      <m:oMath>
        <m:r>
          <m:t>0.00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1.00</m:t>
        </m:r>
      </m:oMath>
      <w:r>
        <w:t xml:space="preserve">) are complete sample separations.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un-level effect sizes on CEC2013LSGO: A_12/Cliff’s δfor DT-GSK against each family comparator on each function (25 seed-paired runs; tie band |Δ| &lt; 10^-8 counted half; A_12 &gt; 0.5 and δ&gt; 0 favor DT-GSK). BCa 95% intervals (B = 10,000) on the paired mean differences accompany every cell in the released bundle; no cell is degenerate. Saturated cells (A_12 exactly 0.00 or 1.00) are complete sample separation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eGSK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0.15/-0.71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0.12/-0.75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0.13/-0.73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0.90/0.80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0.72/0.44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0.89/0.79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0.11/-0.78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0.96/0.92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0.95/0.90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0.95/0.90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0.98/0.96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0.34/-0.31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0.84/0.68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0.03/-0.94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0.90/0.79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0.21/-0.57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0.98/0.97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0.78/0.56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0.41/-0.17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0.81/0.62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0.86/0.71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0.97/0.95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0.45/-0.10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0.06/-0.88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0.72/0.45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0.28/-0.43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0.25/-0.50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0.01/-0.98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0.49/-0.01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0.23/-0.55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0.93/0.86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0.13/-0.74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0.11/-0.78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0.01/-0.99</w:t>
            </w:r>
          </w:p>
        </w:tc>
      </w:tr>
    </w:tbl>
    <w:bookmarkEnd w:id="184"/>
    <w:bookmarkEnd w:id="185"/>
    <w:bookmarkStart w:id="188" w:name="lbl_sec_supp_lsgo_detail"/>
    <w:p>
      <w:pPr>
        <w:pStyle w:val="Heading2"/>
      </w:pPr>
      <w:bookmarkStart w:id="324" w:name="ref_sec_supp_lsgo_detail"/>
      <w:r>
        <w:t xml:space="preserve">S7.7.</w:t>
      </w:r>
      <w:bookmarkEnd w:id="324"/>
      <w:r>
        <w:tab/>
      </w:r>
      <w:r>
        <w:t xml:space="preserve"> Per-Function Detail</w:t>
      </w:r>
    </w:p>
    <w:p>
      <w:pPr>
        <w:pStyle w:val="FirstParagraph"/>
      </w:pPr>
      <w:r>
        <w:t xml:space="preserve">Tables </w:t>
      </w:r>
      <w:r>
        <w:fldChar w:fldCharType="begin"/>
      </w:r>
      <w:r>
        <w:instrText xml:space="preserve"> REF ref_tab_supp_lsgo_detail_a \h </w:instrText>
      </w:r>
      <w:r>
        <w:fldChar w:fldCharType="separate"/>
      </w:r>
      <w:r>
        <w:t xml:space="preserve">A31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REF ref_tab_supp_lsgo_detail_b \h </w:instrText>
      </w:r>
      <w:r>
        <w:fldChar w:fldCharType="separate"/>
      </w:r>
      <w:r>
        <w:t xml:space="preserve">A32</w:t>
      </w:r>
      <w:r>
        <w:fldChar w:fldCharType="end"/>
      </w:r>
      <w:r>
        <w:t xml:space="preserve"> </w:t>
      </w:r>
      <w:r>
        <w:t xml:space="preserve">report the five-statistic per-function record (best / median / mean /</w:t>
      </w:r>
      <w:r>
        <w:t xml:space="preserve"> </w:t>
      </w:r>
      <w:r>
        <w:t xml:space="preserve">worst / SD of the raw best objective over the 25 runs) for all seven</w:t>
      </w:r>
      <w:r>
        <w:t xml:space="preserve"> </w:t>
      </w:r>
      <w:r>
        <w:t xml:space="preserve">family algorithms on all 15 functions. As everywhere on this suite, the</w:t>
      </w:r>
      <w:r>
        <w:t xml:space="preserve"> </w:t>
      </w:r>
      <w:r>
        <w:t xml:space="preserve">basis is the raw best objective; the F3, F6 and F10 rows are</w:t>
      </w:r>
      <w:r>
        <w:t xml:space="preserve"> </w:t>
      </w:r>
      <w:r>
        <w:t xml:space="preserve">transformed-Ackley values, not comparable to published raw-Ackley</w:t>
      </w:r>
      <w:r>
        <w:t xml:space="preserve"> </w:t>
      </w:r>
      <w:r>
        <w:t xml:space="preserve">numbers.</w:t>
      </w:r>
    </w:p>
    <w:bookmarkStart w:id="186" w:name="lbl_tab_supp_lsgo_detail_a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25" w:name="ref_tab_supp_lsgo_detail_a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31</w:t>
      </w:r>
      <w:r>
        <w:fldChar w:fldCharType="end"/>
      </w:r>
      <w:bookmarkEnd w:id="325"/>
      <w:r>
        <w:rPr>
          <w:b/>
        </w:rPr>
        <w:t xml:space="preserve">. </w:t>
      </w:r>
      <w:r>
        <w:t xml:space="preserve"> CEC2013LSGO per-function detail (F1–F8): best / median / mean /</w:t>
      </w:r>
      <w:r>
        <w:t xml:space="preserve"> </w:t>
      </w:r>
      <w:r>
        <w:t xml:space="preserve">worst / SD of the raw best objective over 25 runs for all 7 GSK-family</w:t>
      </w:r>
      <w:r>
        <w:t xml:space="preserve"> </w:t>
      </w:r>
      <w:r>
        <w:t xml:space="preserve">algorithms at the native dimension (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; F13/F14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905</m:t>
        </m:r>
      </m:oMath>
      <w:r>
        <w:t xml:space="preserve">);</w:t>
      </w:r>
      <w:r>
        <w:t xml:space="preserve"> </w:t>
      </w:r>
      <w:r>
        <w:t xml:space="preserve">best mean per function in bold (ties all bold). F3, F6 and F10 ran the</w:t>
      </w:r>
      <w:r>
        <w:t xml:space="preserve"> </w:t>
      </w:r>
      <w:r>
        <w:t xml:space="preserve">transformed Ackley variant and are not comparable to published</w:t>
      </w:r>
      <w:r>
        <w:t xml:space="preserve"> </w:t>
      </w:r>
      <w:r>
        <w:t xml:space="preserve">raw-Ackley values.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13LSGO per-function detail (F1–F8): best / median / mean / worst / SD of the raw best objective over 25 runs for all 7 GSK-family algorithms at the native dimension (D = 1000; F13/F14 at D = 905); best mean per function in bold (ties all bold). F3, F6 and F10 ran the transformed Ackley variant and are not comparable to published raw-Ackley values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APGSK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FDB-AGSK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ATMALS-GSK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DT-GSK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6.70E+05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5.96E+07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2.16E+04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9.76E+06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1.63E+06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9.08E+03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9.79E+03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8.34E+03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4.11E+02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9.70E+03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3.11E+02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2.10E+01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2.00E+01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7.82E-03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6.12E-03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2.29E-02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1.05E+09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8.28E+10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1.36E+09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9.40E+10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1.41E+09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7.77E+10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1.91E+09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2.37E+08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1.82E+06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2.62E+05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3.91E+03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6.70E+06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3.05E+07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4.41E+07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8.47E+12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2.37E+10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6.98E+12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8.41E+13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3.43E+10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9.69E+12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6.04E+13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9.66E+13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3.42E+10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9.53E+13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1.23E+14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1.34E+14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2.46E+14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3.30E+14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4.51E+10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8.90E+12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5.51E+09</w:t>
            </w:r>
          </w:p>
        </w:tc>
      </w:tr>
    </w:tbl>
    <w:bookmarkEnd w:id="186"/>
    <w:bookmarkStart w:id="187" w:name="lbl_tab_supp_lsgo_detail_b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26" w:name="ref_tab_supp_lsgo_detail_b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32</w:t>
      </w:r>
      <w:r>
        <w:fldChar w:fldCharType="end"/>
      </w:r>
      <w:bookmarkEnd w:id="326"/>
      <w:r>
        <w:rPr>
          <w:b/>
        </w:rPr>
        <w:t xml:space="preserve">. </w:t>
      </w:r>
      <w:r>
        <w:t xml:space="preserve"> CEC2013LSGO per-function detail (F9–F15): best / median / mean /</w:t>
      </w:r>
      <w:r>
        <w:t xml:space="preserve"> </w:t>
      </w:r>
      <w:r>
        <w:t xml:space="preserve">worst / SD of the raw best objective over 25 runs for all 7 GSK-family</w:t>
      </w:r>
      <w:r>
        <w:t xml:space="preserve"> </w:t>
      </w:r>
      <w:r>
        <w:t xml:space="preserve">algorithms at the native dimension (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; F13/F14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905</m:t>
        </m:r>
      </m:oMath>
      <w:r>
        <w:t xml:space="preserve">);</w:t>
      </w:r>
      <w:r>
        <w:t xml:space="preserve"> </w:t>
      </w:r>
      <w:r>
        <w:t xml:space="preserve">best mean per function in bold (ties all bold). F3, F6 and F10 ran the</w:t>
      </w:r>
      <w:r>
        <w:t xml:space="preserve"> </w:t>
      </w:r>
      <w:r>
        <w:t xml:space="preserve">transformed Ackley variant and are not comparable to published</w:t>
      </w:r>
      <w:r>
        <w:t xml:space="preserve"> </w:t>
      </w:r>
      <w:r>
        <w:t xml:space="preserve">raw-Ackley values.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13LSGO per-function detail (F9–F15): best / median / mean / worst / SD of the raw best objective over 25 runs for all 7 GSK-family algorithms at the native dimension (D = 1000; F13/F14 at D = 905); best mean per function in bold (ties all bold). F3, F6 and F10 ran the transformed Ackley variant and are not comparable to published raw-Ackley values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APGSK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FDB-AGSK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ATMALS-GSK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DT-GSK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5.76E+08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1.68E+07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9.16E+07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9.40E+07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9.31E+07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9.40E+07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9.34E+07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9.28E+07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9.29E+07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9.40E+07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9.37E+07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5.36E+05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4.51E+08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2.73E+08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7.29E+10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8.96E+07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6.04E+09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2.22E+05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8.10E+07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3.30E+05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7.16E+09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1.11E+09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7.32E+03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3.34E+05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7.98E+09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5.05E+05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7.26E+04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1.68E+09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2.46E+09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2.06E+09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3.80E+08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9.90E+08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2.49E+09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8.80E+08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7.64E+09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4.26E+09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5.89E+08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9.40E+09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9.58E+10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1.03E+10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6.03E+10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6.84E+08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5.92E+09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1.62E+09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8.34E+09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4.26E+08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8.19E+06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1.87E+07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1.28E+07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1.85E+07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2.51E+07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3.79E+06</w:t>
            </w:r>
          </w:p>
        </w:tc>
      </w:tr>
    </w:tbl>
    <w:bookmarkEnd w:id="187"/>
    <w:bookmarkEnd w:id="188"/>
    <w:bookmarkEnd w:id="189"/>
    <w:bookmarkStart w:id="208" w:name="lbl_sec_supp_cec2020"/>
    <w:p>
      <w:pPr>
        <w:pStyle w:val="Heading1"/>
      </w:pPr>
      <w:bookmarkStart w:id="327" w:name="ref_sec_supp_cec2020"/>
      <w:r>
        <w:t xml:space="preserve">S8.</w:t>
      </w:r>
      <w:bookmarkEnd w:id="327"/>
      <w:r>
        <w:tab/>
      </w:r>
      <w:r>
        <w:t xml:space="preserve"> CEC2020 Bound-Constrained Suite</w:t>
      </w:r>
    </w:p>
    <w:p>
      <w:pPr>
        <w:pStyle w:val="FirstParagraph"/>
      </w:pPr>
      <w:r>
        <w:t xml:space="preserve">CEC2020 is reported as a pre-registered confirmatory suite: the</w:t>
      </w:r>
      <w:r>
        <w:t xml:space="preserve"> </w:t>
      </w:r>
      <w:r>
        <w:t xml:space="preserve">statistical analysis plan for it was committed, with its SHA-256 recorded in</w:t>
      </w:r>
      <w:r>
        <w:t xml:space="preserve"> </w:t>
      </w:r>
      <w:r>
        <w:t xml:space="preserve">the decision log, before a single result existed. The protocol is the</w:t>
      </w:r>
      <w:r>
        <w:t xml:space="preserve"> </w:t>
      </w:r>
      <w:r>
        <w:t xml:space="preserve">competition’s own </w:t>
      </w:r>
      <w:r>
        <w:fldChar w:fldCharType="begin"/>
      </w:r>
      <w:r>
        <w:instrText xml:space="preserve"> CITATION yue2020cec2020 \l 1033 </w:instrText>
      </w:r>
      <w:r>
        <w:fldChar w:fldCharType="separate"/>
      </w:r>
      <w:r>
        <w:t xml:space="preserve">[4]</w:t>
      </w:r>
      <w:r>
        <w:fldChar w:fldCharType="end"/>
      </w:r>
      <w:r>
        <w:t xml:space="preserve">: 10 functions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with F6 and F7 undefined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 giving 38</w:t>
      </w:r>
      <w:r>
        <w:t xml:space="preserve"> </w:t>
      </w:r>
      <w:r>
        <w:t xml:space="preserve">scored (function, dimension) cells; 30 runs per cell; and a</w:t>
      </w:r>
      <w:r>
        <w:t xml:space="preserve"> </w:t>
      </w:r>
      <w:r>
        <w:t xml:space="preserve">dimension-dependent budget of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</m:oMath>
      <w:r>
        <w:t xml:space="preserve"> </w:t>
      </w:r>
      <w:r>
        <w:t xml:space="preserve">respectively. Statistics are errors against the known optimum, floored to</w:t>
      </w:r>
      <w:r>
        <w:t xml:space="preserve"> </w:t>
      </w:r>
      <w:r>
        <w:t xml:space="preserve">zero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on the same seven-algorithm family panel and the same</w:t>
      </w:r>
      <w:r>
        <w:t xml:space="preserve"> </w:t>
      </w:r>
      <w:r>
        <w:t xml:space="preserve">unified seed schedule (base seed 20240620) used throughout this paper, so</w:t>
      </w:r>
      <w:r>
        <w:t xml:space="preserve"> </w:t>
      </w:r>
      <w:r>
        <w:t xml:space="preserve">runs are paired across algorithms within each (dimension, function, run).</w:t>
      </w:r>
      <w:r>
        <w:t xml:space="preserve"> </w:t>
      </w:r>
      <w:r>
        <w:t xml:space="preserve">The registration is commit-level and auditable in the repository: the</w:t>
      </w:r>
      <w:r>
        <w:t xml:space="preserve"> </w:t>
      </w:r>
      <w:r>
        <w:t xml:space="preserve">addendum’s signing commit precedes every CEC2020 datum, and its two dated,</w:t>
      </w:r>
      <w:r>
        <w:t xml:space="preserve"> </w:t>
      </w:r>
      <w:r>
        <w:t xml:space="preserve">append-only amendments record the first computation of every registered</w:t>
      </w:r>
      <w:r>
        <w:t xml:space="preserve"> </w:t>
      </w:r>
      <w:r>
        <w:t xml:space="preserve">family together with the outcome wording selected below. Every number in</w:t>
      </w:r>
      <w:r>
        <w:t xml:space="preserve"> </w:t>
      </w:r>
      <w:r>
        <w:t xml:space="preserve">this section derives from the separate, non-superseding evidence release</w:t>
      </w:r>
      <w:r>
        <w:t xml:space="preserve"> </w:t>
      </w:r>
      <w:r>
        <w:t xml:space="preserve">cec2020-rel-2026-07-29-5867abe1e and its committed analysis bundle; the</w:t>
      </w:r>
      <w:r>
        <w:t xml:space="preserve"> </w:t>
      </w:r>
      <w:r>
        <w:t xml:space="preserve">primary evidence release rel-2026-07-20-67d9345f9 is untouched by this</w:t>
      </w:r>
      <w:r>
        <w:t xml:space="preserve"> </w:t>
      </w:r>
      <w:r>
        <w:t xml:space="preserve">suite.</w:t>
      </w:r>
    </w:p>
    <w:bookmarkStart w:id="190" w:name="lbl_declared_adjacency"/>
    <w:p>
      <w:pPr>
        <w:pStyle w:val="Heading4"/>
      </w:pPr>
      <w:r>
        <w:t xml:space="preserve">Declared adjacency.</w:t>
      </w:r>
    </w:p>
    <w:p>
      <w:pPr>
        <w:pStyle w:val="FirstParagraph"/>
      </w:pPr>
      <w:r>
        <w:t xml:space="preserve">AGSK was the runner-up of the CEC2020 competition </w:t>
      </w:r>
      <w:r>
        <w:fldChar w:fldCharType="begin"/>
      </w:r>
      <w:r>
        <w:instrText xml:space="preserve"> CITATION apgsk2021 \l 1033 </w:instrText>
      </w:r>
      <w:r>
        <w:fldChar w:fldCharType="separate"/>
      </w:r>
      <w:r>
        <w:t xml:space="preserve">[13]</w:t>
      </w:r>
      <w:r>
        <w:fldChar w:fldCharType="end"/>
      </w:r>
      <w:r>
        <w:t xml:space="preserve">, and</w:t>
      </w:r>
      <w:r>
        <w:t xml:space="preserve"> </w:t>
      </w:r>
      <w:r>
        <w:t xml:space="preserve">the CEC2020 AGSK paper is a co-author’s work. This suite is therefore a comparator’s home regime, and</w:t>
      </w:r>
      <w:r>
        <w:t xml:space="preserve"> </w:t>
      </w:r>
      <w:r>
        <w:t xml:space="preserve">is reported as such. Every dimension-gated DT-GSK subsystem is inactive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, so DT-GSK runs its adaptive scaffold tier only on this</w:t>
      </w:r>
      <w:r>
        <w:t xml:space="preserve"> </w:t>
      </w:r>
      <w:r>
        <w:t xml:space="preserve">suite; a non-leading result here is a predicted boundary condition of the</w:t>
      </w:r>
      <w:r>
        <w:t xml:space="preserve"> </w:t>
      </w:r>
      <w:r>
        <w:t xml:space="preserve">dimension-tiering thesis stated in the main text, and is reported as a</w:t>
      </w:r>
      <w:r>
        <w:t xml:space="preserve"> </w:t>
      </w:r>
      <w:r>
        <w:t xml:space="preserve">finding rather than discounted.</w:t>
      </w:r>
    </w:p>
    <w:bookmarkEnd w:id="190"/>
    <w:bookmarkStart w:id="191" w:name="lbl_interim_inspection_ledger"/>
    <w:p>
      <w:pPr>
        <w:pStyle w:val="Heading4"/>
      </w:pPr>
      <w:r>
        <w:t xml:space="preserve">Interim-inspection ledger.</w:t>
      </w:r>
    </w:p>
    <w:p>
      <w:pPr>
        <w:pStyle w:val="FirstParagraph"/>
      </w:pPr>
      <w:r>
        <w:t xml:space="preserve">Every inspection of CEC2020 data during the campaign is disclosed, with</w:t>
      </w:r>
      <w:r>
        <w:t xml:space="preserve"> </w:t>
      </w:r>
      <w:r>
        <w:t xml:space="preserve">its exact scope, in the project decision log (entry D-0024) rather than</w:t>
      </w:r>
      <w:r>
        <w:t xml:space="preserve"> </w:t>
      </w:r>
      <w:r>
        <w:t xml:space="preserve">left discoverable: a first comparator-only view of the four banks complete</w:t>
      </w:r>
      <w:r>
        <w:t xml:space="preserve"> </w:t>
      </w:r>
      <w:r>
        <w:t xml:space="preserve">at the time, then four dated extensions as further banks finished.</w:t>
      </w:r>
      <w:r>
        <w:t xml:space="preserve"> </w:t>
      </w:r>
      <w:r>
        <w:t xml:space="preserve">DT-GSK’s partial data was deliberately not inspected while the campaign</w:t>
      </w:r>
      <w:r>
        <w:t xml:space="preserve"> </w:t>
      </w:r>
      <w:r>
        <w:t xml:space="preserve">ran, until the author surfaced the completed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block and directed a</w:t>
      </w:r>
      <w:r>
        <w:t xml:space="preserve"> </w:t>
      </w:r>
      <w:r>
        <w:t xml:space="preserve">comparison (the entry’s third extension, the first view touching the</w:t>
      </w:r>
      <w:r>
        <w:t xml:space="preserve"> </w:t>
      </w:r>
      <w:r>
        <w:t xml:space="preserve">proposed method’s data). The registered analyses, tie rules and the</w:t>
      </w:r>
      <w:r>
        <w:t xml:space="preserve"> </w:t>
      </w:r>
      <w:r>
        <w:t xml:space="preserve">Section 9 outcome sentences had been committed before any datum existed</w:t>
      </w:r>
      <w:r>
        <w:t xml:space="preserve"> </w:t>
      </w:r>
      <w:r>
        <w:t xml:space="preserve">and could not be altered by any inspection, and the remaining campaign was</w:t>
      </w:r>
      <w:r>
        <w:t xml:space="preserve"> </w:t>
      </w:r>
      <w:r>
        <w:t xml:space="preserve">mechanically determined (unified seeds, locked configuration, overwrite</w:t>
      </w:r>
      <w:r>
        <w:t xml:space="preserve"> </w:t>
      </w:r>
      <w:r>
        <w:t xml:space="preserve">disabled), so no inspection could influence the data still being</w:t>
      </w:r>
      <w:r>
        <w:t xml:space="preserve"> </w:t>
      </w:r>
      <w:r>
        <w:t xml:space="preserve">produced.</w:t>
      </w:r>
    </w:p>
    <w:bookmarkEnd w:id="191"/>
    <w:bookmarkStart w:id="193" w:name="lbl_sec_supp_cec2020_standing"/>
    <w:p>
      <w:pPr>
        <w:pStyle w:val="Heading2"/>
      </w:pPr>
      <w:bookmarkStart w:id="328" w:name="ref_sec_supp_cec2020_standing"/>
      <w:r>
        <w:t xml:space="preserve">S8.1.</w:t>
      </w:r>
      <w:bookmarkEnd w:id="328"/>
      <w:r>
        <w:tab/>
      </w:r>
      <w:r>
        <w:t xml:space="preserve"> Descriptive Standing</w:t>
      </w:r>
    </w:p>
    <w:p>
      <w:pPr>
        <w:pStyle w:val="FirstParagraph"/>
      </w:pPr>
      <w:r>
        <w:t xml:space="preserve">On AGSK’s strongest suite — the CEC2020 competition in which it was</w:t>
      </w:r>
      <w:r>
        <w:t xml:space="preserve"> </w:t>
      </w:r>
      <w:r>
        <w:t xml:space="preserve">the runner-up </w:t>
      </w:r>
      <w:r>
        <w:fldChar w:fldCharType="begin"/>
      </w:r>
      <w:r>
        <w:instrText xml:space="preserve"> CITATION apgsk2021 \l 1033 </w:instrText>
      </w:r>
      <w:r>
        <w:fldChar w:fldCharType="separate"/>
      </w:r>
      <w:r>
        <w:t xml:space="preserve">[13]</w:t>
      </w:r>
      <w:r>
        <w:fldChar w:fldCharType="end"/>
      </w:r>
      <w:r>
        <w:t xml:space="preserve"> — DT-GSK places fourth; the family</w:t>
      </w:r>
      <w:r>
        <w:t xml:space="preserve"> </w:t>
      </w:r>
      <w:r>
        <w:t xml:space="preserve">panel corroborates AGSK’s published strength in this regime, consistent</w:t>
      </w:r>
      <w:r>
        <w:t xml:space="preserve"> </w:t>
      </w:r>
      <w:r>
        <w:t xml:space="preserve">with the tiering thesis: every dimension-gated DT-GSK subsystem is</w:t>
      </w:r>
      <w:r>
        <w:t xml:space="preserve"> </w:t>
      </w:r>
      <w:r>
        <w:t xml:space="preserve">inactive at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.</w:t>
      </w:r>
    </w:p>
    <w:p>
      <w:pPr>
        <w:pStyle w:val="BodyText"/>
      </w:pPr>
      <w:r>
        <w:t xml:space="preserve">The descriptive aggregate behind that sentence is</w:t>
      </w:r>
      <w:r>
        <w:t xml:space="preserve"> </w:t>
      </w:r>
      <w:r>
        <w:t xml:space="preserve">Table </w:t>
      </w:r>
      <w:r>
        <w:fldChar w:fldCharType="begin"/>
      </w:r>
      <w:r>
        <w:instrText xml:space="preserve"> REF ref_tab_supp_cec2020_ranks \h </w:instrText>
      </w:r>
      <w:r>
        <w:fldChar w:fldCharType="separate"/>
      </w:r>
      <w:r>
        <w:t xml:space="preserve">A33</w:t>
      </w:r>
      <w:r>
        <w:fldChar w:fldCharType="end"/>
      </w:r>
      <w:r>
        <w:t xml:space="preserve">: AGSK attains the best unweighted</w:t>
      </w:r>
      <w:r>
        <w:t xml:space="preserve"> </w:t>
      </w:r>
      <w:r>
        <w:t xml:space="preserve">mean of the four per-dimension mean ranks (2.0875) and DT-GSK places</w:t>
      </w:r>
      <w:r>
        <w:t xml:space="preserve"> </w:t>
      </w:r>
      <w:r>
        <w:t xml:space="preserve">fourth of seven (4.1125). Two binding wording constraints follow from the</w:t>
      </w:r>
      <w:r>
        <w:t xml:space="preserve"> </w:t>
      </w:r>
      <w:r>
        <w:t xml:space="preserve">inferential layers below and are honored throughout this paper: DT-GSK</w:t>
      </w:r>
      <w:r>
        <w:t xml:space="preserve"> </w:t>
      </w:r>
      <w:r>
        <w:t xml:space="preserve">is Holm-separated in only five of the twenty-four across-function pairwise</w:t>
      </w:r>
      <w:r>
        <w:t xml:space="preserve"> </w:t>
      </w:r>
      <w:r>
        <w:t xml:space="preserve">cells (three in its favor — ATMALS-GSK and eGSK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eGSK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; two against — AGSK and FDB-AGSK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), and no CEC2020 sentence claims superiority over AGSK or</w:t>
      </w:r>
      <w:r>
        <w:t xml:space="preserve"> </w:t>
      </w:r>
      <w:r>
        <w:t xml:space="preserve">FDB-AGSK at any dimension.</w:t>
      </w:r>
    </w:p>
    <w:bookmarkStart w:id="192" w:name="lbl_tab_supp_cec2020_rank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29" w:name="ref_tab_supp_cec2020_ranks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33</w:t>
      </w:r>
      <w:r>
        <w:fldChar w:fldCharType="end"/>
      </w:r>
      <w:bookmarkEnd w:id="329"/>
      <w:r>
        <w:rPr>
          <w:b/>
        </w:rPr>
        <w:t xml:space="preserve">. </w:t>
      </w:r>
      <w:r>
        <w:t xml:space="preserve"> CEC2020 tie-corrected Friedman mean ranks per dimension and the</w:t>
      </w:r>
      <w:r>
        <w:t xml:space="preserve"> </w:t>
      </w:r>
      <w:r>
        <w:t xml:space="preserve">descriptive across-dimension aggregate (unweighted mean of the four</w:t>
      </w:r>
      <w:r>
        <w:t xml:space="preserve"> </w:t>
      </w:r>
      <w:r>
        <w:t xml:space="preserve">per-dimension mean ranks; lower is better; ordinal in parentheses).</w:t>
      </w:r>
      <w:r>
        <w:t xml:space="preserve"> </w:t>
      </w:r>
      <w:r>
        <w:t xml:space="preserve">Descriptive only; no test is attached. The four per-dimension rank</w:t>
      </w:r>
      <w:r>
        <w:t xml:space="preserve"> </w:t>
      </w:r>
      <w:r>
        <w:t xml:space="preserve">vectors are not on a common protocol: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uses a reduced task set of</w:t>
      </w:r>
      <w:r>
        <w:t xml:space="preserve"> </w:t>
      </w:r>
      <w:r>
        <w:t xml:space="preserve">8 of the 10 functions (F6 and F7 are undefined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), and MaxFES</w:t>
      </w:r>
      <w:r>
        <w:t xml:space="preserve"> </w:t>
      </w:r>
      <w:r>
        <w:t xml:space="preserve">changes by dimension (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/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/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/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/</m:t>
        </m:r>
        <m:r>
          <m:t>20</m:t>
        </m:r>
      </m:oMath>
      <w:r>
        <w:t xml:space="preserve">), so the aggregate mixes budget regimes.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20 tie-corrected Friedman mean ranks per dimension and the descriptive across-dimension aggregate (unweighted mean of the four per-dimension mean ranks; lower is better; ordinal in parentheses). Descriptive only; no test is attached. The four per-dimension rank vectors are not on a common protocol: D = 5 uses a reduced task set of 8 of the 10 functions (F6 and F7 are undefined at D = 5), and MaxFES changes by dimension (5 ×10^4 / 10^6 / 3 ×10^6 / 10^7 at D = 5/10/15/20), so the aggregate mixes budget regime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Overall (ordinal)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5.4562 (6)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2.0875 (1)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3.0938 (3)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2.3125 (2)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5.4938 (7)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5.4437 (5)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DT-GSK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4.1125 (4)</w:t>
            </w:r>
          </w:p>
        </w:tc>
      </w:tr>
    </w:tbl>
    <w:bookmarkEnd w:id="192"/>
    <w:bookmarkEnd w:id="193"/>
    <w:bookmarkStart w:id="195" w:name="lbl_sec_supp_cec2020_omnibus"/>
    <w:p>
      <w:pPr>
        <w:pStyle w:val="Heading2"/>
      </w:pPr>
      <w:bookmarkStart w:id="330" w:name="ref_sec_supp_cec2020_omnibus"/>
      <w:r>
        <w:t xml:space="preserve">S8.2.</w:t>
      </w:r>
      <w:bookmarkEnd w:id="330"/>
      <w:r>
        <w:tab/>
      </w:r>
      <w:r>
        <w:t xml:space="preserve"> Omnibus Tests by Dimension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ref_tab_supp_cec2020_omnibus \h </w:instrText>
      </w:r>
      <w:r>
        <w:fldChar w:fldCharType="separate"/>
      </w:r>
      <w:r>
        <w:t xml:space="preserve">A34</w:t>
      </w:r>
      <w:r>
        <w:fldChar w:fldCharType="end"/>
      </w:r>
      <w:r>
        <w:t xml:space="preserve"> reports the registered omnibus</w:t>
      </w:r>
      <w:r>
        <w:t xml:space="preserve"> </w:t>
      </w:r>
      <w:r>
        <w:t xml:space="preserve">family per dimension: tie-corrected Friedman with Iman–Davenport</w:t>
      </w:r>
      <w:r>
        <w:t xml:space="preserve"> </w:t>
      </w:r>
      <m:oMath>
        <m:r>
          <m:t>F</m:t>
        </m:r>
      </m:oMath>
      <w:r>
        <w:t xml:space="preserve">, and</w:t>
      </w:r>
      <w:r>
        <w:t xml:space="preserve"> </w:t>
      </w:r>
      <w:r>
        <w:t xml:space="preserve">the seeded within-block Monte-Carlo permutation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)</w:t>
      </w:r>
      <w:r>
        <w:t xml:space="preserve"> </w:t>
      </w:r>
      <w:r>
        <w:t xml:space="preserve">that governs boundary disagreements. All four dimensions separate the</w:t>
      </w:r>
      <w:r>
        <w:t xml:space="preserve"> </w:t>
      </w:r>
      <w:r>
        <w:t xml:space="preserve">panel decisively, and the two registered criteria agree at every</w:t>
      </w:r>
      <w:r>
        <w:t xml:space="preserve"> </w:t>
      </w:r>
      <w:r>
        <w:t xml:space="preserve">dimension, so no boundary disclosure is triggered. Fully tied blocks are</w:t>
      </w:r>
      <w:r>
        <w:t xml:space="preserve"> </w:t>
      </w:r>
      <w:r>
        <w:t xml:space="preserve">retained with midranks to all (the tie correction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absorbs them);</w:t>
      </w:r>
      <w:r>
        <w:t xml:space="preserve"> </w:t>
      </w:r>
      <w:r>
        <w:t xml:space="preserve">no test discards a block.</w:t>
      </w:r>
    </w:p>
    <w:p>
      <w:pPr>
        <w:pStyle w:val="BodyText"/>
      </w:pPr>
      <w:r>
        <w:t xml:space="preserve">The pre-committed power disclosure applies whether or not the omnibus</w:t>
      </w:r>
      <w:r>
        <w:t xml:space="preserve"> </w:t>
      </w:r>
      <w:r>
        <w:t xml:space="preserve">reaches significance: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the Nemenyi critical distance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3.185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blocks (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) and</w:t>
      </w:r>
      <w:r>
        <w:t xml:space="preserve"> </w:t>
      </w:r>
      <m:oMath>
        <m:r>
          <m:t>2.849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/</m:t>
        </m:r>
        <m:r>
          <m:t>20</m:t>
        </m:r>
      </m:oMath>
      <w:r>
        <w:t xml:space="preserve">), against</w:t>
      </w:r>
      <w:r>
        <w:t xml:space="preserve"> </w:t>
      </w:r>
      <m:oMath>
        <m:r>
          <m:t>1.673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</m:t>
        </m:r>
      </m:oMath>
      <w:r>
        <w:t xml:space="preserve"> </w:t>
      </w:r>
      <w:r>
        <w:t xml:space="preserve">blocks of the</w:t>
      </w:r>
      <w:r>
        <w:t xml:space="preserve"> </w:t>
      </w:r>
      <w:r>
        <w:t xml:space="preserve">CEC2017 families, so these families are low-powered by construction, and</w:t>
      </w:r>
      <w:r>
        <w:t xml:space="preserve"> </w:t>
      </w:r>
      <w:r>
        <w:t xml:space="preserve">non-significance anywhere on this suite is worded as no separation</w:t>
      </w:r>
      <w:r>
        <w:t xml:space="preserve"> </w:t>
      </w:r>
      <w:r>
        <w:t xml:space="preserve">demonstrated, never as equivalence.</w:t>
      </w:r>
    </w:p>
    <w:bookmarkStart w:id="194" w:name="lbl_tab_supp_cec2020_omnibu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31" w:name="ref_tab_supp_cec2020_omnibus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34</w:t>
      </w:r>
      <w:r>
        <w:fldChar w:fldCharType="end"/>
      </w:r>
      <w:bookmarkEnd w:id="331"/>
      <w:r>
        <w:rPr>
          <w:b/>
        </w:rPr>
        <w:t xml:space="preserve">. </w:t>
      </w:r>
      <w:r>
        <w:t xml:space="preserve"> CEC2020 omnibus tests by dimension (error basis,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30 runs per cell): tie-corrected Friedman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(df 6),</w:t>
      </w:r>
      <w:r>
        <w:t xml:space="preserve"> </w:t>
      </w:r>
      <w:r>
        <w:t xml:space="preserve">Iman–Davenport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parametric</w:t>
      </w:r>
      <w:r>
        <w:t xml:space="preserve"> </w:t>
      </w:r>
      <m:oMath>
        <m:r>
          <m:t>p</m:t>
        </m:r>
      </m:oMath>
      <w:r>
        <w:t xml:space="preserve">, seeded within-block</w:t>
      </w:r>
      <w:r>
        <w:t xml:space="preserve"> </w:t>
      </w:r>
      <w:r>
        <w:t xml:space="preserve">Monte-Carlo permutation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), tie correction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number of fully tied blocks (retained, midrank to all).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blocks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(reduced task set; F6/F7 undefined),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otherwise. The</w:t>
      </w:r>
      <w:r>
        <w:t xml:space="preserve"> </w:t>
      </w:r>
      <w:r>
        <w:t xml:space="preserve">two registered decision criteria agree at every dimension.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20 omnibus tests by dimension (error basis, floor 10^-8, 30 runs per cell): tie-corrected Friedman chi^2 (df 6), Iman–Davenport F(6, 6(N-1)), parametric p, seeded within-block Monte-Carlo permutation p (B = 100,000), tie correction C and the number of fully tied blocks (retained, midrank to all). N = 8 blocks at D = 5 (reduced task set; F6/F7 undefined), N = 10 otherwise. The two registered decision criteria agree at every dimension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antSplit/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(perm.)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(tied blocks)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23.217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6.10E-05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7.00E-05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0.821 (3)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40.238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1.79E-11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0.900 (1)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37.661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4.34E-10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0.800 (2)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42.524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21.899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7.21E-13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0.900 (1)</w:t>
            </w:r>
          </w:p>
        </w:tc>
      </w:tr>
    </w:tbl>
    <w:bookmarkEnd w:id="194"/>
    <w:bookmarkEnd w:id="195"/>
    <w:bookmarkStart w:id="198" w:name="lbl_sec_supp_cec2020_pairwise"/>
    <w:p>
      <w:pPr>
        <w:pStyle w:val="Heading2"/>
      </w:pPr>
      <w:bookmarkStart w:id="332" w:name="ref_sec_supp_cec2020_pairwise"/>
      <w:r>
        <w:t xml:space="preserve">S8.3.</w:t>
      </w:r>
      <w:bookmarkEnd w:id="332"/>
      <w:r>
        <w:tab/>
      </w:r>
      <w:r>
        <w:t xml:space="preserve"> Pairwise Comparisons Against DT-GSK</w:t>
      </w:r>
    </w:p>
    <w:p>
      <w:pPr>
        <w:pStyle w:val="FirstParagraph"/>
      </w:pPr>
      <w:r>
        <w:t xml:space="preserve">Two registered layers are reported, both Holm-corrected and two-sided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Table </w:t>
      </w:r>
      <w:r>
        <w:fldChar w:fldCharType="begin"/>
      </w:r>
      <w:r>
        <w:instrText xml:space="preserve"> REF ref_tab_supp_cec2020_pairwise \h </w:instrText>
      </w:r>
      <w:r>
        <w:fldChar w:fldCharType="separate"/>
      </w:r>
      <w:r>
        <w:t xml:space="preserve">A35</w:t>
      </w:r>
      <w:r>
        <w:fldChar w:fldCharType="end"/>
      </w:r>
      <w:r>
        <w:t xml:space="preserve"> is the</w:t>
      </w:r>
      <w:r>
        <w:t xml:space="preserve"> </w:t>
      </w:r>
      <w:r>
        <w:t xml:space="preserve">across-function layer: Wilcoxon signed-rank on per-function mean errors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otherwise), decided by exact sign-flip</w:t>
      </w:r>
      <w:r>
        <w:t xml:space="preserve"> </w:t>
      </w:r>
      <w:r>
        <w:t xml:space="preserve">enumeration (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) with the normal-approximation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recorded for</w:t>
      </w:r>
      <w:r>
        <w:t xml:space="preserve"> </w:t>
      </w:r>
      <w:r>
        <w:t xml:space="preserve">continuity with the frozen suites, Holm over 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comparators per</w:t>
      </w:r>
      <w:r>
        <w:t xml:space="preserve"> </w:t>
      </w:r>
      <w:r>
        <w:t xml:space="preserve">dimension; zero differences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are discarded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is reported per row. Every row is decidable under</w:t>
      </w:r>
      <w:r>
        <w:t xml:space="preserve"> </w:t>
      </w:r>
      <w:r>
        <w:t xml:space="preserve">the registered decidability rule. Five of the twenty-four cells are</w:t>
      </w:r>
      <w:r>
        <w:t xml:space="preserve"> </w:t>
      </w:r>
      <w:r>
        <w:t xml:space="preserve">Holm-separated (three wins, two losses, listed in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ref_sec_supp_cec2020_standing \h </w:instrText>
      </w:r>
      <w:r>
        <w:fldChar w:fldCharType="separate"/>
      </w:r>
      <w:r>
        <w:t xml:space="preserve">S8.1</w:t>
      </w:r>
      <w:r>
        <w:fldChar w:fldCharType="end"/>
      </w:r>
      <w:r>
        <w:t xml:space="preserve">); the remaining nineteen,</w:t>
      </w:r>
      <w:r>
        <w:t xml:space="preserve"> </w:t>
      </w:r>
      <w:r>
        <w:t xml:space="preserve">including every comparison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 demonstrate no</w:t>
      </w:r>
      <w:r>
        <w:t xml:space="preserve"> </w:t>
      </w:r>
      <w:r>
        <w:t xml:space="preserve">separation. Table </w:t>
      </w:r>
      <w:r>
        <w:fldChar w:fldCharType="begin"/>
      </w:r>
      <w:r>
        <w:instrText xml:space="preserve"> REF ref_tab_supp_cec2020_pairwise_run \h </w:instrText>
      </w:r>
      <w:r>
        <w:fldChar w:fldCharType="separate"/>
      </w:r>
      <w:r>
        <w:t xml:space="preserve">A36</w:t>
      </w:r>
      <w:r>
        <w:fldChar w:fldCharType="end"/>
      </w:r>
      <w:r>
        <w:t xml:space="preserve"> is the run-level</w:t>
      </w:r>
      <w:r>
        <w:t xml:space="preserve"> </w:t>
      </w:r>
      <w:r>
        <w:t xml:space="preserve">layer: per-function Wilcoxon over the 30 paired runs, Holm across</w:t>
      </w:r>
      <w:r>
        <w:t xml:space="preserve"> </w:t>
      </w:r>
      <w:r>
        <w:t xml:space="preserve">functions per (dimension, comparator) (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otherwise).</w:t>
      </w:r>
    </w:p>
    <w:bookmarkStart w:id="196" w:name="lbl_tab_supp_cec2020_pairwise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33" w:name="ref_tab_supp_cec2020_pairwise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35</w:t>
      </w:r>
      <w:r>
        <w:fldChar w:fldCharType="end"/>
      </w:r>
      <w:bookmarkEnd w:id="333"/>
      <w:r>
        <w:rPr>
          <w:b/>
        </w:rPr>
        <w:t xml:space="preserve">. </w:t>
      </w:r>
      <w:r>
        <w:t xml:space="preserve"> Across-function Wilcoxon layer on CEC2020, DT-GSK vs. each</w:t>
      </w:r>
      <w:r>
        <w:t xml:space="preserve"> </w:t>
      </w:r>
      <w:r>
        <w:t xml:space="preserve">family comparator per dimension (per-function mean errors;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functions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otherwise; zero differences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discarded, effective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reported). The decision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exact two-sided sign-flip enumeration (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); the</w:t>
      </w:r>
      <w:r>
        <w:t xml:space="preserve"> </w:t>
      </w:r>
      <w:r>
        <w:t xml:space="preserve">normal-approximation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recorded for continuity with the frozen</w:t>
      </w:r>
      <w:r>
        <w:t xml:space="preserve"> </w:t>
      </w:r>
      <w:r>
        <w:t xml:space="preserve">suites; Holm step-down over the six comparators per dimension. W/T/L is</w:t>
      </w:r>
      <w:r>
        <w:t xml:space="preserve"> </w:t>
      </w:r>
      <w:r>
        <w:t xml:space="preserve">the per-function mean win/tie/loss split for DT-GSK (tie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). Decisions: W = Holm-significant win for</w:t>
      </w:r>
      <w:r>
        <w:t xml:space="preserve"> </w:t>
      </w:r>
      <w:r>
        <w:t xml:space="preserve">DT-GSK, L = Holm-significant loss, n.s. = no separation</w:t>
      </w:r>
      <w:r>
        <w:t xml:space="preserve"> </w:t>
      </w:r>
      <w:r>
        <w:t xml:space="preserve">demonstrated. Every row is decidable under the registered rule.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cross-function Wilcoxon layer on CEC2020, DT-GSK vs. each family comparator per dimension (per-function mean errors; n = 8 functions at D = 5, n = 10 otherwise; zero differences |Δ| &lt; 10^-8 discarded, effective n reported). The decision p is the exact two-sided sign-flip enumeration (2^n); the normal-approximation p is recorded for continuity with the frozen suites; Holm step-down over the six comparators per dimension. W/T/L is the per-function mean win/tie/loss split for DT-GSK (tie |Δ| &lt; 10^-8). Decisions: W = Holm-significant win for DT-GSK, L = Holm-significant loss, n.s. = no separation demonstrated. Every row is decidable under the registered rule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antSplit/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Comparator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(exact)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(normal)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(Holm)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W/T/L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Decision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2/1/5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1/1/6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2/1/5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8/1/1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1/1/8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2/1/7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1/1/8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8/1/1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7/2/1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2/2/6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2/2/6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2/2/6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8/2/0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8/2/0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4/1/5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0/1/9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2/1/7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0/1/9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8/1/1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</w:tr>
    </w:tbl>
    <w:bookmarkEnd w:id="196"/>
    <w:bookmarkStart w:id="197" w:name="lbl_tab_supp_cec2020_pairwise_run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34" w:name="ref_tab_supp_cec2020_pairwise_run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36</w:t>
      </w:r>
      <w:r>
        <w:fldChar w:fldCharType="end"/>
      </w:r>
      <w:bookmarkEnd w:id="334"/>
      <w:r>
        <w:rPr>
          <w:b/>
        </w:rPr>
        <w:t xml:space="preserve">. </w:t>
      </w:r>
      <w:r>
        <w:t xml:space="preserve"> Run-level Wilcoxon layer on CEC2020: per-function paired</w:t>
      </w:r>
      <w:r>
        <w:t xml:space="preserve"> </w:t>
      </w:r>
      <w:r>
        <w:t xml:space="preserve">Wilcoxon over the 30 seed-paired runs, DT-GSK vs. each family</w:t>
      </w:r>
      <w:r>
        <w:t xml:space="preserve"> </w:t>
      </w:r>
      <w:r>
        <w:t xml:space="preserve">comparator, exact two-sided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Holm-corrected across functions per</w:t>
      </w:r>
      <w:r>
        <w:t xml:space="preserve"> </w:t>
      </w:r>
      <w:r>
        <w:t xml:space="preserve">(dimension, comparator) (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otherwise). Cell</w:t>
      </w:r>
      <w:r>
        <w:t xml:space="preserve"> </w:t>
      </w:r>
      <w:r>
        <w:t xml:space="preserve">entries: Holm-significant outcome for DT-GSK (W = win, L = loss,</w:t>
      </w:r>
      <w:r>
        <w:t xml:space="preserve"> </w:t>
      </w:r>
      <w:r>
        <w:t xml:space="preserve">n.s. = no separation demonstrated) with the Holm-adjusted</w:t>
      </w:r>
      <w:r>
        <w:t xml:space="preserve"> </w:t>
      </w:r>
      <m:oMath>
        <m:r>
          <m:t>p</m:t>
        </m:r>
      </m:oMath>
      <w:r>
        <w:t xml:space="preserve">. Zero</w:t>
      </w:r>
      <w:r>
        <w:t xml:space="preserve"> </w:t>
      </w:r>
      <w:r>
        <w:t xml:space="preserve">differences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are discarded per function; cells</w:t>
      </w:r>
      <w:r>
        <w:t xml:space="preserve"> </w:t>
      </w:r>
      <w:r>
        <w:t xml:space="preserve">marked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t xml:space="preserve"> </w:t>
      </w:r>
      <w:r>
        <w:t xml:space="preserve">have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&lt;</m:t>
        </m:r>
        <m:r>
          <m:t>6</m:t>
        </m:r>
      </m:oMath>
      <w:r>
        <w:t xml:space="preserve"> </w:t>
      </w:r>
      <w:r>
        <w:t xml:space="preserve">after zero-discard and</w:t>
      </w:r>
      <w:r>
        <w:t xml:space="preserve"> </w:t>
      </w:r>
      <w:r>
        <w:t xml:space="preserve">their released rows report verbatim: not decidable at alpha=0.05 (exact</w:t>
      </w:r>
      <w:r>
        <w:t xml:space="preserve"> </w:t>
      </w:r>
      <w:r>
        <w:t xml:space="preserve">two-sided floor 2/2^5 = 0.0625).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un-level Wilcoxon layer on CEC2020: per-function paired Wilcoxon over the 30 seed-paired runs, DT-GSK vs. each family comparator, exact two-sided p Holm-corrected across functions per (dimension, comparator) (m = 8 at D = 5, m = 10 otherwise). Cell entries: Holm-significant outcome for DT-GSK (W = win, L = loss, n.s. = no separation demonstrated) with the Holm-adjusted p. Zero differences |Δ| &lt; 10^-8 are discarded per function; cells marked ^ddagger have n_eff &lt; 6 after zero-discard and their released rows report verbatim: not decidable at alpha=0.05 (exact two-sided floor 2/2^5 = 0.0625)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antSplit/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eGSK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2.24E-08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7.74E-04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2.27E-05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4.15E-05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2.76E-04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1.39E-05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1.49E-08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5.28E-05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1.49E-08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5.94E-04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8.11E-06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1.49E-08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0.6318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W 4.40E-04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0.6318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0.5000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0.5000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0.3750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0.5000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0.6250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7.63E-05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2.38E-07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4.17E-07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0.1172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8.34E-07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4.77E-04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0.3281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6.63E-04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9.62E-04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3.19E-07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3.47E-06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0.2746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3.73E-08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0.1311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3.60E-05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1.88E-05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3.54E-05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1.86E-07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0.1539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0.2092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0.2066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0.1222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0.0558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6.66E-06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1.66E-04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0.0141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0.0293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0.1384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0.3630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0.2066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0.0098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0.2111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5.96E-07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5.96E-07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5.96E-07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0.7883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0.7379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2.15E-06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1.07E-06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1.07E-06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0.2063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6.52E-08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3.73E-08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3.03E-05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0.0952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1.86E-08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1.68E-07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1.25E-04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1.86E-08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0.3203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0.8517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0.0618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0.0773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2.49E-05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1.49E-07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0.0028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0.2363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1.66E-04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3.12E-04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0.9256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0.3750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0.3710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0.3203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0.1990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2.14E-04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1.56E-07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7.45E-08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4.69E-07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3.73E-08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1.03E-04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0.3842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2.61E-08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3.35E-08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0.0017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0.5709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1.64E-06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0.0848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0.1381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0.5174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0.7864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1.86E-08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0.9198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0.6207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2.79E-07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2.65E-05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1.83E-04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0.9198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6.87E-05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W 1.53E-05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3.05E-04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0.4342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0.6332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0.1869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0.1836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0.0434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0.0086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2.73E-04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 0.4395</w:t>
            </w:r>
          </w:p>
        </w:tc>
      </w:tr>
    </w:tbl>
    <w:bookmarkEnd w:id="197"/>
    <w:bookmarkEnd w:id="198"/>
    <w:bookmarkStart w:id="200" w:name="lbl_sec_supp_cec2020_effects"/>
    <w:p>
      <w:pPr>
        <w:pStyle w:val="Heading2"/>
      </w:pPr>
      <w:bookmarkStart w:id="335" w:name="ref_sec_supp_cec2020_effects"/>
      <w:r>
        <w:t xml:space="preserve">S8.4.</w:t>
      </w:r>
      <w:bookmarkEnd w:id="335"/>
      <w:r>
        <w:tab/>
      </w:r>
      <w:r>
        <w:t xml:space="preserve"> Effect Sizes</w:t>
      </w:r>
    </w:p>
    <w:p>
      <w:pPr>
        <w:pStyle w:val="FirstParagraph"/>
      </w:pPr>
      <w:r>
        <w:t xml:space="preserve">Table </w:t>
      </w:r>
      <w:r>
        <w:fldChar w:fldCharType="begin"/>
      </w:r>
      <w:r>
        <w:instrText xml:space="preserve"> REF ref_tab_supp_cec2020_effects \h </w:instrText>
      </w:r>
      <w:r>
        <w:fldChar w:fldCharType="separate"/>
      </w:r>
      <w:r>
        <w:t xml:space="preserve">A37</w:t>
      </w:r>
      <w:r>
        <w:fldChar w:fldCharType="end"/>
      </w:r>
      <w:r>
        <w:t xml:space="preserve"> reports the registered effect-size</w:t>
      </w:r>
      <w:r>
        <w:t xml:space="preserve"> </w:t>
      </w:r>
      <w:r>
        <w:t xml:space="preserve">family: run-level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 Cliff’s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over the 30 seed-paired</w:t>
      </w:r>
      <w:r>
        <w:t xml:space="preserve"> </w:t>
      </w:r>
      <w:r>
        <w:t xml:space="preserve">runs per cell, with BCa 95% confidence intervals (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on</w:t>
      </w:r>
      <w:r>
        <w:t xml:space="preserve"> </w:t>
      </w:r>
      <w:r>
        <w:t xml:space="preserve">the paired mean-error differences released in the analysis bundle. Of</w:t>
      </w:r>
      <w:r>
        <w:t xml:space="preserve"> </w:t>
      </w:r>
      <w:r>
        <w:t xml:space="preserve">the 228 cells, 198 carry a BCa interval and 30 are degenerate (all paired</w:t>
      </w:r>
      <w:r>
        <w:t xml:space="preserve"> </w:t>
      </w:r>
      <w:r>
        <w:t xml:space="preserve">differences identical at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floor); the degenerate cells are</w:t>
      </w:r>
      <w:r>
        <w:t xml:space="preserve"> </w:t>
      </w:r>
      <w:r>
        <w:t xml:space="preserve">never silently omitted — each released row carries the registered SAP</w:t>
      </w:r>
      <w:r>
        <w:t xml:space="preserve"> </w:t>
      </w:r>
      <w:r>
        <w:t xml:space="preserve">Section 7 disclosure string verbatim, no CI (degenerate cell), and those</w:t>
      </w:r>
      <w:r>
        <w:t xml:space="preserve"> </w:t>
      </w:r>
      <w:r>
        <w:t xml:space="preserve">cells are marked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in the table.</w:t>
      </w:r>
    </w:p>
    <w:bookmarkStart w:id="199" w:name="lbl_tab_supp_cec2020_effect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36" w:name="ref_tab_supp_cec2020_effects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37</w:t>
      </w:r>
      <w:r>
        <w:fldChar w:fldCharType="end"/>
      </w:r>
      <w:bookmarkEnd w:id="336"/>
      <w:r>
        <w:rPr>
          <w:b/>
        </w:rPr>
        <w:t xml:space="preserve">. </w:t>
      </w:r>
      <w:r>
        <w:t xml:space="preserve"> Run-level effect sizes on CEC2020: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/Cliff’s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DT-GSK against each family comparator on each (dimension,</w:t>
      </w:r>
      <w:r>
        <w:t xml:space="preserve"> </w:t>
      </w:r>
      <w:r>
        <w:t xml:space="preserve">function) cell (30 seed-paired runs; tie band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counted half;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favor DT-GSK). Cells</w:t>
      </w:r>
      <w:r>
        <w:t xml:space="preserve"> </w:t>
      </w:r>
      <w:r>
        <w:t xml:space="preserve">marked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are degenerate for the BCa interval (all paired</w:t>
      </w:r>
      <w:r>
        <w:t xml:space="preserve"> </w:t>
      </w:r>
      <w:r>
        <w:t xml:space="preserve">differences identical at the floor); their released rows carry the</w:t>
      </w:r>
      <w:r>
        <w:t xml:space="preserve"> </w:t>
      </w:r>
      <w:r>
        <w:t xml:space="preserve">registered disclosure string verbatim: no CI (degenerate cell).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un-level effect sizes on CEC2020: A_12/Cliff’s δfor DT-GSK against each family comparator on each (dimension, function) cell (30 seed-paired runs; tie band |Δ| &lt; 10^-8 counted half; A_12 &gt; 0.5 and δ&gt; 0 favor DT-GSK). Cells marked ^dagger are degenerate for the BCa interval (all paired differences identical at the floor); their released rows carry the registered disclosure string verbatim: no CI (degenerate cell)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antSplit/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eGSK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0.98/0.95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0.88/0.76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0.90/0.81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0.90/0.81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0.83/0.66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0.97/0.93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0.34/-0.33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0.24/-0.51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0.04/-0.92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0.93/0.86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0.87/0.74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0.99/0.97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0.51/0.02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0.21/-0.58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0.53/0.06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0.83/0.66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0.60/0.21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0.48/-0.03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0.47/-0.07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0.47/-0.07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0.47/-0.07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0.94/0.88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0.58/0.17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0.43/-0.13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0.43/-0.13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0.43/-0.13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0.43/-0.13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0.54/0.08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0.43/-0.13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0.54/0.08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0.17/-0.66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0.07/-0.87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0.08/-0.84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0.57/0.13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0.59/0.17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0.21/-0.59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0.08/-0.84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0.20/-0.60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0.59/0.18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0.57/0.14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0.88/0.75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0.85/0.69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0.75/0.49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0.96/0.91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0.83/0.66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0.64/0.28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0.73/0.46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0.35/-0.30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0.97/0.94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0.67/0.34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0.16/-0.68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0.11/-0.77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0.20/-0.61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0.86/0.73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0.94/0.88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0.50/0.01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0.35/-0.29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0.55/0.09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0.36/-0.28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0.44/-0.12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0.48/-0.04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0.77/0.54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0.30/-0.40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0.44/-0.12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0.39/-0.21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0.70/0.39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0.68/0.37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0.74/0.49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0.14/-0.72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0.21/-0.59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0.27/-0.47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0.43/-0.15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0.74/0.48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0.63/0.26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0.37/-0.26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0.43/-0.14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0.42/-0.15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0.56/0.11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0.70/0.41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0.70/0.40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0.07/-0.85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0.07/-0.85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0.08/-0.84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0.48/-0.05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0.67/0.35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0.37/-0.26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0.09/-0.81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0.10/-0.81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0.10/-0.80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0.46/-0.08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0.54/0.08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0.93/0.86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0.86/0.72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0.94/0.88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0.82/0.65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0.90/0.80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0.58/0.16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0.85/0.69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0.59/0.19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0.08/-0.85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0.34/-0.32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0.27/-0.45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0.77/0.55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0.67/0.34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0.67/0.34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0.77/0.54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0.72/0.44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0.79/0.59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0.76/0.52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1.00/1.00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0.55/0.09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0.77/0.53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0.87/0.73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0.91/0.83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0.76/0.52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0.73/0.45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0.16/-0.67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0.32/-0.37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0.16/-0.67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0.58/0.17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0.56/0.13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0.34/-0.31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0.40/-0.19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0.38/-0.25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0.71/0.43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0.77/0.53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0.95/0.90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0.04/-0.91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0.12/-0.77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0.02/-0.97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0.91/0.82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0.63/0.26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0.52/0.03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0.02/-0.97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0.94/0.88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0.75/0.51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0.22/-0.55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0.61/0.22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0.52/0.03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0.91/0.83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0.25/-0.50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0.38/-0.23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0.34/-0.31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0.62/0.25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0.41/-0.19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0.59/0.19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0.59/0.18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0.44/-0.12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0.00/-1.00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0.43/-0.14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0.38/-0.24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0.39/-0.21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0.06/-0.88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0.15/-0.70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0.13/-0.75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0.41/-0.18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0.55/0.10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0.79/0.58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0.50/-0.00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0.50/0.00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0.50/-0.00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0.82/0.65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0.76/0.52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0.38/-0.24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0.64/0.29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0.60/0.20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0.52/0.04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0.76/0.52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0.68/0.37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0.69/0.37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0.16/-0.68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0.23/-0.54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0.19/-0.63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0.78/0.55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0.57/0.15</w:t>
            </w:r>
          </w:p>
        </w:tc>
      </w:tr>
    </w:tbl>
    <w:bookmarkEnd w:id="199"/>
    <w:bookmarkEnd w:id="200"/>
    <w:bookmarkStart w:id="202" w:name="lbl_sec_supp_cec2020_robustness"/>
    <w:p>
      <w:pPr>
        <w:pStyle w:val="Heading2"/>
      </w:pPr>
      <w:bookmarkStart w:id="337" w:name="ref_sec_supp_cec2020_robustness"/>
      <w:r>
        <w:t xml:space="preserve">S8.5.</w:t>
      </w:r>
      <w:bookmarkEnd w:id="337"/>
      <w:r>
        <w:tab/>
      </w:r>
      <w:r>
        <w:t xml:space="preserve"> Robustness</w:t>
      </w:r>
    </w:p>
    <w:p>
      <w:pPr>
        <w:pStyle w:val="FirstParagraph"/>
      </w:pPr>
      <w:r>
        <w:t xml:space="preserve">All three registered robustness variants were computed. The binding</w:t>
      </w:r>
      <w:r>
        <w:t xml:space="preserve"> </w:t>
      </w:r>
      <w:r>
        <w:t xml:space="preserve">instability rule of the analysis plan — if either across-dimension</w:t>
      </w:r>
      <w:r>
        <w:t xml:space="preserve"> </w:t>
      </w:r>
      <w:r>
        <w:t xml:space="preserve">aggregate variant flips DT-GSK’s ordinal relative to the primary</w:t>
      </w:r>
      <w:r>
        <w:t xml:space="preserve"> </w:t>
      </w:r>
      <w:r>
        <w:t xml:space="preserve">aggregate, the main-text headline carries an instability disclosure —</w:t>
      </w:r>
      <w:r>
        <w:t xml:space="preserve"> </w:t>
      </w:r>
      <w:r>
        <w:t xml:space="preserve">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fire: under both registered variants (the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/</m:t>
        </m:r>
        <m:r>
          <m:t>20</m:t>
        </m:r>
      </m:oMath>
      <w:r>
        <w:t xml:space="preserve">-only</w:t>
      </w:r>
      <w:r>
        <w:t xml:space="preserve"> </w:t>
      </w:r>
      <w:r>
        <w:t xml:space="preserve">mean and the common-8-function-subset mean at all four dimensions)</w:t>
      </w:r>
      <w:r>
        <w:t xml:space="preserve"> </w:t>
      </w:r>
      <w:r>
        <w:t xml:space="preserve">DT-GSK’s ordinal is stable at fourth</w:t>
      </w:r>
      <w:r>
        <w:t xml:space="preserve"> </w:t>
      </w:r>
      <w:r>
        <w:t xml:space="preserve">(Table </w:t>
      </w:r>
      <w:r>
        <w:fldChar w:fldCharType="begin"/>
      </w:r>
      <w:r>
        <w:instrText xml:space="preserve"> REF ref_tab_supp_cec2020_robustness \h </w:instrText>
      </w:r>
      <w:r>
        <w:fldChar w:fldCharType="separate"/>
      </w:r>
      <w:r>
        <w:t xml:space="preserve">A38</w:t>
      </w:r>
      <w:r>
        <w:fldChar w:fldCharType="end"/>
      </w:r>
      <w:r>
        <w:t xml:space="preserve">), so the headline carries no</w:t>
      </w:r>
      <w:r>
        <w:t xml:space="preserve"> </w:t>
      </w:r>
      <w:r>
        <w:t xml:space="preserve">instability disclosure. The mean-vs-median re-rank does move several</w:t>
      </w:r>
      <w:r>
        <w:t xml:space="preserve"> </w:t>
      </w:r>
      <w:r>
        <w:t xml:space="preserve">per-dimension ordinals among the comparators (including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DT-GSK ordinal, third on the mean basis and second on the median</w:t>
      </w:r>
      <w:r>
        <w:t xml:space="preserve"> </w:t>
      </w:r>
      <w:r>
        <w:t xml:space="preserve">basis); every movement is recorded in full in the released robustness</w:t>
      </w:r>
      <w:r>
        <w:t xml:space="preserve"> </w:t>
      </w:r>
      <w:r>
        <w:t xml:space="preserve">digest, and none touches the aggregate standing. The floor-sensitivity</w:t>
      </w:r>
      <w:r>
        <w:t xml:space="preserve"> </w:t>
      </w:r>
      <w:r>
        <w:t xml:space="preserve">variant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against the registered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 reproduces every</w:t>
      </w:r>
      <w:r>
        <w:t xml:space="preserve"> </w:t>
      </w:r>
      <w:r>
        <w:t xml:space="preserve">per-dimension rank and ordinal exactly.</w:t>
      </w:r>
    </w:p>
    <w:bookmarkStart w:id="201" w:name="lbl_tab_supp_cec2020_robustness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38" w:name="ref_tab_supp_cec2020_robustness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38</w:t>
      </w:r>
      <w:r>
        <w:fldChar w:fldCharType="end"/>
      </w:r>
      <w:bookmarkEnd w:id="338"/>
      <w:r>
        <w:rPr>
          <w:b/>
        </w:rPr>
        <w:t xml:space="preserve">. </w:t>
      </w:r>
      <w:r>
        <w:t xml:space="preserve"> CEC2020 registered across-dimension aggregate robustness: the</w:t>
      </w:r>
      <w:r>
        <w:t xml:space="preserve"> </w:t>
      </w:r>
      <w:r>
        <w:t xml:space="preserve">primary descriptive aggregate (unweighted mean of the four per-dimension</w:t>
      </w:r>
      <w:r>
        <w:t xml:space="preserve"> </w:t>
      </w:r>
      <w:r>
        <w:t xml:space="preserve">mean ranks) against the two registered variants —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/</m:t>
        </m:r>
        <m:r>
          <m:t>20</m:t>
        </m:r>
      </m:oMath>
      <w:r>
        <w:t xml:space="preserve">-only</w:t>
      </w:r>
      <w:r>
        <w:t xml:space="preserve"> </w:t>
      </w:r>
      <w:r>
        <w:t xml:space="preserve">mean and the common-8-function-subset mean at all four dimensions</w:t>
      </w:r>
      <w:r>
        <w:t xml:space="preserve"> </w:t>
      </w:r>
      <w:r>
        <w:t xml:space="preserve">(ordinals in parentheses). DT-GSK’s ordinal is stable across both</w:t>
      </w:r>
      <w:r>
        <w:t xml:space="preserve"> </w:t>
      </w:r>
      <w:r>
        <w:t xml:space="preserve">variants, so the binding instability rule does not fire.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20 registered across-dimension aggregate robustness: the primary descriptive aggregate (unweighted mean of the four per-dimension mean ranks) against the two registered variants — the D = 10/15/20-only mean and the common-8-function-subset mean at all four dimensions (ordinals in parentheses). DT-GSK’s ordinal is stable across both variants, so the binding instability rule does not fire.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15</m:t>
              </m:r>
              <m:r>
                <m:rPr>
                  <m:sty m:val="p"/>
                </m:rPr>
                <m:t>/</m:t>
              </m:r>
              <m:r>
                <m:t>20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only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Common-8 subset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5.4562 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5.4000 (5)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5.4375 (6)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2.0875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1.8667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2.2188 (1)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3.0938 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3.3333 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3.1250 (3)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FDB-AGSK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2.3125 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2.1667 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2.3125 (2)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ATMALS-GSK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5.4938 (7)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5.5333 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5.4688 (7)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5.4437 (5)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5.6333 (7)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5.3438 (5)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DT-GSK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4.1125 (4)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4.0667 (4)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4.0938 (4)</w:t>
            </w:r>
          </w:p>
        </w:tc>
      </w:tr>
    </w:tbl>
    <w:bookmarkEnd w:id="201"/>
    <w:bookmarkEnd w:id="202"/>
    <w:bookmarkStart w:id="207" w:name="lbl_sec_supp_cec2020_detail"/>
    <w:p>
      <w:pPr>
        <w:pStyle w:val="Heading2"/>
      </w:pPr>
      <w:bookmarkStart w:id="339" w:name="ref_sec_supp_cec2020_detail"/>
      <w:r>
        <w:t xml:space="preserve">S8.6.</w:t>
      </w:r>
      <w:bookmarkEnd w:id="339"/>
      <w:r>
        <w:tab/>
      </w:r>
      <w:r>
        <w:t xml:space="preserve"> Per-Function Detail</w:t>
      </w:r>
    </w:p>
    <w:p>
      <w:pPr>
        <w:pStyle w:val="FirstParagraph"/>
      </w:pPr>
      <w:r>
        <w:t xml:space="preserve">Tables </w:t>
      </w:r>
      <w:r>
        <w:fldChar w:fldCharType="begin"/>
      </w:r>
      <w:r>
        <w:instrText xml:space="preserve"> REF ref_tab_supp_cec2020_detail_d5 \h </w:instrText>
      </w:r>
      <w:r>
        <w:fldChar w:fldCharType="separate"/>
      </w:r>
      <w:r>
        <w:t xml:space="preserve">A39</w:t>
      </w:r>
      <w:r>
        <w:fldChar w:fldCharType="end"/>
      </w:r>
      <w:r>
        <w:t xml:space="preserve">–</w:t>
      </w:r>
      <w:r>
        <w:fldChar w:fldCharType="begin"/>
      </w:r>
      <w:r>
        <w:instrText xml:space="preserve"> REF ref_tab_supp_cec2020_detail_d20 \h </w:instrText>
      </w:r>
      <w:r>
        <w:fldChar w:fldCharType="separate"/>
      </w:r>
      <w:r>
        <w:t xml:space="preserve">A42</w:t>
      </w:r>
      <w:r>
        <w:fldChar w:fldCharType="end"/>
      </w:r>
      <w:r>
        <w:t xml:space="preserve"> </w:t>
      </w:r>
      <w:r>
        <w:t xml:space="preserve">report the five-statistic per-function record (best / median / mean /</w:t>
      </w:r>
      <w:r>
        <w:t xml:space="preserve"> </w:t>
      </w:r>
      <w:r>
        <w:t xml:space="preserve">worst / SD of the final error over the 30 runs,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 for all</w:t>
      </w:r>
      <w:r>
        <w:t xml:space="preserve"> </w:t>
      </w:r>
      <w:r>
        <w:t xml:space="preserve">seven family algorithms on all 38 scored cells, one table per dimension</w:t>
      </w:r>
      <w:r>
        <w:t xml:space="preserve"> </w:t>
      </w:r>
      <w:r>
        <w:t xml:space="preserve">(8 functions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; 10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/</m:t>
        </m:r>
        <m:r>
          <m:t>20</m:t>
        </m:r>
      </m:oMath>
      <w:r>
        <w:t xml:space="preserve">).</w:t>
      </w:r>
    </w:p>
    <w:bookmarkStart w:id="203" w:name="lbl_tab_supp_cec2020_detail_d5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40" w:name="ref_tab_supp_cec2020_detail_d5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39</w:t>
      </w:r>
      <w:r>
        <w:fldChar w:fldCharType="end"/>
      </w:r>
      <w:bookmarkEnd w:id="340"/>
      <w:r>
        <w:rPr>
          <w:b/>
        </w:rPr>
        <w:t xml:space="preserve">. </w:t>
      </w:r>
      <w:r>
        <w:t xml:space="preserve"> CEC2020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: best / median / mean / worst / SD of</w:t>
      </w:r>
      <w:r>
        <w:t xml:space="preserve"> </w:t>
      </w:r>
      <w:r>
        <w:t xml:space="preserve">the final error over 30 runs for all 7 GSK-family algorithms</w:t>
      </w:r>
      <w:r>
        <w:t xml:space="preserve"> </w:t>
      </w:r>
      <w:r>
        <w:t xml:space="preserve">on the reduced 8-function task set (F6/F7 undefined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);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 </w:t>
      </w:r>
      <w:r>
        <w:t xml:space="preserve">per the dimension-dependent budget; 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; best mean per function in bold (ties all bold).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20 at D = 5: best / median / mean / worst / SD of the final error over 30 runs for all 7 GSK-family algorithms on the reduced 8-function task set (F6/F7 undefined at D = 5); MaxFES per the dimension-dependent budget; success floor 10^-8; best mean per function in bold (ties all bold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APGSK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FDB-AGSK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ATMALS-GSK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DT-GSK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4.28E+01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5.99E+00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8.47E+00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6.55E-01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5.80E-08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2.94E-05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9.97E-02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5.21E-02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9.57E-02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6.87E-02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8.25E-02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3.87E-02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2.08E-02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4.16E-02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1.58E-01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7.24E+00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2.67E+01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1.83E-09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6.45E+01</w:t>
            </w:r>
          </w:p>
        </w:tc>
      </w:tr>
    </w:tbl>
    <w:bookmarkEnd w:id="203"/>
    <w:bookmarkStart w:id="204" w:name="lbl_tab_supp_cec2020_detail_d10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41" w:name="ref_tab_supp_cec2020_detail_d1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40</w:t>
      </w:r>
      <w:r>
        <w:fldChar w:fldCharType="end"/>
      </w:r>
      <w:bookmarkEnd w:id="341"/>
      <w:r>
        <w:rPr>
          <w:b/>
        </w:rPr>
        <w:t xml:space="preserve">. </w:t>
      </w:r>
      <w:r>
        <w:t xml:space="preserve"> CEC2020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: best / median / mean / worst / SD of</w:t>
      </w:r>
      <w:r>
        <w:t xml:space="preserve"> </w:t>
      </w:r>
      <w:r>
        <w:t xml:space="preserve">the final error over 30 runs for all 7 GSK-family algorithms</w:t>
      </w:r>
      <w:r>
        <w:t xml:space="preserve"> </w:t>
      </w:r>
      <w:r>
        <w:t xml:space="preserve">on all 10 functions;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 </w:t>
      </w:r>
      <w:r>
        <w:t xml:space="preserve">per the dimension-dependent budget; 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; best mean per function in bold (ties all bold).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20 at D = 10: best / median / mean / worst / SD of the final error over 30 runs for all 7 GSK-family algorithms on all 10 functions; MaxFES per the dimension-dependent budget; success floor 10^-8; best mean per function in bold (ties all bold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APGSK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FDB-AGSK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ATMALS-GSK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DT-GSK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1.69E+01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1.22E+01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7.95E+00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1.70E+00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1.08E-01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7.16E-02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8.53E-02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3.50E-02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5.47E-01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7.46E+00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8.01E-03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3.70E-04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4.82E-01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6.48E-01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2.05E-01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5.96E-05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9.22E-06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5.81E-01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8.58E-04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8.55E-03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3.16E-01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6.08E+01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5.74E+01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9.00E+01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8.27E+01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8.29E+00</w:t>
            </w:r>
          </w:p>
        </w:tc>
      </w:tr>
    </w:tbl>
    <w:bookmarkEnd w:id="204"/>
    <w:bookmarkStart w:id="205" w:name="lbl_tab_supp_cec2020_detail_d15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42" w:name="ref_tab_supp_cec2020_detail_d15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41</w:t>
      </w:r>
      <w:r>
        <w:fldChar w:fldCharType="end"/>
      </w:r>
      <w:bookmarkEnd w:id="342"/>
      <w:r>
        <w:rPr>
          <w:b/>
        </w:rPr>
        <w:t xml:space="preserve">. </w:t>
      </w:r>
      <w:r>
        <w:t xml:space="preserve"> CEC2020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: best / median / mean / worst / SD of</w:t>
      </w:r>
      <w:r>
        <w:t xml:space="preserve"> </w:t>
      </w:r>
      <w:r>
        <w:t xml:space="preserve">the final error over 30 runs for all 7 GSK-family algorithms</w:t>
      </w:r>
      <w:r>
        <w:t xml:space="preserve"> </w:t>
      </w:r>
      <w:r>
        <w:t xml:space="preserve">on all 10 functions;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 </w:t>
      </w:r>
      <w:r>
        <w:t xml:space="preserve">per the dimension-dependent budget; 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; best mean per function in bold (ties all bold).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20 at D = 15: best / median / mean / worst / SD of the final error over 30 runs for all 7 GSK-family algorithms on all 10 functions; MaxFES per the dimension-dependent budget; success floor 10^-8; best mean per function in bold (ties all bold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APGSK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FDB-AGSK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ATMALS-GSK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DT-GSK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1.63E+01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1.56E+01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1.62E-01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7.26E-02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3.90E-02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1.28E+01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5.48E+00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7.35E-03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8.48E-02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8.12E-02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1.52E-03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2.54E-01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1.46E-01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4.68E-02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2.42E-01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7.05E+01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9.27E+01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9.67E+01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</w:tbl>
    <w:bookmarkEnd w:id="205"/>
    <w:bookmarkStart w:id="206" w:name="lbl_tab_supp_cec2020_detail_d20"/>
    <w:p>
      <w:pPr>
        <w:pStyle w:val="TableCaption"/>
        <w:keepNext/>
        <w:keepLines/>
      </w:pPr>
      <w:r>
        <w:rPr>
          <w:b/>
        </w:rPr>
        <w:t xml:space="preserve">Table </w:t>
      </w:r>
      <w:bookmarkStart w:id="343" w:name="ref_tab_supp_cec2020_detail_d20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42</w:t>
      </w:r>
      <w:r>
        <w:fldChar w:fldCharType="end"/>
      </w:r>
      <w:bookmarkEnd w:id="343"/>
      <w:r>
        <w:rPr>
          <w:b/>
        </w:rPr>
        <w:t xml:space="preserve">. </w:t>
      </w:r>
      <w:r>
        <w:t xml:space="preserve"> CEC2020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: best / median / mean / worst / SD of</w:t>
      </w:r>
      <w:r>
        <w:t xml:space="preserve"> </w:t>
      </w:r>
      <w:r>
        <w:t xml:space="preserve">the final error over 30 runs for all 7 GSK-family algorithms</w:t>
      </w:r>
      <w:r>
        <w:t xml:space="preserve"> </w:t>
      </w:r>
      <w:r>
        <w:t xml:space="preserve">on all 10 functions;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 </w:t>
      </w:r>
      <w:r>
        <w:t xml:space="preserve">per the dimension-dependent budget; success floor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; best mean per function in bold (ties all bold).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C2020 at D = 20: best / median / mean / worst / SD of the final error over 30 runs for all 7 GSK-family algorithms on all 10 functions; MaxFES per the dimension-dependent budget; success floor 10^-8; best mean per function in bold (ties all bold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APGSK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FDB-AGSK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ATMALS-GSK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eGSK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DT-GSK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9.43E-02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1.75E+02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2.10E+01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7.82E-02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2.23E+00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8.92E-01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8.26E-01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6.58E+00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8.17E+01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8.57E-02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7.21E+00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8.03E-02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1.55E+00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6.75E-01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2.69E+01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2.45E+00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7.83E+01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9.86E+01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9.93E+01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3.95E+00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2.92E+01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4.15E+02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5.03E+02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4.14E+02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5.74E+00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5.70E+00</w:t>
            </w:r>
          </w:p>
        </w:tc>
      </w:tr>
    </w:tbl>
    <w:bookmarkEnd w:id="206"/>
    <w:bookmarkEnd w:id="207"/>
    <w:bookmarkEnd w:id="208"/>
    <w:bookmarkStart w:id="213" w:name="lbl_sec_supp_revision"/>
    <w:p>
      <w:pPr>
        <w:pStyle w:val="Heading1"/>
      </w:pPr>
      <w:bookmarkStart w:id="344" w:name="ref_sec_supp_revision"/>
      <w:r>
        <w:t xml:space="preserve">S9.</w:t>
      </w:r>
      <w:bookmarkEnd w:id="344"/>
      <w:r>
        <w:tab/>
      </w:r>
      <w:r>
        <w:t xml:space="preserve"> Round-One Revision Experiments</w:t>
      </w:r>
    </w:p>
    <w:p>
      <w:pPr>
        <w:pStyle w:val="FirstParagraph"/>
      </w:pPr>
      <w:r>
        <w:t xml:space="preserve">The four experiments in this section were requested by the round-one</w:t>
      </w:r>
      <w:r>
        <w:t xml:space="preserve"> </w:t>
      </w:r>
      <w:r>
        <w:t xml:space="preserve">reviewers to isolate mechanisms that the submitted manuscript had introduced</w:t>
      </w:r>
      <w:r>
        <w:t xml:space="preserve"> </w:t>
      </w:r>
      <w:r>
        <w:t xml:space="preserve">together. Their designs, estimands, statistical conventions and the wording to</w:t>
      </w:r>
      <w:r>
        <w:t xml:space="preserve"> </w:t>
      </w:r>
      <w:r>
        <w:t xml:space="preserve">be used for each unfavourable outcome were registered in a signed addendum</w:t>
      </w:r>
      <w:r>
        <w:t xml:space="preserve"> </w:t>
      </w:r>
      <w:r>
        <w:t xml:space="preserve">before any of them produced a result; two subsequent deviations discovered</w:t>
      </w:r>
      <w:r>
        <w:t xml:space="preserve"> </w:t>
      </w:r>
      <w:r>
        <w:t xml:space="preserve">during post-hoc verification are recorded there as dated amendments and are</w:t>
      </w:r>
      <w:r>
        <w:t xml:space="preserve"> </w:t>
      </w:r>
      <w:r>
        <w:t xml:space="preserve">disclosed at the point of use below. That addendum is published with the code</w:t>
      </w:r>
      <w:r>
        <w:t xml:space="preserve"> </w:t>
      </w:r>
      <w:r>
        <w:t xml:space="preserve">and data, as revision_experiments_preregistration.md under the review folder</w:t>
      </w:r>
      <w:r>
        <w:t xml:space="preserve"> </w:t>
      </w:r>
      <w:r>
        <w:t xml:space="preserve">of the repository named in the Data Availability Statement, so a reader can</w:t>
      </w:r>
      <w:r>
        <w:t xml:space="preserve"> </w:t>
      </w:r>
      <w:r>
        <w:t xml:space="preserve">check that the unfavourable-outcome wording predates the outcomes rather than</w:t>
      </w:r>
      <w:r>
        <w:t xml:space="preserve"> </w:t>
      </w:r>
      <w:r>
        <w:t xml:space="preserve">take it on trust.</w:t>
      </w:r>
    </w:p>
    <w:p>
      <w:pPr>
        <w:pStyle w:val="BodyText"/>
      </w:pPr>
      <w:r>
        <w:t xml:space="preserve">The experiments ran under the same</w:t>
      </w:r>
      <w:r>
        <w:t xml:space="preserve"> </w:t>
      </w:r>
      <w:r>
        <w:t xml:space="preserve">unified Threefry seed schedule, base seed and protocol budget as the primary</w:t>
      </w:r>
      <w:r>
        <w:t xml:space="preserve"> </w:t>
      </w:r>
      <w:r>
        <w:t xml:space="preserve">panel, so every new cell pairs with the frozen evidence at matched</w:t>
      </w:r>
      <w:r>
        <w:t xml:space="preserve"> </w:t>
      </w:r>
      <w:r>
        <w:t xml:space="preserve">(dimension, function, run); pairing was verified by seed identity before any</w:t>
      </w:r>
      <w:r>
        <w:t xml:space="preserve"> </w:t>
      </w:r>
      <w:r>
        <w:t xml:space="preserve">statistic was computed, with no mismatch in any comparison. Nothing in the</w:t>
      </w:r>
      <w:r>
        <w:t xml:space="preserve"> </w:t>
      </w:r>
      <w:r>
        <w:t xml:space="preserve">primary release was re-run or re-minted.</w:t>
      </w:r>
    </w:p>
    <w:bookmarkStart w:id="209" w:name="lbl_sec_supp_rev_basis"/>
    <w:p>
      <w:pPr>
        <w:pStyle w:val="Heading2"/>
      </w:pPr>
      <w:bookmarkStart w:id="345" w:name="ref_sec_supp_rev_basis"/>
      <w:r>
        <w:t xml:space="preserve">S9.1.</w:t>
      </w:r>
      <w:bookmarkEnd w:id="345"/>
      <w:r>
        <w:tab/>
      </w:r>
      <w:r>
        <w:t xml:space="preserve"> Refinement Basis: Eigenframe, Coordinate Axes, or None</w:t>
      </w:r>
    </w:p>
    <w:p>
      <w:pPr>
        <w:pStyle w:val="FirstParagraph"/>
      </w:pPr>
      <w:r>
        <w:t xml:space="preserve">The final polish was previously evaluated only as a whole: the released</w:t>
      </w:r>
      <w:r>
        <w:t xml:space="preserve"> </w:t>
      </w:r>
      <w:r>
        <w:t xml:space="preserve">component study removed the entire final search procedure rather than testing</w:t>
      </w:r>
      <w:r>
        <w:t xml:space="preserve"> </w:t>
      </w:r>
      <w:r>
        <w:t xml:space="preserve">the contribution of the basis it searches along</w:t>
      </w:r>
      <w:r>
        <w:t xml:space="preserve"> </w:t>
      </w:r>
      <w:r>
        <w:t xml:space="preserve">(Section </w:t>
      </w:r>
      <w:r>
        <w:fldChar w:fldCharType="begin"/>
      </w:r>
      <w:r>
        <w:instrText xml:space="preserve"> REF ref_sec_supp_ablation_sgsm \h </w:instrText>
      </w:r>
      <w:r>
        <w:fldChar w:fldCharType="separate"/>
      </w:r>
      <w:r>
        <w:t xml:space="preserve">S6.5</w:t>
      </w:r>
      <w:r>
        <w:fldChar w:fldCharType="end"/>
      </w:r>
      <w:r>
        <w:t xml:space="preserve">). This experiment separates the two.</w:t>
      </w:r>
      <w:r>
        <w:t xml:space="preserve"> </w:t>
      </w:r>
      <w:r>
        <w:t xml:space="preserve">Three arms differ in the direction set alone — no refinement, the coordinate</w:t>
      </w:r>
      <w:r>
        <w:t xml:space="preserve"> </w:t>
      </w:r>
      <w:r>
        <w:t xml:space="preserve">axes, and the learned eigenframe — at the shipped configuration in every</w:t>
      </w:r>
      <w:r>
        <w:t xml:space="preserve"> </w:t>
      </w:r>
      <w:r>
        <w:t xml:space="preserve">other respect, with the interaction-structure memory and the linkage channel</w:t>
      </w:r>
      <w:r>
        <w:t xml:space="preserve"> </w:t>
      </w:r>
      <w:r>
        <w:t xml:space="preserve">live, at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paired repetitions.</w:t>
      </w:r>
    </w:p>
    <w:p>
      <w:pPr>
        <w:pStyle w:val="BodyText"/>
      </w:pPr>
      <w:r>
        <w:t xml:space="preserve">The coordinate arm is produced by supplying the identity matrix through a</w:t>
      </w:r>
      <w:r>
        <w:t xml:space="preserve"> </w:t>
      </w:r>
      <w:r>
        <w:t xml:space="preserve">keyword-only research parameter of the optimizer core. That parameter is</w:t>
      </w:r>
      <w:r>
        <w:t xml:space="preserve"> </w:t>
      </w:r>
      <w:r>
        <w:t xml:space="preserve">deliberately unreachable from every configuration, profile, command-line and</w:t>
      </w:r>
      <w:r>
        <w:t xml:space="preserve"> </w:t>
      </w:r>
      <w:r>
        <w:t xml:space="preserve">adapter path in the shipped package, and a regression test asserts as much;</w:t>
      </w:r>
      <w:r>
        <w:t xml:space="preserve"> </w:t>
      </w:r>
      <w:r>
        <w:t xml:space="preserve">it is exercised here from a driver outside that package, with no shipped</w:t>
      </w:r>
      <w:r>
        <w:t xml:space="preserve"> </w:t>
      </w:r>
      <w:r>
        <w:t xml:space="preserve">source modified. The identity basis reproduces exactly the fallback the polish</w:t>
      </w:r>
      <w:r>
        <w:t xml:space="preserve"> </w:t>
      </w:r>
      <w:r>
        <w:t xml:space="preserve">already uses whenever the interaction graph carries no signal, so the contrast</w:t>
      </w:r>
      <w:r>
        <w:t xml:space="preserve"> </w:t>
      </w:r>
      <w:r>
        <w:t xml:space="preserve">isolates the basis and nothing else.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346" w:name="ref_tab_rev_e1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43</w:t>
      </w:r>
      <w:r>
        <w:fldChar w:fldCharType="end"/>
      </w:r>
      <w:bookmarkEnd w:id="346"/>
      <w:r>
        <w:rPr>
          <w:b/>
        </w:rPr>
        <w:t xml:space="preserve">. </w:t>
      </w:r>
      <w:r>
        <w:t xml:space="preserve"> Refinement-basis contrast on CEC2017 at the two dimensions where the</w:t>
      </w:r>
      <w:r>
        <w:t xml:space="preserve"> </w:t>
      </w:r>
      <w:r>
        <w:t xml:space="preserve">polish is active. Paired Wilcoxon signed-rank across the 29 scored functions on</w:t>
      </w:r>
      <w:r>
        <w:t xml:space="preserve"> </w:t>
      </w:r>
      <w:r>
        <w:t xml:space="preserve">per-function mean error, Holm-corrected within dimension over the registered</w:t>
      </w:r>
      <w:r>
        <w:t xml:space="preserve"> </w:t>
      </w:r>
      <w:r>
        <w:t xml:space="preserve">two-contrast family;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on the raw paired runs, computed with the first-named</w:t>
      </w:r>
      <w:r>
        <w:t xml:space="preserve"> </w:t>
      </w:r>
      <w:r>
        <w:t xml:space="preserve">arm as reference, so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favours the second. W/T/L counts functions,</w:t>
      </w:r>
      <w:r>
        <w:t xml:space="preserve"> </w:t>
      </w:r>
      <w:r>
        <w:t xml:space="preserve">ties at a tolerance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The coordinate-versus-none row is a</w:t>
      </w:r>
      <w:r>
        <w:t xml:space="preserve"> </w:t>
      </w:r>
      <w:r>
        <w:t xml:space="preserve">supplementary single-test contrast added after verification, outside the registered</w:t>
      </w:r>
      <w:r>
        <w:t xml:space="preserve"> </w:t>
      </w:r>
      <w:r>
        <w:t xml:space="preserve">family, so its Holm value equals its raw value; it is reported because the value of</w:t>
      </w:r>
      <w:r>
        <w:t xml:space="preserve"> </w:t>
      </w:r>
      <w:r>
        <w:t xml:space="preserve">the axes endgame would otherwise rest only on a transitive</w:t>
      </w:r>
      <w:r>
        <w:t xml:space="preserve"> </w:t>
      </w:r>
      <w:r>
        <w:t xml:space="preserve">argument.</w:t>
      </w:r>
    </w:p>
    <w:tbl>
      <w:tblPr>
        <w:tblStyle w:val="Table"/>
        <w:tblW w:w="4000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Refinement-basis contrast on CEC2017 (E1, reviewer point R2.3): eigenframe versus coordinate axes versus no refinement at fixed enablement."/>
        <w:tblDescription w:val="Refinement-basis contrast on CEC2017 (E1, reviewer point R2.3): eigenframe versus coordinate axes versus no refinement at fixed enablement."/>
        <w:tblLook w:val="04A0" w:firstRow="1" w:lastRow="0" w:firstColumn="0" w:lastColumn="0" w:noHBand="0" w:noVBand="1"/>
      </w:tblPr>
      <w:tblGrid>
        <w:gridCol w:w="320"/>
        <w:gridCol w:w="936"/>
        <w:gridCol w:w="584"/>
        <w:gridCol w:w="584"/>
        <w:gridCol w:w="408"/>
        <w:gridCol w:w="672"/>
        <w:gridCol w:w="496"/>
      </w:tblGrid>
      <w:tr>
        <w:trPr>
          <w:cantSplit/>
          <w:tblHeader/>
        </w:trPr>
        <w:tc>
          <w:tcPr>
            <w:tcW w:w="32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D</w:t>
            </w:r>
          </w:p>
        </w:tc>
        <w:tc>
          <w:tcPr>
            <w:tcW w:w="93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Contrast</w:t>
            </w:r>
          </w:p>
        </w:tc>
        <w:tc>
          <w:tcPr>
            <w:tcW w:w="584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raw p</w:t>
            </w:r>
          </w:p>
        </w:tc>
        <w:tc>
          <w:tcPr>
            <w:tcW w:w="584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Holm p</w:t>
            </w:r>
          </w:p>
        </w:tc>
        <w:tc>
          <w:tcPr>
            <w:tcW w:w="40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Sig.</w:t>
            </w:r>
          </w:p>
        </w:tc>
        <w:tc>
          <w:tcPr>
            <w:tcW w:w="672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W/T/L</w:t>
            </w:r>
          </w:p>
        </w:tc>
        <w:tc>
          <w:tcPr>
            <w:tcW w:w="49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A12</w:t>
            </w:r>
          </w:p>
        </w:tc>
      </w:tr>
      <w:tr>
        <w:trPr>
          <w:cantSplit/>
        </w:trPr>
        <w:tc>
          <w:tcPr>
            <w:tcW w:w="32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50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Eigenframe vs. coordinate axes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6.9e-5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1.4e-4</w:t>
            </w:r>
          </w:p>
        </w:tc>
        <w:tc>
          <w:tcPr>
            <w:tcW w:w="40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4/0/25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0.493</w:t>
            </w:r>
          </w:p>
        </w:tc>
      </w:tr>
      <w:tr>
        <w:trPr>
          <w:cantSplit/>
        </w:trPr>
        <w:tc>
          <w:tcPr>
            <w:tcW w:w="32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50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Eigenframe vs. no refinement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6.1e-4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6.1e-4</w:t>
            </w:r>
          </w:p>
        </w:tc>
        <w:tc>
          <w:tcPr>
            <w:tcW w:w="40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22/2/5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0.511</w:t>
            </w:r>
          </w:p>
        </w:tc>
      </w:tr>
      <w:tr>
        <w:trPr>
          <w:cantSplit/>
        </w:trPr>
        <w:tc>
          <w:tcPr>
            <w:tcW w:w="32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50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Coordinate axes vs. no refinement +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3.0e-6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3.0e-6</w:t>
            </w:r>
          </w:p>
        </w:tc>
        <w:tc>
          <w:tcPr>
            <w:tcW w:w="40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28/1/0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0.518</w:t>
            </w:r>
          </w:p>
        </w:tc>
      </w:tr>
      <w:tr>
        <w:trPr>
          <w:cantSplit/>
        </w:trPr>
        <w:tc>
          <w:tcPr>
            <w:tcW w:w="32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Eigenframe vs. coordinate axes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0.0543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0.0543</w:t>
            </w:r>
          </w:p>
        </w:tc>
        <w:tc>
          <w:tcPr>
            <w:tcW w:w="40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11/1/17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0.497</w:t>
            </w:r>
          </w:p>
        </w:tc>
      </w:tr>
      <w:tr>
        <w:trPr>
          <w:cantSplit/>
        </w:trPr>
        <w:tc>
          <w:tcPr>
            <w:tcW w:w="32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Eigenframe vs. no refinement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0.0015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0.003</w:t>
            </w:r>
          </w:p>
        </w:tc>
        <w:tc>
          <w:tcPr>
            <w:tcW w:w="40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23/1/5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0.503</w:t>
            </w:r>
          </w:p>
        </w:tc>
      </w:tr>
      <w:tr>
        <w:trPr>
          <w:cantSplit/>
        </w:trPr>
        <w:tc>
          <w:tcPr>
            <w:tcW w:w="32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93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Coordinate axes vs. no refinement +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0.0012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0.0012</w:t>
            </w:r>
          </w:p>
        </w:tc>
        <w:tc>
          <w:tcPr>
            <w:tcW w:w="40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25/1/3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0.506</w:t>
            </w:r>
          </w:p>
        </w:tc>
      </w:tr>
    </w:tbl>
    <w:p>
      <w:pPr>
        <w:pStyle w:val="BodyText"/>
      </w:pPr>
      <w:r>
        <w:t xml:space="preserve">Two findings follow, and they point in opposite directions. The refinement</w:t>
      </w:r>
      <w:r>
        <w:t xml:space="preserve"> </w:t>
      </w:r>
      <w:r>
        <w:t xml:space="preserve">itself is confirmed: against no refinement it wins on 22 of 29 functions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 23 of 29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and the coordinate arm alone wins on 28 of</w:t>
      </w:r>
      <w:r>
        <w:t xml:space="preserve"> </w:t>
      </w:r>
      <w:r>
        <w:t xml:space="preserve">29 and 25 of 29 respectively. The learned basis, however, does not merely fail</w:t>
      </w:r>
      <w:r>
        <w:t xml:space="preserve"> </w:t>
      </w:r>
      <w:r>
        <w:t xml:space="preserve">to add value —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it is beaten by the plain coordinate axes on 25 of</w:t>
      </w:r>
      <w:r>
        <w:t xml:space="preserve"> </w:t>
      </w:r>
      <w:r>
        <w:t xml:space="preserve">29 functions 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and the single worst</w:t>
      </w:r>
      <w:r>
        <w:t xml:space="preserve"> </w:t>
      </w:r>
      <w:r>
        <w:t xml:space="preserve">function shows the eigenframe arm two orders of magnitude behind.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the same direction appears without reaching significance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0.054</m:t>
        </m:r>
      </m:oMath>
      <w:r>
        <w:t xml:space="preserve">). The conclusion the paper draws is therefore</w:t>
      </w:r>
      <w:r>
        <w:t xml:space="preserve"> </w:t>
      </w:r>
      <w:r>
        <w:t xml:space="preserve">restricted to what was tested: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on this suite, with this estimator and</w:t>
      </w:r>
      <w:r>
        <w:t xml:space="preserve"> </w:t>
      </w:r>
      <w:r>
        <w:t xml:space="preserve">this exploitation channel, the learned eigenbasis degrades a refinement that</w:t>
      </w:r>
      <w:r>
        <w:t xml:space="preserve"> </w:t>
      </w:r>
      <w:r>
        <w:t xml:space="preserve">works without it. This is consistent with the configuration record noting that</w:t>
      </w:r>
      <w:r>
        <w:t xml:space="preserve"> </w:t>
      </w:r>
      <w:r>
        <w:t xml:space="preserve">the learned basis matches the coordinate axes to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— an</w:t>
      </w:r>
      <w:r>
        <w:t xml:space="preserve"> </w:t>
      </w:r>
      <w:r>
        <w:t xml:space="preserve">estimator carrying almost no information, whose residual rotations subtract from</w:t>
      </w:r>
      <w:r>
        <w:t xml:space="preserve"> </w:t>
      </w:r>
      <w:r>
        <w:t xml:space="preserve">a search that the axes serve well. Contribution C1 is accordingly stated in</w:t>
      </w:r>
      <w:r>
        <w:t xml:space="preserve"> </w:t>
      </w:r>
      <w:r>
        <w:t xml:space="preserve">basis-neutral terms throughout: the mechanism that earns its place is the</w:t>
      </w:r>
      <w:r>
        <w:t xml:space="preserve"> </w:t>
      </w:r>
      <w:r>
        <w:t xml:space="preserve">deterministic, budget-exact compass endgame, not the geometry it was given.</w:t>
      </w:r>
    </w:p>
    <w:bookmarkEnd w:id="209"/>
    <w:bookmarkStart w:id="210" w:name="lbl_sec_supp_rev_np"/>
    <w:p>
      <w:pPr>
        <w:pStyle w:val="Heading2"/>
      </w:pPr>
      <w:bookmarkStart w:id="347" w:name="ref_sec_supp_rev_np"/>
      <w:r>
        <w:t xml:space="preserve">S9.2.</w:t>
      </w:r>
      <w:bookmarkEnd w:id="347"/>
      <w:r>
        <w:tab/>
      </w:r>
      <w:r>
        <w:t xml:space="preserve"> Matched Population Size</w:t>
      </w:r>
    </w:p>
    <w:p>
      <w:pPr>
        <w:pStyle w:val="FirstParagraph"/>
      </w:pPr>
      <w:r>
        <w:t xml:space="preserve">DT-GSK initializes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while the six comparators run their</w:t>
      </w:r>
      <w:r>
        <w:t xml:space="preserve"> </w:t>
      </w:r>
      <w:r>
        <w:t xml:space="preserve">reference-implementation value of</w:t>
      </w:r>
      <w:r>
        <w:t xml:space="preserve"> </w:t>
      </w:r>
      <m:oMath>
        <m:r>
          <m:t>100</m:t>
        </m:r>
      </m:oMath>
      <w:r>
        <w:t xml:space="preserve">, a five-fold difference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that the submitted manuscript disclosed but did not control. This experiment</w:t>
      </w:r>
      <w:r>
        <w:t xml:space="preserve"> </w:t>
      </w:r>
      <w:r>
        <w:t xml:space="preserve">controls it: DT-GSK is re-run at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across all four dimensions with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repetitions, and the panel is re-ranked with the six frozen comparator</w:t>
      </w:r>
      <w:r>
        <w:t xml:space="preserve"> </w:t>
      </w:r>
      <w:r>
        <w:t xml:space="preserve">columns reused unchanged.</w:t>
      </w:r>
    </w:p>
    <w:p>
      <w:pPr>
        <w:pStyle w:val="BodyText"/>
      </w:pPr>
      <w:r>
        <w:t xml:space="preserve">The single-factor scope is declared. Only the initial population size changes:</w:t>
      </w:r>
      <w:r>
        <w:t xml:space="preserve"> </w:t>
      </w:r>
      <w:r>
        <w:t xml:space="preserve">the nonlinear reduction floor keeps its tier value, the high-dimension floor</w:t>
      </w:r>
      <w:r>
        <w:t xml:space="preserve"> </w:t>
      </w:r>
      <w:r>
        <w:t xml:space="preserve">governor is untouched, and the elite archive — contrary to a statement in the</w:t>
      </w:r>
      <w:r>
        <w:t xml:space="preserve"> </w:t>
      </w:r>
      <w:r>
        <w:t xml:space="preserve">registration, corrected there by amendment — is capped at a fixed size in both</w:t>
      </w:r>
      <w:r>
        <w:t xml:space="preserve"> </w:t>
      </w:r>
      <w:r>
        <w:t xml:space="preserve">arms rather than scaling with</w:t>
      </w:r>
      <w:r>
        <w:t xml:space="preserve"> </w:t>
      </w:r>
      <m:oMath>
        <m:r>
          <m:t>N</m:t>
        </m:r>
        <m:r>
          <m:t>P</m:t>
        </m:r>
      </m:oMath>
      <w:r>
        <w:t xml:space="preserve">, which makes the contrast cleaner than</w:t>
      </w:r>
      <w:r>
        <w:t xml:space="preserve"> </w:t>
      </w:r>
      <w:r>
        <w:t xml:space="preserve">registered rather than wider. Because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is a declared component of the</w:t>
      </w:r>
      <w:r>
        <w:t xml:space="preserve"> </w:t>
      </w:r>
      <w:r>
        <w:t xml:space="preserve">dimension-tiered method and not an incidental setting, this experiment is an</w:t>
      </w:r>
      <w:r>
        <w:t xml:space="preserve"> </w:t>
      </w:r>
      <w:r>
        <w:t xml:space="preserve">ablation of that component; it is not a correction to a mis-specified baseline.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348" w:name="ref_tab_rev_e2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44</w:t>
      </w:r>
      <w:r>
        <w:fldChar w:fldCharType="end"/>
      </w:r>
      <w:bookmarkEnd w:id="348"/>
      <w:r>
        <w:rPr>
          <w:b/>
        </w:rPr>
        <w:t xml:space="preserve">. </w:t>
      </w:r>
      <w:r>
        <w:t xml:space="preserve"> DT-GSK at the comparators’ population value. Mean ranks and ordinal</w:t>
      </w:r>
      <w:r>
        <w:t xml:space="preserve"> </w:t>
      </w:r>
      <w:r>
        <w:t xml:space="preserve">positions are computed over the seven-algorithm panel with only the DT-GSK</w:t>
      </w:r>
      <w:r>
        <w:t xml:space="preserve"> </w:t>
      </w:r>
      <w:r>
        <w:t xml:space="preserve">column substituted. The paired test compares DT-GSK against itself across the</w:t>
      </w:r>
      <w:r>
        <w:t xml:space="preserve"> </w:t>
      </w:r>
      <w:r>
        <w:t xml:space="preserve">29 functions, Holm-corrected across the four dimensions;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takes the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arm as reference.</w:t>
      </w:r>
    </w:p>
    <w:tbl>
      <w:tblPr>
        <w:tblStyle w:val="Table"/>
        <w:tblW w:w="4904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DT-GSK at the comparators' population value (E2, reviewer points R1.3/R2.2): the panel re-ranked with only the DT-GSK column substituted."/>
        <w:tblDescription w:val="DT-GSK at the comparators' population value (E2, reviewer points R1.3/R2.2): the panel re-ranked with only the DT-GSK column substituted."/>
        <w:tblLook w:val="04A0" w:firstRow="1" w:lastRow="0" w:firstColumn="0" w:lastColumn="0" w:noHBand="0" w:noVBand="1"/>
      </w:tblPr>
      <w:tblGrid>
        <w:gridCol w:w="320"/>
        <w:gridCol w:w="496"/>
        <w:gridCol w:w="584"/>
        <w:gridCol w:w="672"/>
        <w:gridCol w:w="672"/>
        <w:gridCol w:w="584"/>
        <w:gridCol w:w="408"/>
        <w:gridCol w:w="672"/>
        <w:gridCol w:w="496"/>
      </w:tblGrid>
      <w:tr>
        <w:trPr>
          <w:cantSplit/>
          <w:tblHeader/>
        </w:trPr>
        <w:tc>
          <w:tcPr>
            <w:tcW w:w="32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D</w:t>
            </w:r>
          </w:p>
        </w:tc>
        <w:tc>
          <w:tcPr>
            <w:tcW w:w="49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Rank NP=5D</w:t>
            </w:r>
          </w:p>
        </w:tc>
        <w:tc>
          <w:tcPr>
            <w:tcW w:w="584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Rank NP=100</w:t>
            </w:r>
          </w:p>
        </w:tc>
        <w:tc>
          <w:tcPr>
            <w:tcW w:w="672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Ordinal 5D</w:t>
            </w:r>
          </w:p>
        </w:tc>
        <w:tc>
          <w:tcPr>
            <w:tcW w:w="672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Ordinal 100</w:t>
            </w:r>
          </w:p>
        </w:tc>
        <w:tc>
          <w:tcPr>
            <w:tcW w:w="584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Holm p</w:t>
            </w:r>
          </w:p>
        </w:tc>
        <w:tc>
          <w:tcPr>
            <w:tcW w:w="40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Sig.</w:t>
            </w:r>
          </w:p>
        </w:tc>
        <w:tc>
          <w:tcPr>
            <w:tcW w:w="672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W/T/L</w:t>
            </w:r>
          </w:p>
        </w:tc>
        <w:tc>
          <w:tcPr>
            <w:tcW w:w="49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A12</w:t>
            </w:r>
          </w:p>
        </w:tc>
      </w:tr>
      <w:tr>
        <w:trPr>
          <w:cantSplit/>
        </w:trPr>
        <w:tc>
          <w:tcPr>
            <w:tcW w:w="32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2.879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2.724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0.517</w:t>
            </w:r>
          </w:p>
        </w:tc>
        <w:tc>
          <w:tcPr>
            <w:tcW w:w="40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10/4/15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0.495</w:t>
            </w:r>
          </w:p>
        </w:tc>
      </w:tr>
      <w:tr>
        <w:trPr>
          <w:cantSplit/>
        </w:trPr>
        <w:tc>
          <w:tcPr>
            <w:tcW w:w="32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2.500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2.707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0.517</w:t>
            </w:r>
          </w:p>
        </w:tc>
        <w:tc>
          <w:tcPr>
            <w:tcW w:w="40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16/4/9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0.504</w:t>
            </w:r>
          </w:p>
        </w:tc>
      </w:tr>
      <w:tr>
        <w:trPr>
          <w:cantSplit/>
        </w:trPr>
        <w:tc>
          <w:tcPr>
            <w:tcW w:w="32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50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2.207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2.621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0.0064</w:t>
            </w:r>
          </w:p>
        </w:tc>
        <w:tc>
          <w:tcPr>
            <w:tcW w:w="40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23/0/6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0.527</w:t>
            </w:r>
          </w:p>
        </w:tc>
      </w:tr>
      <w:tr>
        <w:trPr>
          <w:cantSplit/>
        </w:trPr>
        <w:tc>
          <w:tcPr>
            <w:tcW w:w="320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2.345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3.069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584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0.0051</w:t>
            </w:r>
          </w:p>
        </w:tc>
        <w:tc>
          <w:tcPr>
            <w:tcW w:w="40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23/0/6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0.566</w:t>
            </w:r>
          </w:p>
        </w:tc>
      </w:tr>
    </w:tbl>
    <w:p>
      <w:pPr>
        <w:pStyle w:val="BodyText"/>
      </w:pPr>
      <w:r>
        <w:t xml:space="preserve">The population rule is not the source of the reported standing. At the</w:t>
      </w:r>
      <w:r>
        <w:t xml:space="preserve"> </w:t>
      </w:r>
      <w:r>
        <w:t xml:space="preserve">comparators’ value DT-GSK still places first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 second at the</w:t>
      </w:r>
      <w:r>
        <w:t xml:space="preserve"> </w:t>
      </w:r>
      <w:r>
        <w:t xml:space="preserve">three remaining dimensions, so it remains within the top two of the panel at</w:t>
      </w:r>
      <w:r>
        <w:t xml:space="preserve"> </w:t>
      </w:r>
      <w:r>
        <w:t xml:space="preserve">every dimension tested. The rule does contribute, and it does so exactly where</w:t>
      </w:r>
      <w:r>
        <w:t xml:space="preserve"> </w:t>
      </w:r>
      <w:r>
        <w:t xml:space="preserve">a dimension-dependent rule should: the paired difference is indistinguishable</w:t>
      </w:r>
      <w:r>
        <w:t xml:space="preserve"> </w:t>
      </w:r>
      <w:r>
        <w:t xml:space="preserve">from zero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and significant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w:r>
        <w:t xml:space="preserve">where holding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at the panel constant costs DT-GSK first place. The rank</w:t>
      </w:r>
      <w:r>
        <w:t xml:space="preserve"> </w:t>
      </w:r>
      <w:r>
        <w:t xml:space="preserve">claims for those two dimensions are therefore configuration-dependent in the</w:t>
      </w:r>
      <w:r>
        <w:t xml:space="preserve"> </w:t>
      </w:r>
      <w:r>
        <w:t xml:space="preserve">sense that they rest in part on a component of the method, and the main text</w:t>
      </w:r>
      <w:r>
        <w:t xml:space="preserve"> </w:t>
      </w:r>
      <w:r>
        <w:t xml:space="preserve">records this where the asymmetry is introduced and again in its discussion.</w:t>
      </w:r>
      <w:r>
        <w:t xml:space="preserve"> </w:t>
      </w:r>
      <w:r>
        <w:t xml:space="preserve">Friedman ranks are relative:</w:t>
      </w:r>
      <w:r>
        <w:t xml:space="preserve"> </w:t>
      </w:r>
      <w:r>
        <w:t xml:space="preserve">substituting the DT-GSK column re-ranks the whole panel, so the six</w:t>
      </w:r>
      <w:r>
        <w:t xml:space="preserve"> </w:t>
      </w:r>
      <w:r>
        <w:t xml:space="preserve">comparator columns move as well. No entry here may be differenced against the</w:t>
      </w:r>
      <w:r>
        <w:t xml:space="preserve"> </w:t>
      </w:r>
      <w:r>
        <w:t xml:space="preserve">corresponding entry in the main-text rank table, and no descriptive aggregate</w:t>
      </w:r>
      <w:r>
        <w:t xml:space="preserve"> </w:t>
      </w:r>
      <w:r>
        <w:t xml:space="preserve">formed from this table is comparable with the one reported there.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also the one dimension at which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falls below the panel constant, so</w:t>
      </w:r>
      <w:r>
        <w:t xml:space="preserve"> </w:t>
      </w:r>
      <w:r>
        <w:t xml:space="preserve">the control raises rather than lowers DT-GSK’s initial population there; the</w:t>
      </w:r>
      <w:r>
        <w:t xml:space="preserve"> </w:t>
      </w:r>
      <w:r>
        <w:t xml:space="preserve">paired difference at that dimension is nonetheless indistinguishable from zero</w:t>
      </w:r>
      <w:r>
        <w:t xml:space="preserve"> </w:t>
      </w:r>
      <w:r>
        <w:t xml:space="preserve">(Holm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0.517</m:t>
        </m:r>
      </m:oMath>
      <w:r>
        <w:t xml:space="preserve">).</w:t>
      </w:r>
    </w:p>
    <w:bookmarkEnd w:id="210"/>
    <w:bookmarkStart w:id="211" w:name="lbl_sec_supp_rev_tiering"/>
    <w:p>
      <w:pPr>
        <w:pStyle w:val="Heading2"/>
      </w:pPr>
      <w:bookmarkStart w:id="349" w:name="ref_sec_supp_rev_tiering"/>
      <w:r>
        <w:t xml:space="preserve">S9.3.</w:t>
      </w:r>
      <w:bookmarkEnd w:id="349"/>
      <w:r>
        <w:tab/>
      </w:r>
      <w:r>
        <w:t xml:space="preserve"> Tiered Versus Tier-Constant Configuration</w:t>
      </w:r>
    </w:p>
    <w:p>
      <w:pPr>
        <w:pStyle w:val="FirstParagraph"/>
      </w:pPr>
      <w:r>
        <w:t xml:space="preserve">The manuscript attributes its standing to resolving configuration by dimension,</w:t>
      </w:r>
      <w:r>
        <w:t xml:space="preserve"> </w:t>
      </w:r>
      <w:r>
        <w:t xml:space="preserve">but the submitted evidence never compared the tiered configuration against an</w:t>
      </w:r>
      <w:r>
        <w:t xml:space="preserve"> </w:t>
      </w:r>
      <w:r>
        <w:t xml:space="preserve">otherwise identical one that does not vary. This experiment supplies that</w:t>
      </w:r>
      <w:r>
        <w:t xml:space="preserve"> </w:t>
      </w:r>
      <w:r>
        <w:t xml:space="preserve">comparison by transplant: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tier’s parameter dictionary, and separately</w:t>
      </w:r>
      <w:r>
        <w:t xml:space="preserve"> </w:t>
      </w:r>
      <w:r>
        <w:t xml:space="preserve">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tier’s dictionary, are applied unchanged at every dimension and</w:t>
      </w:r>
      <w:r>
        <w:t xml:space="preserve"> </w:t>
      </w:r>
      <w:r>
        <w:t xml:space="preserve">compared against the frozen tiered leg. Both dictionaries are generated</w:t>
      </w:r>
      <w:r>
        <w:t xml:space="preserve"> </w:t>
      </w:r>
      <w:r>
        <w:t xml:space="preserve">programmatically from the shipped profile rather than transcribed; 88 keys</w:t>
      </w:r>
      <w:r>
        <w:t xml:space="preserve"> </w:t>
      </w:r>
      <w:r>
        <w:t xml:space="preserve">differ between them.</w:t>
      </w:r>
    </w:p>
    <w:p>
      <w:pPr>
        <w:pStyle w:val="BodyText"/>
      </w:pPr>
      <w:r>
        <w:t xml:space="preserve">A transplant is not a component removal, and the reading is bounded accordingly.</w:t>
      </w:r>
      <w:r>
        <w:t xml:space="preserve"> </w:t>
      </w:r>
      <w:r>
        <w:t xml:space="preserve">Carrying a tier’s dictionary verbatim also carries the dimension-keyed gates</w:t>
      </w:r>
      <w:r>
        <w:t xml:space="preserve"> </w:t>
      </w:r>
      <w:r>
        <w:t xml:space="preserve">inside it, so an arm may have mechanisms switched on or off relative to the</w:t>
      </w:r>
      <w:r>
        <w:t xml:space="preserve"> </w:t>
      </w:r>
      <w:r>
        <w:t xml:space="preserve">tiered baseline at a given dimension — that change in activation is the</w:t>
      </w:r>
      <w:r>
        <w:t xml:space="preserve"> </w:t>
      </w:r>
      <w:r>
        <w:t xml:space="preserve">treatment, not a confound. The experiment therefore licenses exactly one class</w:t>
      </w:r>
      <w:r>
        <w:t xml:space="preserve"> </w:t>
      </w:r>
      <w:r>
        <w:t xml:space="preserve">of statement, that the tiered configuration does or does not outperform a</w:t>
      </w:r>
      <w:r>
        <w:t xml:space="preserve"> </w:t>
      </w:r>
      <w:r>
        <w:t xml:space="preserve">tier-constant one at a given dimension. No difference reported here may be</w:t>
      </w:r>
      <w:r>
        <w:t xml:space="preserve"> </w:t>
      </w:r>
      <w:r>
        <w:t xml:space="preserve">attributed to any individual subsystem; the component studies of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ref_sec_supp_ablation \h </w:instrText>
      </w:r>
      <w:r>
        <w:fldChar w:fldCharType="separate"/>
      </w:r>
      <w:r>
        <w:t xml:space="preserve">S6</w:t>
      </w:r>
      <w:r>
        <w:fldChar w:fldCharType="end"/>
      </w:r>
      <w:r>
        <w:t xml:space="preserve"> and Section </w:t>
      </w:r>
      <w:r>
        <w:fldChar w:fldCharType="begin"/>
      </w:r>
      <w:r>
        <w:instrText xml:space="preserve"> REF ref_sec_supp_rev_basis \h </w:instrText>
      </w:r>
      <w:r>
        <w:fldChar w:fldCharType="separate"/>
      </w:r>
      <w:r>
        <w:t xml:space="preserve">S9.1</w:t>
      </w:r>
      <w:r>
        <w:fldChar w:fldCharType="end"/>
      </w:r>
      <w:r>
        <w:t xml:space="preserve"> exist for</w:t>
      </w:r>
      <w:r>
        <w:t xml:space="preserve"> </w:t>
      </w:r>
      <w:r>
        <w:t xml:space="preserve">that purpose. No arm is described as dimension-independent, since some scaling</w:t>
      </w:r>
      <w:r>
        <w:t xml:space="preserve"> </w:t>
      </w:r>
      <w:r>
        <w:t xml:space="preserve">is irreducible: the population rule, the junior–senior split and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 </w:t>
      </w:r>
      <w:r>
        <w:t xml:space="preserve">scaling vary with dimension in every arm.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350" w:name="ref_tab_rev_e3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45</w:t>
      </w:r>
      <w:r>
        <w:fldChar w:fldCharType="end"/>
      </w:r>
      <w:bookmarkEnd w:id="350"/>
      <w:r>
        <w:rPr>
          <w:b/>
        </w:rPr>
        <w:t xml:space="preserve">. </w:t>
      </w:r>
      <w:r>
        <w:t xml:space="preserve"> Tiered configuration versus the two tier-constant transplants on</w:t>
      </w:r>
      <w:r>
        <w:t xml:space="preserve"> </w:t>
      </w:r>
      <w:r>
        <w:t xml:space="preserve">CEC2017. Paired Wilcoxon across the 29 functions, Holm-corrected across the four</w:t>
      </w:r>
      <w:r>
        <w:t xml:space="preserve"> </w:t>
      </w:r>
      <w:r>
        <w:t xml:space="preserve">dimensions within each arm; W/T/L is counted from the tiered arm, and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takes it as reference.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U-low arm and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U-high arm carry the tiered configuration by construction and serve as the</w:t>
      </w:r>
      <w:r>
        <w:t xml:space="preserve"> </w:t>
      </w:r>
      <w:r>
        <w:t xml:space="preserve">design’s internal control. Below the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gate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arm ties</w:t>
      </w:r>
      <w:r>
        <w:t xml:space="preserve"> </w:t>
      </w:r>
      <w:r>
        <w:t xml:space="preserve">throughout;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it does not, and that residual is not resolved</w:t>
      </w:r>
      <w:r>
        <w:t xml:space="preserve"> </w:t>
      </w:r>
      <w:r>
        <w:t xml:space="preserve">here.</w:t>
      </w:r>
    </w:p>
    <w:tbl>
      <w:tblPr>
        <w:tblStyle w:val="Table"/>
        <w:tblW w:w="4296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Tiered configuration versus the two tier-constant transplants (E3, reviewer point R2.1) on CEC2017."/>
        <w:tblDescription w:val="Tiered configuration versus the two tier-constant transplants (E3, reviewer point R2.1) on CEC2017."/>
        <w:tblLook w:val="04A0" w:firstRow="1" w:lastRow="0" w:firstColumn="0" w:lastColumn="0" w:noHBand="0" w:noVBand="1"/>
      </w:tblPr>
      <w:tblGrid>
        <w:gridCol w:w="650"/>
        <w:gridCol w:w="353"/>
        <w:gridCol w:w="650"/>
        <w:gridCol w:w="749"/>
        <w:gridCol w:w="551"/>
        <w:gridCol w:w="1343"/>
      </w:tblGrid>
      <w:tr>
        <w:trPr>
          <w:cantSplit/>
          <w:tblHeader/>
        </w:trPr>
        <w:tc>
          <w:tcPr>
            <w:tcW w:w="650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Arm</w:t>
            </w:r>
          </w:p>
        </w:tc>
        <w:tc>
          <w:tcPr>
            <w:tcW w:w="353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D</w:t>
            </w:r>
          </w:p>
        </w:tc>
        <w:tc>
          <w:tcPr>
            <w:tcW w:w="65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Holm p</w:t>
            </w:r>
          </w:p>
        </w:tc>
        <w:tc>
          <w:tcPr>
            <w:tcW w:w="749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Tiered W/T/L</w:t>
            </w:r>
          </w:p>
        </w:tc>
        <w:tc>
          <w:tcPr>
            <w:tcW w:w="551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A12</w:t>
            </w:r>
          </w:p>
        </w:tc>
        <w:tc>
          <w:tcPr>
            <w:tcW w:w="1343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Reading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U-low</w:t>
            </w:r>
          </w:p>
        </w:tc>
        <w:tc>
          <w:tcPr>
            <w:tcW w:w="35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0/29/0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0.500</w:t>
            </w:r>
          </w:p>
        </w:tc>
        <w:tc>
          <w:tcPr>
            <w:tcW w:w="134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not separated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U-low</w:t>
            </w:r>
          </w:p>
        </w:tc>
        <w:tc>
          <w:tcPr>
            <w:tcW w:w="35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0.0055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6/3/20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0.490</w:t>
            </w:r>
          </w:p>
        </w:tc>
        <w:tc>
          <w:tcPr>
            <w:tcW w:w="134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tier-constant better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U-low</w:t>
            </w:r>
          </w:p>
        </w:tc>
        <w:tc>
          <w:tcPr>
            <w:tcW w:w="35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17/0/12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0.505</w:t>
            </w:r>
          </w:p>
        </w:tc>
        <w:tc>
          <w:tcPr>
            <w:tcW w:w="134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not separated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U-low</w:t>
            </w:r>
          </w:p>
        </w:tc>
        <w:tc>
          <w:tcPr>
            <w:tcW w:w="35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14/0/15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0.513</w:t>
            </w:r>
          </w:p>
        </w:tc>
        <w:tc>
          <w:tcPr>
            <w:tcW w:w="134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not separated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U-high</w:t>
            </w:r>
          </w:p>
        </w:tc>
        <w:tc>
          <w:tcPr>
            <w:tcW w:w="35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0.006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22/4/3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0.534</w:t>
            </w:r>
          </w:p>
        </w:tc>
        <w:tc>
          <w:tcPr>
            <w:tcW w:w="134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tiered better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U-high</w:t>
            </w:r>
          </w:p>
        </w:tc>
        <w:tc>
          <w:tcPr>
            <w:tcW w:w="35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13/2/14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0.497</w:t>
            </w:r>
          </w:p>
        </w:tc>
        <w:tc>
          <w:tcPr>
            <w:tcW w:w="134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not separated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U-high</w:t>
            </w:r>
          </w:p>
        </w:tc>
        <w:tc>
          <w:tcPr>
            <w:tcW w:w="35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0.0284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19/0/10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0.524</w:t>
            </w:r>
          </w:p>
        </w:tc>
        <w:tc>
          <w:tcPr>
            <w:tcW w:w="134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tiered better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U-high</w:t>
            </w:r>
          </w:p>
        </w:tc>
        <w:tc>
          <w:tcPr>
            <w:tcW w:w="35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650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749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2/25/2</w:t>
            </w:r>
          </w:p>
        </w:tc>
        <w:tc>
          <w:tcPr>
            <w:tcW w:w="551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0.500</w:t>
            </w:r>
          </w:p>
        </w:tc>
        <w:tc>
          <w:tcPr>
            <w:tcW w:w="1343" w:type="dx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not separated</w:t>
            </w:r>
          </w:p>
        </w:tc>
      </w:tr>
    </w:tbl>
    <w:p>
      <w:pPr>
        <w:pStyle w:val="BodyText"/>
      </w:pPr>
      <w:r>
        <w:t xml:space="preserve">The result is mixed and is reported as such. Tiering is demonstrated against</w:t>
      </w:r>
      <w:r>
        <w:t xml:space="preserve"> </w:t>
      </w:r>
      <w:r>
        <w:t xml:space="preserve">the high-dimension transplant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50</m:t>
        </m:r>
      </m:oMath>
      <w:r>
        <w:t xml:space="preserve">, where the tiered</w:t>
      </w:r>
      <w:r>
        <w:t xml:space="preserve"> </w:t>
      </w:r>
      <w:r>
        <w:t xml:space="preserve">configuration wins on 22 and 19 of 29 functions respectively. Against the</w:t>
      </w:r>
      <w:r>
        <w:t xml:space="preserve"> </w:t>
      </w:r>
      <w:r>
        <w:t xml:space="preserve">low-dimension transplant it is not separated at three of four dimensions, and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it is beaten: the parameter set that DT-GSK resolves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outperforms the set it actually ships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, on 20 of 29 functions 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 Contribution C2 is narrowed to match:</w:t>
      </w:r>
      <w:r>
        <w:t xml:space="preserve"> </w:t>
      </w:r>
      <w:r>
        <w:t xml:space="preserve">the evidence supports resolving configuration by dimension at the dimensions</w:t>
      </w:r>
      <w:r>
        <w:t xml:space="preserve"> </w:t>
      </w:r>
      <w:r>
        <w:t xml:space="preserve">where it was demonstrated, and it identifies the</w:t>
      </w:r>
      <w:r>
        <w:t xml:space="preserve"> </w:t>
      </w:r>
      <m:oMath>
        <m:r>
          <m:t>20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&lt;</m:t>
        </m:r>
        <m:r>
          <m:t>50</m:t>
        </m:r>
      </m:oMath>
      <w:r>
        <w:t xml:space="preserve"> </w:t>
      </w:r>
      <w:r>
        <w:t xml:space="preserve">tier as</w:t>
      </w:r>
      <w:r>
        <w:t xml:space="preserve"> </w:t>
      </w:r>
      <w:r>
        <w:t xml:space="preserve">mis-specified rather than the tiering principle as unsound. This localizes a</w:t>
      </w:r>
      <w:r>
        <w:t xml:space="preserve"> </w:t>
      </w:r>
      <w:r>
        <w:t xml:space="preserve">weakness the submitted manuscript already disclosed descriptively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is DT-GSK’s weakest tier on both general suites — and attributes it to that</w:t>
      </w:r>
      <w:r>
        <w:t xml:space="preserve"> </w:t>
      </w:r>
      <w:r>
        <w:t xml:space="preserve">tier’s values. Which of the 88 differing keys carries the effect is not</w:t>
      </w:r>
      <w:r>
        <w:t xml:space="preserve"> </w:t>
      </w:r>
      <w:r>
        <w:t xml:space="preserve">resolved by this design and is stated as open.</w:t>
      </w:r>
    </w:p>
    <w:bookmarkEnd w:id="211"/>
    <w:bookmarkStart w:id="212" w:name="lbl_sec_supp_rev_sensitivity"/>
    <w:p>
      <w:pPr>
        <w:pStyle w:val="Heading2"/>
      </w:pPr>
      <w:bookmarkStart w:id="351" w:name="ref_sec_supp_rev_sensitivity"/>
      <w:r>
        <w:t xml:space="preserve">S9.4.</w:t>
      </w:r>
      <w:bookmarkEnd w:id="351"/>
      <w:r>
        <w:tab/>
      </w:r>
      <w:r>
        <w:t xml:space="preserve"> Parameter Sensitivity (Exploratory)</w:t>
      </w:r>
    </w:p>
    <w:p>
      <w:pPr>
        <w:pStyle w:val="FirstParagraph"/>
      </w:pPr>
      <w:r>
        <w:t xml:space="preserve">This study is exploratory by registration. It is reported descriptively; no</w:t>
      </w:r>
      <w:r>
        <w:t xml:space="preserve"> </w:t>
      </w:r>
      <w:r>
        <w:t xml:space="preserve">hypothesis test is performed on it, no corrected</w:t>
      </w:r>
      <w:r>
        <w:t xml:space="preserve"> </w:t>
      </w:r>
      <m:oMath>
        <m:r>
          <m:t>p</m:t>
        </m:r>
      </m:oMath>
      <w:r>
        <w:t xml:space="preserve">-value is computed from it,</w:t>
      </w:r>
      <w:r>
        <w:t xml:space="preserve"> </w:t>
      </w:r>
      <w:r>
        <w:t xml:space="preserve">and it is deliberately kept apart from the component-contribution material of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ref_sec_supp_ablation \h </w:instrText>
      </w:r>
      <w:r>
        <w:fldChar w:fldCharType="separate"/>
      </w:r>
      <w:r>
        <w:t xml:space="preserve">S6</w:t>
      </w:r>
      <w:r>
        <w:fldChar w:fldCharType="end"/>
      </w:r>
      <w:r>
        <w:t xml:space="preserve">, whose conclusions it neither supports nor</w:t>
      </w:r>
      <w:r>
        <w:t xml:space="preserve"> </w:t>
      </w:r>
      <w:r>
        <w:t xml:space="preserve">qualifies. Seven constants spanning the adaptive selector, its pruning gate,</w:t>
      </w:r>
      <w:r>
        <w:t xml:space="preserve"> </w:t>
      </w:r>
      <w:r>
        <w:t xml:space="preserve">the escape trigger, the population floor, and the local-search budget and elite</w:t>
      </w:r>
      <w:r>
        <w:t xml:space="preserve"> </w:t>
      </w:r>
      <w:r>
        <w:t xml:space="preserve">count were perturbed one at a time at two levels each,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 over all 29 functions with 15 repetitions per cell: 27 cells in all,</w:t>
      </w:r>
      <w:r>
        <w:t xml:space="preserve"> </w:t>
      </w:r>
      <w:r>
        <w:t xml:space="preserve">one of the 28 combinations being unreachable because its perturbation coincides</w:t>
      </w:r>
      <w:r>
        <w:t xml:space="preserve"> </w:t>
      </w:r>
      <w:r>
        <w:t xml:space="preserve">with the shipped value. Runs were reduced rather than functions, so every cell</w:t>
      </w:r>
      <w:r>
        <w:t xml:space="preserve"> </w:t>
      </w:r>
      <w:r>
        <w:t xml:space="preserve">spans the full scored set.</w:t>
      </w:r>
    </w:p>
    <w:p>
      <w:pPr>
        <w:pStyle w:val="BodyText"/>
      </w:pPr>
      <w:r>
        <w:t xml:space="preserve">One deviation from the registered design was found after execution and is</w:t>
      </w:r>
      <w:r>
        <w:t xml:space="preserve"> </w:t>
      </w:r>
      <w:r>
        <w:t xml:space="preserve">disclosed rather than smoothed. The driver derived one perturbation pair per</w:t>
      </w:r>
      <w:r>
        <w:t xml:space="preserve"> </w:t>
      </w:r>
      <w:r>
        <w:t xml:space="preserve">real-valued constant from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tier values and applied that same pair at</w:t>
      </w:r>
      <w:r>
        <w:t xml:space="preserve"> </w:t>
      </w:r>
      <w:r>
        <w:t xml:space="preserve">both dimensions. For three constants whose shipped value differs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w:r>
        <w:t xml:space="preserve">the executed levels are consequently larger than the registered twenty per cent</w:t>
      </w:r>
      <w:r>
        <w:t xml:space="preserve"> </w:t>
      </w:r>
      <w:r>
        <w:t xml:space="preserve">and lie on one side of the shipped value only. Those rows are marked in the</w:t>
      </w:r>
      <w:r>
        <w:t xml:space="preserve"> </w:t>
      </w:r>
      <w:r>
        <w:t xml:space="preserve">table, which prints the levels actually executed rather than the registered</w:t>
      </w:r>
      <w:r>
        <w:t xml:space="preserve"> </w:t>
      </w:r>
      <w:r>
        <w:t xml:space="preserve">formula. Stability under a larger perturbation implies stability under a</w:t>
      </w:r>
      <w:r>
        <w:t xml:space="preserve"> </w:t>
      </w:r>
      <w:r>
        <w:t xml:space="preserve">smaller one, so the robustness reading holds for those cells in magnitude; what</w:t>
      </w:r>
      <w:r>
        <w:t xml:space="preserve"> </w:t>
      </w:r>
      <w:r>
        <w:t xml:space="preserve">is absent is coverage on the untested side, and no claim is made there.</w:t>
      </w:r>
    </w:p>
    <w:p>
      <w:pPr>
        <w:pStyle w:val="TableCaption"/>
        <w:keepNext/>
        <w:keepLines/>
      </w:pPr>
      <w:r>
        <w:rPr>
          <w:b/>
        </w:rPr>
        <w:t xml:space="preserve">Table </w:t>
      </w:r>
      <w:bookmarkStart w:id="352" w:name="ref_tab_rev_e4"/>
      <w:r>
        <w:rPr>
          <w:b/>
        </w:rPr>
        <w:t xml:space="preserve">A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</w:rPr>
        <w:t xml:space="preserve">46</w:t>
      </w:r>
      <w:r>
        <w:fldChar w:fldCharType="end"/>
      </w:r>
      <w:bookmarkEnd w:id="352"/>
      <w:r>
        <w:rPr>
          <w:b/>
        </w:rPr>
        <w:t xml:space="preserve">. </w:t>
      </w:r>
      <w:r>
        <w:t xml:space="preserve"> Exploratory one-factor sensitivity of DT-GSK’s panel standing.</w:t>
      </w:r>
      <w:r>
        <w:t xml:space="preserve"> </w:t>
      </w:r>
      <w:r>
        <w:t xml:space="preserve">Descriptive only: no test is performed and no</w:t>
      </w:r>
      <w:r>
        <w:t xml:space="preserve"> </w:t>
      </w:r>
      <m:oMath>
        <m:r>
          <m:t>p</m:t>
        </m:r>
      </m:oMath>
      <w:r>
        <w:t xml:space="preserve">-value is reported. Rank and</w:t>
      </w:r>
      <w:r>
        <w:t xml:space="preserve"> </w:t>
      </w:r>
      <w:r>
        <w:t xml:space="preserve">ordinal are recomputed over the seven-algorithm panel with only the DT-GSK</w:t>
      </w:r>
      <w:r>
        <w:t xml:space="preserve"> </w:t>
      </w:r>
      <w:r>
        <w:t xml:space="preserve">column substituted; W/T/L counts functions where the shipped configuration beats</w:t>
      </w:r>
      <w:r>
        <w:t xml:space="preserve"> </w:t>
      </w:r>
      <w:r>
        <w:t xml:space="preserve">the perturbed one; Ratio is the median across functions of perturbed over</w:t>
      </w:r>
      <w:r>
        <w:t xml:space="preserve"> </w:t>
      </w:r>
      <w:r>
        <w:t xml:space="preserve">shipped mean error. Perturbed cells use 15 repetitions against the frozen</w:t>
      </w:r>
      <w:r>
        <w:t xml:space="preserve"> </w:t>
      </w:r>
      <w:r>
        <w:t xml:space="preserve">panel’s 51.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Executed levels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exceed the registered</w:t>
      </w:r>
      <w:r>
        <w:t xml:space="preserve"> </w:t>
      </w:r>
      <w:r>
        <w:t xml:space="preserve">twenty per cent and are one-sided (registration amendment</w:t>
      </w:r>
      <w:r>
        <w:t xml:space="preserve"> </w:t>
      </w:r>
      <w:r>
        <w:t xml:space="preserve">A1).</w:t>
      </w:r>
    </w:p>
    <w:tbl>
      <w:tblPr>
        <w:tblStyle w:val="Table"/>
        <w:tblW w:w="6520" w:type="dxa"/>
        <w:tblLayout w:type="fixed"/>
        <w:tblCellMar>
          <w:left w:w="28" w:type="dxa"/>
          <w:right w:w="28" w:type="dxa"/>
          <w:top w:w="0" w:type="dxa"/>
          <w:bottom w:w="0" w:type="dxa"/>
        </w:tblCellMar>
        <w:tblCaption w:val="EXPLORATORY one-factor parameter sensitivity (E4, reviewer point R2.7). Descriptive only: no test is performed and no p-value is reported."/>
        <w:tblDescription w:val="EXPLORATORY one-factor parameter sensitivity (E4, reviewer point R2.7). Descriptive only: no test is performed and no p-value is reported."/>
        <w:tblLook w:val="04A0" w:firstRow="1" w:lastRow="0" w:firstColumn="0" w:lastColumn="0" w:noHBand="0" w:noVBand="1"/>
      </w:tblPr>
      <w:tblGrid>
        <w:gridCol w:w="2696"/>
        <w:gridCol w:w="320"/>
        <w:gridCol w:w="496"/>
        <w:gridCol w:w="496"/>
        <w:gridCol w:w="496"/>
        <w:gridCol w:w="848"/>
        <w:gridCol w:w="672"/>
        <w:gridCol w:w="496"/>
      </w:tblGrid>
      <w:tr>
        <w:trPr>
          <w:cantSplit/>
          <w:tblHeader/>
        </w:trPr>
        <w:tc>
          <w:tcPr>
            <w:tcW w:w="2696" w:type="dxa"/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Parameter</w:t>
            </w:r>
          </w:p>
        </w:tc>
        <w:tc>
          <w:tcPr>
            <w:tcW w:w="320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D</w:t>
            </w:r>
          </w:p>
        </w:tc>
        <w:tc>
          <w:tcPr>
            <w:tcW w:w="49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Level</w:t>
            </w:r>
          </w:p>
        </w:tc>
        <w:tc>
          <w:tcPr>
            <w:tcW w:w="49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Value</w:t>
            </w:r>
          </w:p>
        </w:tc>
        <w:tc>
          <w:tcPr>
            <w:tcW w:w="49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Rank</w:t>
            </w:r>
          </w:p>
        </w:tc>
        <w:tc>
          <w:tcPr>
            <w:tcW w:w="848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Ordinal</w:t>
            </w:r>
          </w:p>
        </w:tc>
        <w:tc>
          <w:tcPr>
            <w:tcW w:w="672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W/T/L</w:t>
            </w:r>
          </w:p>
        </w:tc>
        <w:tc>
          <w:tcPr>
            <w:tcW w:w="496" w:type="dxa"/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  <w:sz w:val="16"/>
              </w:rPr>
              <w:t xml:space="preserve">Ratio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ace_learning_rate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0.12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2.448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11/3/15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0.993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ace_learning_rate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0.08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2.517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8/4/17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0.990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ace_learning_rate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0.12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2.414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19/0/10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1.016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ace_learning_rate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0.08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2.276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12/0/17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0.990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argp_threshold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0.024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2.638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14/3/12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1.000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argp_threshold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0.016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2.431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10/3/16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0.996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argp_threshold*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0.024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2.345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20/0/9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1.014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argp_threshold*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0.016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2.448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18/0/11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1.010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bse_restart_frac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0.36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2.569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10/3/16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0.994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bse_restart_frac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0.24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2.603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10/3/16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0.996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bse_restart_frac*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0.36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2.379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11/0/18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0.982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bse_restart_frac*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0.24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2.379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12/0/17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0.995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interaction_update_period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2.672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14/3/12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1.001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interaction_update_period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2.414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14/0/15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0.998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interaction_update_period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2.345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14/0/15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0.997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local_search_elite_count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2.638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11/3/15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0.998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local_search_elite_count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2.707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12/3/14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0.997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local_search_elite_count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2.310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9/0/20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0.986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local_search_elite_count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2.414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21/0/8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1.016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local_search_eval_budget_frac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0.012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2.672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13/3/13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1.000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local_search_eval_budget_frac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0.008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2.707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18/3/8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1.010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local_search_eval_budget_frac*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0.012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2.379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12/0/17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0.992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local_search_eval_budget_frac*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0.008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2.379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12/0/17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0.992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n_min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13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2.276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2-&gt;1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12/3/14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1.000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n_min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2.603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11/2/16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0.996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n_min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hi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26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2.345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15/0/14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1.000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n_min</w:t>
            </w:r>
          </w:p>
        </w:tc>
        <w:tc>
          <w:tcPr>
            <w:tcW w:w="320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lo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24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2.345</w:t>
            </w:r>
          </w:p>
        </w:tc>
        <w:tc>
          <w:tcPr>
            <w:tcW w:w="848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unchanged</w:t>
            </w:r>
          </w:p>
        </w:tc>
        <w:tc>
          <w:tcPr>
            <w:tcW w:w="672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11/0/18</w:t>
            </w:r>
          </w:p>
        </w:tc>
        <w:tc>
          <w:tcPr>
            <w:tcW w:w="496" w:type="dxa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0.992</w:t>
            </w:r>
          </w:p>
        </w:tc>
      </w:tr>
    </w:tbl>
    <w:p>
      <w:pPr>
        <w:pStyle w:val="BodyText"/>
      </w:pPr>
      <w:r>
        <w:t xml:space="preserve">The registered headline form is an ordinal statement, and it holds: DT-GSK’s</w:t>
      </w:r>
      <w:r>
        <w:t xml:space="preserve"> </w:t>
      </w:r>
      <w:r>
        <w:t xml:space="preserve">position within the family panel is unchanged in 26 of the 27 cells, with median</w:t>
      </w:r>
      <w:r>
        <w:t xml:space="preserve"> </w:t>
      </w:r>
      <w:r>
        <w:t xml:space="preserve">error ratios within roughly two per cent of unity throughout. The single</w:t>
      </w:r>
      <w:r>
        <w:t xml:space="preserve"> </w:t>
      </w:r>
      <w:r>
        <w:t xml:space="preserve">exception is favourable and instructive — raising the population floor by one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moves DT-GSK from second to first at that dimension — and it</w:t>
      </w:r>
      <w:r>
        <w:t xml:space="preserve"> </w:t>
      </w:r>
      <w:r>
        <w:t xml:space="preserve">falls on the same tier that the transplant experiment of</w:t>
      </w:r>
      <w:r>
        <w:t xml:space="preserve"> </w:t>
      </w:r>
      <w:r>
        <w:t xml:space="preserve">Section </w:t>
      </w:r>
      <w:r>
        <w:fldChar w:fldCharType="begin"/>
      </w:r>
      <w:r>
        <w:instrText xml:space="preserve"> REF ref_sec_supp_rev_tiering \h </w:instrText>
      </w:r>
      <w:r>
        <w:fldChar w:fldCharType="separate"/>
      </w:r>
      <w:r>
        <w:t xml:space="preserve">S9.3</w:t>
      </w:r>
      <w:r>
        <w:fldChar w:fldCharType="end"/>
      </w:r>
      <w:r>
        <w:t xml:space="preserve"> identifies as mis-specified. The two</w:t>
      </w:r>
      <w:r>
        <w:t xml:space="preserve"> </w:t>
      </w:r>
      <w:r>
        <w:t xml:space="preserve">observations are consistent, and neither is a test of the other. No constant</w:t>
      </w:r>
      <w:r>
        <w:t xml:space="preserve"> </w:t>
      </w:r>
      <w:r>
        <w:t xml:space="preserve">tested here is knife-edge under the levels executed; that includes the one</w:t>
      </w:r>
      <w:r>
        <w:t xml:space="preserve"> </w:t>
      </w:r>
      <w:r>
        <w:t xml:space="preserve">constant the project’s own configuration record had previously flagged as</w:t>
      </w:r>
      <w:r>
        <w:t xml:space="preserve"> </w:t>
      </w:r>
      <w:r>
        <w:t xml:space="preserve">sensitive on a different suite.</w:t>
      </w:r>
    </w:p>
    <w:bookmarkEnd w:id="212"/>
    <w:bookmarkEnd w:id="213"/>
    <w:bookmarkStart w:id="225" w:name="references"/>
    <w:p>
      <w:pPr>
        <w:pStyle w:val="Heading1"/>
      </w:pPr>
      <w:r>
        <w:t xml:space="preserve">References</w:t>
      </w:r>
    </w:p>
    <w:p>
      <w:pPr>
        <w:pStyle w:val="Bibliography"/>
      </w:pPr>
      <w:r>
        <w:t xml:space="preserve">1. </w:t>
      </w:r>
      <w:r>
        <w:t xml:space="preserve"> Awad, N.H.; Ali, M.Z.; Liang, J.J.; Qu, B.Y.; Suganthan, P.N. Problem Definitions and Evaluation Criteria for the</w:t>
      </w:r>
      <w:r>
        <w:t xml:space="preserve"> </w:t>
      </w:r>
      <w:r>
        <w:t xml:space="preserve">CEC</w:t>
      </w:r>
      <w:r>
        <w:t xml:space="preserve"> </w:t>
      </w:r>
      <w:r>
        <w:t xml:space="preserve">2017 Special Session and Competition on Single Objective Real-Parameter Numerical Optimization. Technical report, Nanyang Technological University, Singapore, 2016.</w:t>
      </w:r>
    </w:p>
    <w:p>
      <w:pPr>
        <w:pStyle w:val="Bibliography"/>
      </w:pPr>
      <w:r>
        <w:t xml:space="preserve">2. </w:t>
      </w:r>
      <w:r>
        <w:t xml:space="preserve"> Das, S.; Suganthan, P.N. Problem Definitions and Evaluation Criteria for the</w:t>
      </w:r>
      <w:r>
        <w:t xml:space="preserve"> </w:t>
      </w:r>
      <w:r>
        <w:t xml:space="preserve">CEC</w:t>
      </w:r>
      <w:r>
        <w:t xml:space="preserve"> </w:t>
      </w:r>
      <w:r>
        <w:t xml:space="preserve">2011 Competition on Testing Evolutionary Algorithms on Real World Optimization Problems. Technical report, Jadavpur University and Nanyang Technological University, 2011.</w:t>
      </w:r>
    </w:p>
    <w:p>
      <w:pPr>
        <w:pStyle w:val="Bibliography"/>
      </w:pPr>
      <w:r>
        <w:t xml:space="preserve">3. </w:t>
      </w:r>
      <w:r>
        <w:t xml:space="preserve"> Liang, J.J.; Qu, B.Y.; Suganthan, P.N.; Hern</w:t>
      </w:r>
      <w:r>
        <w:t xml:space="preserve">á</w:t>
      </w:r>
      <w:r>
        <w:t xml:space="preserve">ndez-D</w:t>
      </w:r>
      <w:r>
        <w:t xml:space="preserve">í</w:t>
      </w:r>
      <w:r>
        <w:t xml:space="preserve">az, A.G. Problem Definitions and Evaluation Criteria for the</w:t>
      </w:r>
      <w:r>
        <w:t xml:space="preserve"> </w:t>
      </w:r>
      <w:r>
        <w:t xml:space="preserve">CEC</w:t>
      </w:r>
      <w:r>
        <w:t xml:space="preserve"> </w:t>
      </w:r>
      <w:r>
        <w:t xml:space="preserve">2013 Special Session on Real-Parameter Optimization. Technical report, Zhengzhou University and Nanyang Technological University, 2013.</w:t>
      </w:r>
    </w:p>
    <w:p>
      <w:pPr>
        <w:pStyle w:val="Bibliography"/>
      </w:pPr>
      <w:r>
        <w:t xml:space="preserve">4. </w:t>
      </w:r>
      <w:r>
        <w:t xml:space="preserve"> Yue, C.T.; Price, K.V.; Suganthan, P.N.; Liang, J.J.; Ali, M.Z.; Qu, B.Y.; Awad, N.H.; Biswas, P.P. Problem Definitions and Evaluation Criteria for the</w:t>
      </w:r>
      <w:r>
        <w:t xml:space="preserve"> </w:t>
      </w:r>
      <w:r>
        <w:t xml:space="preserve">CEC</w:t>
      </w:r>
      <w:r>
        <w:t xml:space="preserve"> </w:t>
      </w:r>
      <w:r>
        <w:t xml:space="preserve">2020 Special Session and Competition on Single Objective Bound Constrained Numerical Optimization. Technical Report 201911, Computational Intelligence Laboratory, Zhengzhou University, Zhengzhou China and Nanyang Technological University, Singapore, 2019.</w:t>
      </w:r>
    </w:p>
    <w:p>
      <w:pPr>
        <w:pStyle w:val="Bibliography"/>
      </w:pPr>
      <w:r>
        <w:t xml:space="preserve">5. </w:t>
      </w:r>
      <w:r>
        <w:t xml:space="preserve"> Li, X.; Tang, K.; Omidvar, M.N.; Yang, Z.; Qin, K. Benchmark Functions for the</w:t>
      </w:r>
      <w:r>
        <w:t xml:space="preserve"> </w:t>
      </w:r>
      <w:r>
        <w:t xml:space="preserve">CEC</w:t>
      </w:r>
      <w:r>
        <w:t xml:space="preserve">’2013 Special Session and Competition on Large-Scale Global Optimization. Technical report, RMIT University, Melbourne, Australia, 2013.</w:t>
      </w:r>
    </w:p>
    <w:p>
      <w:pPr>
        <w:pStyle w:val="Bibliography"/>
      </w:pPr>
      <w:r>
        <w:t xml:space="preserve">6. </w:t>
      </w:r>
      <w:r>
        <w:t xml:space="preserve"> Wilcoxon, F. Individual Comparisons by Ranking Methods.</w:t>
      </w:r>
      <w:r>
        <w:t xml:space="preserve"> </w:t>
      </w:r>
      <w:r>
        <w:rPr>
          <w:i/>
          <w:iCs/>
        </w:rPr>
        <w:t xml:space="preserve">Biometrics Bulletin</w:t>
      </w:r>
      <w:r>
        <w:t xml:space="preserve"> </w:t>
      </w:r>
      <w:r>
        <w:rPr>
          <w:b/>
          <w:bCs/>
        </w:rPr>
        <w:t xml:space="preserve">1945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, 80–83. doi:</w:t>
      </w:r>
      <w:hyperlink r:id="rId214">
        <w:r>
          <w:rPr>
            <w:rStyle w:val="Hyperlink"/>
          </w:rPr>
          <w:t xml:space="preserve">10.2307/3001968</w:t>
        </w:r>
      </w:hyperlink>
      <w:r>
        <w:t xml:space="preserve">.</w:t>
      </w:r>
    </w:p>
    <w:p>
      <w:pPr>
        <w:pStyle w:val="Bibliography"/>
      </w:pPr>
      <w:r>
        <w:t xml:space="preserve">7. </w:t>
      </w:r>
      <w:r>
        <w:t xml:space="preserve"> Holm, S. A Simple Sequentially Rejective Multiple Test Procedure.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rPr>
          <w:b/>
          <w:bCs/>
        </w:rPr>
        <w:t xml:space="preserve">1979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, 65–70. The 1979 issue predates CrossRef DOI assignment for this journal; the canonical stable identifier is the JSTOR record at https://www.jstor.org/stable/4615733.</w:t>
      </w:r>
    </w:p>
    <w:p>
      <w:pPr>
        <w:pStyle w:val="Bibliography"/>
      </w:pPr>
      <w:r>
        <w:t xml:space="preserve">8. </w:t>
      </w:r>
      <w:r>
        <w:t xml:space="preserve"> Friedman, M. The Use of Ranks to Avoid the Assumption of Normality Implicit in the Analysis of Variance.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rPr>
          <w:b/>
          <w:bCs/>
        </w:rPr>
        <w:t xml:space="preserve">1937</w:t>
      </w:r>
      <w:r>
        <w:t xml:space="preserve">,</w:t>
      </w:r>
      <w:r>
        <w:t xml:space="preserve"> </w:t>
      </w:r>
      <w:r>
        <w:rPr>
          <w:i/>
          <w:iCs/>
        </w:rPr>
        <w:t xml:space="preserve">32</w:t>
      </w:r>
      <w:r>
        <w:t xml:space="preserve">, 675–701. doi:</w:t>
      </w:r>
      <w:hyperlink r:id="rId215">
        <w:r>
          <w:rPr>
            <w:rStyle w:val="Hyperlink"/>
          </w:rPr>
          <w:t xml:space="preserve">10.1080/01621459.1937.10503522</w:t>
        </w:r>
      </w:hyperlink>
      <w:r>
        <w:t xml:space="preserve">.</w:t>
      </w:r>
    </w:p>
    <w:p>
      <w:pPr>
        <w:pStyle w:val="Bibliography"/>
      </w:pPr>
      <w:r>
        <w:t xml:space="preserve">9. </w:t>
      </w:r>
      <w:r>
        <w:t xml:space="preserve"> Demšar, J. Statistical Comparisons of Classifiers over Multiple Data Sets.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rPr>
          <w:b/>
          <w:bCs/>
        </w:rPr>
        <w:t xml:space="preserve">2006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 1–30. JMLR volumes from 2006 predate formal DOI assignment; the canonical publisher-hosted record is at https://www.jmlr.org/papers/v7/demsar06a.html.</w:t>
      </w:r>
    </w:p>
    <w:p>
      <w:pPr>
        <w:pStyle w:val="Bibliography"/>
      </w:pPr>
      <w:r>
        <w:t xml:space="preserve">10. </w:t>
      </w:r>
      <w:r>
        <w:t xml:space="preserve"> Efron, B.; Tibshirani, R.J.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; Chapman &amp; Hall: New York, 1993. doi:</w:t>
      </w:r>
      <w:hyperlink r:id="rId21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p>
      <w:pPr>
        <w:pStyle w:val="Bibliography"/>
      </w:pPr>
      <w:r>
        <w:t xml:space="preserve">11. </w:t>
      </w:r>
      <w:r>
        <w:t xml:space="preserve"> Mohamed, A.W.; Hadi, A.A.; Mohamed, A.K. Gaining-Sharing Knowledge Based Algorithm for Solving Optimization Problems: A Novel Nature-Inspired Algorithm.</w:t>
      </w:r>
      <w:r>
        <w:t xml:space="preserve"> </w:t>
      </w:r>
      <w:r>
        <w:rPr>
          <w:i/>
          <w:iCs/>
        </w:rPr>
        <w:t xml:space="preserve">International Journal of Machine Learning and Cybernetics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 1501–1529. doi:</w:t>
      </w:r>
      <w:hyperlink r:id="rId217">
        <w:r>
          <w:rPr>
            <w:rStyle w:val="Hyperlink"/>
          </w:rPr>
          <w:t xml:space="preserve">10.1007/s13042-019-01053-x</w:t>
        </w:r>
      </w:hyperlink>
      <w:r>
        <w:t xml:space="preserve">.</w:t>
      </w:r>
    </w:p>
    <w:p>
      <w:pPr>
        <w:pStyle w:val="Bibliography"/>
      </w:pPr>
      <w:r>
        <w:t xml:space="preserve">12. </w:t>
      </w:r>
      <w:r>
        <w:t xml:space="preserve"> Mohamed, A.W.; Hadi, A.A.; Mohamed, A.K.; Awad, N.H. Evaluating the Performance of Adaptive Gaining-Sharing Knowledge Based Algorithm on</w:t>
      </w:r>
      <w:r>
        <w:t xml:space="preserve"> </w:t>
      </w:r>
      <w:r>
        <w:t xml:space="preserve">CEC</w:t>
      </w:r>
      <w:r>
        <w:t xml:space="preserve"> </w:t>
      </w:r>
      <w:r>
        <w:t xml:space="preserve">2020 Benchmark Problems. Proceedings of the 2020 IEEE Congress on Evolutionary Computation (CEC). IEEE, 2020, pp. 1–8. doi:</w:t>
      </w:r>
      <w:hyperlink r:id="rId218">
        <w:r>
          <w:rPr>
            <w:rStyle w:val="Hyperlink"/>
          </w:rPr>
          <w:t xml:space="preserve">10.1109/CEC48606.2020.9185901</w:t>
        </w:r>
      </w:hyperlink>
      <w:r>
        <w:t xml:space="preserve">.</w:t>
      </w:r>
    </w:p>
    <w:p>
      <w:pPr>
        <w:pStyle w:val="Bibliography"/>
      </w:pPr>
      <w:r>
        <w:t xml:space="preserve">13. </w:t>
      </w:r>
      <w:r>
        <w:t xml:space="preserve"> Mohamed, A.W.; Abutarboush, H.F.; Hadi, A.A.; Mohamed, A.K. Gaining-Sharing Knowledge Based Algorithm With Adaptive Parameters for Engineering Optimization.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 65934–65946. doi:</w:t>
      </w:r>
      <w:hyperlink r:id="rId219">
        <w:r>
          <w:rPr>
            <w:rStyle w:val="Hyperlink"/>
          </w:rPr>
          <w:t xml:space="preserve">10.1109/ACCESS.2021.3076091</w:t>
        </w:r>
      </w:hyperlink>
      <w:r>
        <w:t xml:space="preserve">.</w:t>
      </w:r>
    </w:p>
    <w:p>
      <w:pPr>
        <w:pStyle w:val="Bibliography"/>
      </w:pPr>
      <w:r>
        <w:t xml:space="preserve">14. </w:t>
      </w:r>
      <w:r>
        <w:t xml:space="preserve"> Bak</w:t>
      </w:r>
      <w:r>
        <w:t xml:space="preserve">ı</w:t>
      </w:r>
      <w:r>
        <w:t xml:space="preserve">r, H.; Duman, S.; Guvenc, U.; Kahraman, H.T. Improved Adaptive Gaining-Sharing Knowledge Algorithm with</w:t>
      </w:r>
      <w:r>
        <w:t xml:space="preserve"> </w:t>
      </w:r>
      <w:r>
        <w:t xml:space="preserve">FDB</w:t>
      </w:r>
      <w:r>
        <w:t xml:space="preserve">-Based Guiding Mechanism for Optimization of Optimal Reactive Power Flow Problem.</w:t>
      </w:r>
      <w:r>
        <w:t xml:space="preserve"> </w:t>
      </w:r>
      <w:r>
        <w:rPr>
          <w:i/>
          <w:iCs/>
        </w:rPr>
        <w:t xml:space="preserve">Electrical Engineering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105</w:t>
      </w:r>
      <w:r>
        <w:t xml:space="preserve">, 3121–3160. doi:</w:t>
      </w:r>
      <w:hyperlink r:id="rId220">
        <w:r>
          <w:rPr>
            <w:rStyle w:val="Hyperlink"/>
          </w:rPr>
          <w:t xml:space="preserve">10.1007/s00202-023-01803-9</w:t>
        </w:r>
      </w:hyperlink>
      <w:r>
        <w:t xml:space="preserve">.</w:t>
      </w:r>
    </w:p>
    <w:p>
      <w:pPr>
        <w:pStyle w:val="Bibliography"/>
      </w:pPr>
      <w:r>
        <w:t xml:space="preserve">15. </w:t>
      </w:r>
      <w:r>
        <w:t xml:space="preserve"> Alfadli, N.M.; Oun, E.M.; Mohamed, A.W. Auto-Tuning Memory-Based Adaptive Local Search Gaining–Sharing Knowledge-Based Algorithm for Solving Optimization Problems.</w:t>
      </w:r>
      <w:r>
        <w:t xml:space="preserve"> </w:t>
      </w:r>
      <w:r>
        <w:rPr>
          <w:i/>
          <w:iCs/>
        </w:rPr>
        <w:t xml:space="preserve">Algorithms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 398. doi:</w:t>
      </w:r>
      <w:hyperlink r:id="rId221">
        <w:r>
          <w:rPr>
            <w:rStyle w:val="Hyperlink"/>
          </w:rPr>
          <w:t xml:space="preserve">10.3390/a18070398</w:t>
        </w:r>
      </w:hyperlink>
      <w:r>
        <w:t xml:space="preserve">.</w:t>
      </w:r>
    </w:p>
    <w:p>
      <w:pPr>
        <w:pStyle w:val="Bibliography"/>
      </w:pPr>
      <w:r>
        <w:t xml:space="preserve">16. </w:t>
      </w:r>
      <w:r>
        <w:t xml:space="preserve"> Jawad, M.A.; Roshdy, H.S.M.; Mohamed, A.W. Enhanced Gaining-Sharing Knowledge-Based Algorithm.</w:t>
      </w:r>
      <w:r>
        <w:t xml:space="preserve"> </w:t>
      </w:r>
      <w:r>
        <w:rPr>
          <w:i/>
          <w:iCs/>
        </w:rPr>
        <w:t xml:space="preserve">Results in Control and Optimization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19</w:t>
      </w:r>
      <w:r>
        <w:t xml:space="preserve">, 100542. doi:</w:t>
      </w:r>
      <w:hyperlink r:id="rId222">
        <w:r>
          <w:rPr>
            <w:rStyle w:val="Hyperlink"/>
          </w:rPr>
          <w:t xml:space="preserve">10.1016/j.rico.2025.100542</w:t>
        </w:r>
      </w:hyperlink>
      <w:r>
        <w:t xml:space="preserve">.</w:t>
      </w:r>
    </w:p>
    <w:p>
      <w:pPr>
        <w:pStyle w:val="Bibliography"/>
      </w:pPr>
      <w:r>
        <w:t xml:space="preserve">17. </w:t>
      </w:r>
      <w:r>
        <w:t xml:space="preserve"> Molina, D.; LaTorre, A.; Herrera, F.</w:t>
      </w:r>
      <w:r>
        <w:t xml:space="preserve"> </w:t>
      </w:r>
      <w:r>
        <w:t xml:space="preserve">SHADE</w:t>
      </w:r>
      <w:r>
        <w:t xml:space="preserve"> </w:t>
      </w:r>
      <w:r>
        <w:t xml:space="preserve">with Iterative Local Search for Large-Scale Global Optimization. 2018 IEEE Congress on Evolutionary Computation (CEC). IEEE, 2018, pp. 1–8. doi:</w:t>
      </w:r>
      <w:hyperlink r:id="rId223">
        <w:r>
          <w:rPr>
            <w:rStyle w:val="Hyperlink"/>
          </w:rPr>
          <w:t xml:space="preserve">10.1109/CEC.2018.8477755</w:t>
        </w:r>
      </w:hyperlink>
      <w:r>
        <w:t xml:space="preserve">.</w:t>
      </w:r>
    </w:p>
    <w:p>
      <w:pPr>
        <w:pStyle w:val="Bibliography"/>
      </w:pPr>
      <w:r>
        <w:t xml:space="preserve">18. </w:t>
      </w:r>
      <w:r>
        <w:t xml:space="preserve"> LaTorre, A.; Muelas, S.; Pe</w:t>
      </w:r>
      <w:r>
        <w:t xml:space="preserve">ñ</w:t>
      </w:r>
      <w:r>
        <w:t xml:space="preserve">a, J.M. Large Scale Global Optimization: Experimental Results with</w:t>
      </w:r>
      <w:r>
        <w:t xml:space="preserve"> </w:t>
      </w:r>
      <w:r>
        <w:t xml:space="preserve">MOS</w:t>
      </w:r>
      <w:r>
        <w:t xml:space="preserve">-based Hybrid Algorithms. Proceedings of the 2013 IEEE Congress on Evolutionary Computation. IEEE, 2013, pp. 2742–2749. doi:</w:t>
      </w:r>
      <w:hyperlink r:id="rId224">
        <w:r>
          <w:rPr>
            <w:rStyle w:val="Hyperlink"/>
          </w:rPr>
          <w:t xml:space="preserve">10.1109/CEC.2013.6557901</w:t>
        </w:r>
      </w:hyperlink>
      <w:r>
        <w:t xml:space="preserve">.</w:t>
      </w:r>
    </w:p>
    <w:bookmarkEnd w:id="225"/>
    <w:sectPr>
      <w:footerReference w:type="default" r:id="rId8001"/>
      <w:footnotePr>
        <w:numRestart w:val="eachSect"/>
      </w:footnotePr>
      <w:pgSz w:h="16838" w:w="11906"/>
      <w:pgMar w:bottom="1417" w:footer="709" w:header="709" w:left="1134" w:right="1134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fals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76" w:lineRule="auto"/>
      <w:jc w:val="both"/>
    </w:pPr>
    <w:rPr>
      <w:rFonts w:ascii="Palatino Linotype" w:cs="Palatino Linotype" w:hAnsi="Palatino Linotype"/>
      <w:sz w:val="20"/>
    </w:rPr>
  </w:style>
  <w:style w:styleId="BodyText" w:type="paragraph">
    <w:name w:val="Body Text"/>
    <w:basedOn w:val="Normal"/>
    <w:link w:val="BodyTextChar"/>
    <w:qFormat/>
    <w:pPr>
      <w:spacing w:after="80" w:before="0" w:line="276" w:lineRule="auto"/>
      <w:jc w:val="both"/>
    </w:pPr>
    <w:rPr>
      <w:rFonts w:ascii="Palatino Linotype" w:cs="Palatino Linotype" w:hAnsi="Palatino Linotype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76" w:lineRule="auto"/>
      <w:jc w:val="both"/>
    </w:pPr>
    <w:rPr>
      <w:rFonts w:ascii="Palatino Linotype" w:cs="Palatino Linotype" w:hAnsi="Palatino Linotype"/>
      <w:sz w:val="20"/>
    </w:rPr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Palatino Linotype" w:cs="Palatino Linotype" w:hAnsi="Palatino Linotype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Palatino Linotype" w:asciiTheme="majorHAnsi" w:cs="Palatino Linotype" w:cstheme="majorBidi" w:eastAsiaTheme="majorEastAsia" w:hAnsi="Palatino Linotype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left"/>
    </w:pPr>
    <w:rPr>
      <w:rFonts w:ascii="Palatino Linotype" w:cs="Palatino Linotype" w:hAnsi="Palatino Linotype"/>
      <w:b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jc w:val="left"/>
    </w:pPr>
    <w:rPr>
      <w:rFonts w:ascii="Palatino Linotype" w:cs="Palatino Linotype" w:hAnsi="Palatino Linotype"/>
      <w:b w:val="0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rFonts w:ascii="Palatino Linotype" w:cs="Palatino Linotype" w:hAnsi="Palatino Linotype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both"/>
    </w:pPr>
    <w:rPr>
      <w:rFonts w:ascii="Palatino Linotype" w:cs="Palatino Linotype" w:hAnsi="Palatino Linotype"/>
      <w:b w:val="0"/>
      <w:sz w:val="19"/>
      <w:szCs w:val="20"/>
    </w:rPr>
  </w:style>
  <w:style w:styleId="Bibliography" w:type="paragraph">
    <w:name w:val="Bibliography"/>
    <w:basedOn w:val="Normal"/>
    <w:next w:val="Bibliography"/>
    <w:qFormat/>
    <w:pPr>
      <w:spacing w:after="60" w:before="0"/>
      <w:ind w:hanging="425" w:left="425"/>
      <w:jc w:val="both"/>
    </w:pPr>
    <w:rPr>
      <w:rFonts w:ascii="Palatino Linotype" w:cs="Palatino Linotype" w:hAnsi="Palatino Linotype"/>
      <w:sz w:val="1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Palatino Linotype" w:asciiTheme="majorHAnsi" w:cs="Palatino Linotype" w:cstheme="majorBidi" w:eastAsiaTheme="majorEastAsia" w:hAnsi="Palatino Linotype" w:hAnsiTheme="majorHAnsi"/>
      <w:b/>
      <w:i w:val="0"/>
      <w:sz w:val="2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Palatino Linotype" w:asciiTheme="majorHAnsi" w:cs="Palatino Linotype" w:cstheme="majorBidi" w:eastAsiaTheme="majorEastAsia" w:hAnsi="Palatino Linotype" w:hAnsiTheme="majorHAnsi"/>
      <w:b w:val="0"/>
      <w:i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alatino Linotype" w:cs="Palatino Linotype" w:cstheme="majorBidi" w:eastAsiaTheme="majorEastAsia" w:hAnsi="Palatino Linotype"/>
      <w:b w:val="0"/>
      <w:i w:val="0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Palatino Linotype" w:cs="Palatino Linotype" w:cstheme="majorBidi" w:eastAsiaTheme="majorEastAsia" w:hAnsi="Palatino Linotype"/>
      <w:b w:val="0"/>
      <w:i w:val="0"/>
      <w:iCs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keepNext/>
        <w:spacing w:after="20" w:before="20"/>
      </w:pPr>
      <w:rPr>
        <w:b/>
      </w:rPr>
      <w:tcPr>
        <w:shd w:color="auto" w:fill="E7E6E6" w:val="clear"/>
        <w:tcBorders>
          <w:top w:color="000000" w:space="0" w:sz="8" w:val="single"/>
          <w:bottom w:color="000000" w:space="0" w:sz="4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/>
      <w:spacing w:after="120" w:before="120"/>
      <w:jc w:val="both"/>
    </w:pPr>
    <w:rPr>
      <w:rFonts w:ascii="Palatino Linotype" w:cs="Palatino Linotype" w:hAnsi="Palatino Linotype"/>
      <w:b w:val="0"/>
      <w:i w:val="0"/>
      <w:sz w:val="18"/>
    </w:rPr>
  </w:style>
  <w:style w:customStyle="1" w:styleId="TableCaption" w:type="paragraph">
    <w:name w:val="Table Caption"/>
    <w:basedOn w:val="Caption"/>
    <w:pPr>
      <w:keepNext/>
      <w:spacing w:after="120" w:before="120"/>
      <w:jc w:val="both"/>
    </w:pPr>
    <w:rPr>
      <w:rFonts w:ascii="Palatino Linotype" w:cs="Palatino Linotype" w:hAnsi="Palatino Linotype"/>
      <w:b w:val="0"/>
      <w:i w:val="0"/>
      <w:sz w:val="18"/>
    </w:rPr>
  </w:style>
  <w:style w:customStyle="1" w:styleId="ImageCaption" w:type="paragraph">
    <w:name w:val="Image Caption"/>
    <w:basedOn w:val="Caption"/>
    <w:pPr>
      <w:keepNext w:val="0"/>
      <w:spacing w:after="120" w:before="120"/>
      <w:jc w:val="both"/>
    </w:pPr>
    <w:rPr>
      <w:rFonts w:ascii="Palatino Linotype" w:cs="Palatino Linotype" w:hAnsi="Palatino Linotype"/>
      <w:b w:val="0"/>
      <w:i w:val="0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875B7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after="120" w:before="240" w:line="259" w:lineRule="auto"/>
      <w:outlineLvl w:val="9"/>
    </w:pPr>
    <w:rPr>
      <w:rFonts w:ascii="Palatino Linotype" w:asciiTheme="majorHAnsi" w:cs="Palatino Linotype" w:cstheme="majorBidi" w:eastAsiaTheme="majorEastAsia" w:hAnsi="Palatino Linotype" w:hAnsiTheme="majorHAnsi"/>
      <w:b/>
      <w:bCs w:val="0"/>
      <w:color w:themeColor="accent1" w:themeShade="BF" w:val="365F91"/>
      <w:sz w:val="24"/>
    </w:rPr>
  </w:style>
  <w:style w:customStyle="1" w:styleId="AlgorithmLine" w:type="paragraph">
    <w:name w:val="Algorithm Line"/>
    <w:pPr>
      <w:spacing w:after="0" w:before="0" w:line="240" w:lineRule="auto"/>
    </w:pPr>
    <w:rPr>
      <w:rFonts w:ascii="Consolas" w:cs="Consolas" w:hAnsi="Consolas"/>
      <w:sz w:val="18"/>
    </w:rPr>
  </w:style>
  <w:style w:customStyle="1" w:styleId="TOC1" w:type="paragraph">
    <w:name w:val="toc 1"/>
    <w:pPr>
      <w:spacing w:after="40" w:before="0"/>
      <w:ind w:left="0"/>
    </w:pPr>
    <w:rPr>
      <w:rFonts w:ascii="Palatino Linotype" w:cs="Palatino Linotype" w:hAnsi="Palatino Linotype"/>
      <w:sz w:val="20"/>
    </w:rPr>
  </w:style>
  <w:style w:customStyle="1" w:styleId="TOC2" w:type="paragraph">
    <w:name w:val="toc 2"/>
    <w:pPr>
      <w:spacing w:after="40" w:before="0"/>
      <w:ind w:left="283"/>
    </w:pPr>
    <w:rPr>
      <w:rFonts w:ascii="Palatino Linotype" w:cs="Palatino Linotype" w:hAnsi="Palatino Linotype"/>
      <w:sz w:val="19"/>
    </w:rPr>
  </w:style>
  <w:style w:customStyle="1" w:styleId="TOC3" w:type="paragraph">
    <w:name w:val="toc 3"/>
    <w:pPr>
      <w:spacing w:after="40" w:before="0"/>
      <w:ind w:left="567"/>
    </w:pPr>
    <w:rPr>
      <w:rFonts w:ascii="Palatino Linotype" w:cs="Palatino Linotype" w:hAnsi="Palatino Linotype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160" Target="media/rId160.png"/><Relationship Type="http://schemas.openxmlformats.org/officeDocument/2006/relationships/image" Id="rId123" Target="media/rId123.png"/><Relationship Type="http://schemas.openxmlformats.org/officeDocument/2006/relationships/image" Id="rId75" Target="media/rId75.png"/><Relationship Type="http://schemas.openxmlformats.org/officeDocument/2006/relationships/image" Id="rId79" Target="media/rId79.png"/><Relationship Type="http://schemas.openxmlformats.org/officeDocument/2006/relationships/image" Id="rId83" Target="media/rId83.png"/><Relationship Type="http://schemas.openxmlformats.org/officeDocument/2006/relationships/image" Id="rId87" Target="media/rId87.png"/><Relationship Type="http://schemas.openxmlformats.org/officeDocument/2006/relationships/image" Id="rId27" Target="media/rId27.png"/><Relationship Type="http://schemas.openxmlformats.org/officeDocument/2006/relationships/image" Id="rId31" Target="media/rId31.png"/><Relationship Type="http://schemas.openxmlformats.org/officeDocument/2006/relationships/image" Id="rId35" Target="media/rId35.png"/><Relationship Type="http://schemas.openxmlformats.org/officeDocument/2006/relationships/image" Id="rId39" Target="media/rId39.png"/><Relationship Type="http://schemas.openxmlformats.org/officeDocument/2006/relationships/image" Id="rId43" Target="media/rId43.png"/><Relationship Type="http://schemas.openxmlformats.org/officeDocument/2006/relationships/image" Id="rId47" Target="media/rId47.png"/><Relationship Type="http://schemas.openxmlformats.org/officeDocument/2006/relationships/image" Id="rId51" Target="media/rId51.png"/><Relationship Type="http://schemas.openxmlformats.org/officeDocument/2006/relationships/image" Id="rId55" Target="media/rId55.png"/><Relationship Type="http://schemas.openxmlformats.org/officeDocument/2006/relationships/image" Id="rId59" Target="media/rId59.png"/><Relationship Type="http://schemas.openxmlformats.org/officeDocument/2006/relationships/image" Id="rId63" Target="media/rId63.png"/><Relationship Type="http://schemas.openxmlformats.org/officeDocument/2006/relationships/image" Id="rId67" Target="media/rId67.png"/><Relationship Type="http://schemas.openxmlformats.org/officeDocument/2006/relationships/image" Id="rId71" Target="media/rId71.png"/><Relationship Type="http://schemas.openxmlformats.org/officeDocument/2006/relationships/image" Id="rId92" Target="media/rId92.png"/><Relationship Type="http://schemas.openxmlformats.org/officeDocument/2006/relationships/image" Id="rId96" Target="media/rId96.png"/><Relationship Type="http://schemas.openxmlformats.org/officeDocument/2006/relationships/image" Id="rId100" Target="media/rId100.png"/><Relationship Type="http://schemas.openxmlformats.org/officeDocument/2006/relationships/image" Id="rId105" Target="media/rId105.png"/><Relationship Type="http://schemas.openxmlformats.org/officeDocument/2006/relationships/image" Id="rId109" Target="media/rId109.png"/><Relationship Type="http://schemas.openxmlformats.org/officeDocument/2006/relationships/image" Id="rId113" Target="media/rId113.png"/><Relationship Type="http://schemas.openxmlformats.org/officeDocument/2006/relationships/image" Id="rId117" Target="media/rId117.png"/><Relationship Type="http://schemas.openxmlformats.org/officeDocument/2006/relationships/image" Id="rId17" Target="media/rId17.png"/><Relationship Type="http://schemas.openxmlformats.org/officeDocument/2006/relationships/image" Id="rId21" Target="media/rId21.png"/><Relationship Type="http://schemas.openxmlformats.org/officeDocument/2006/relationships/hyperlink" Id="rId220" Target="https://doi.org/10.1007/s00202-023-01803-9" TargetMode="External"/><Relationship Type="http://schemas.openxmlformats.org/officeDocument/2006/relationships/hyperlink" Id="rId217" Target="https://doi.org/10.1007/s13042-019-01053-x" TargetMode="External"/><Relationship Type="http://schemas.openxmlformats.org/officeDocument/2006/relationships/hyperlink" Id="rId222" Target="https://doi.org/10.1016/j.rico.2025.100542" TargetMode="External"/><Relationship Type="http://schemas.openxmlformats.org/officeDocument/2006/relationships/hyperlink" Id="rId215" Target="https://doi.org/10.1080/01621459.1937.10503522" TargetMode="External"/><Relationship Type="http://schemas.openxmlformats.org/officeDocument/2006/relationships/hyperlink" Id="rId219" Target="https://doi.org/10.1109/ACCESS.2021.3076091" TargetMode="External"/><Relationship Type="http://schemas.openxmlformats.org/officeDocument/2006/relationships/hyperlink" Id="rId224" Target="https://doi.org/10.1109/CEC.2013.6557901" TargetMode="External"/><Relationship Type="http://schemas.openxmlformats.org/officeDocument/2006/relationships/hyperlink" Id="rId223" Target="https://doi.org/10.1109/CEC.2018.8477755" TargetMode="External"/><Relationship Type="http://schemas.openxmlformats.org/officeDocument/2006/relationships/hyperlink" Id="rId218" Target="https://doi.org/10.1109/CEC48606.2020.9185901" TargetMode="External"/><Relationship Type="http://schemas.openxmlformats.org/officeDocument/2006/relationships/hyperlink" Id="rId216" Target="https://doi.org/10.1201/9780429246593" TargetMode="External"/><Relationship Type="http://schemas.openxmlformats.org/officeDocument/2006/relationships/hyperlink" Id="rId214" Target="https://doi.org/10.2307/3001968" TargetMode="External"/><Relationship Type="http://schemas.openxmlformats.org/officeDocument/2006/relationships/hyperlink" Id="rId221" Target="https://doi.org/10.3390/a18070398" TargetMode="External"/><Relationship Id="rId8001" Type="http://schemas.openxmlformats.org/officeDocument/2006/relationships/footer" Target="footer1.xml"/><Relationship Id="rId9001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0" Target="https://doi.org/10.1007/s00202-023-01803-9" TargetMode="External" /><Relationship Type="http://schemas.openxmlformats.org/officeDocument/2006/relationships/hyperlink" Id="rId217" Target="https://doi.org/10.1007/s13042-019-01053-x" TargetMode="External" /><Relationship Type="http://schemas.openxmlformats.org/officeDocument/2006/relationships/hyperlink" Id="rId222" Target="https://doi.org/10.1016/j.rico.2025.100542" TargetMode="External" /><Relationship Type="http://schemas.openxmlformats.org/officeDocument/2006/relationships/hyperlink" Id="rId215" Target="https://doi.org/10.1080/01621459.1937.10503522" TargetMode="External" /><Relationship Type="http://schemas.openxmlformats.org/officeDocument/2006/relationships/hyperlink" Id="rId219" Target="https://doi.org/10.1109/ACCESS.2021.3076091" TargetMode="External" /><Relationship Type="http://schemas.openxmlformats.org/officeDocument/2006/relationships/hyperlink" Id="rId224" Target="https://doi.org/10.1109/CEC.2013.6557901" TargetMode="External" /><Relationship Type="http://schemas.openxmlformats.org/officeDocument/2006/relationships/hyperlink" Id="rId223" Target="https://doi.org/10.1109/CEC.2018.8477755" TargetMode="External" /><Relationship Type="http://schemas.openxmlformats.org/officeDocument/2006/relationships/hyperlink" Id="rId218" Target="https://doi.org/10.1109/CEC48606.2020.9185901" TargetMode="External" /><Relationship Type="http://schemas.openxmlformats.org/officeDocument/2006/relationships/hyperlink" Id="rId216" Target="https://doi.org/10.1201/9780429246593" TargetMode="External" /><Relationship Type="http://schemas.openxmlformats.org/officeDocument/2006/relationships/hyperlink" Id="rId214" Target="https://doi.org/10.2307/3001968" TargetMode="External" /><Relationship Type="http://schemas.openxmlformats.org/officeDocument/2006/relationships/hyperlink" Id="rId221" Target="https://doi.org/10.3390/a1807039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IEEE2006OfficeOnline.xsl" StyleName="IEEE">
  <b:Source>
    <b:Tag>awad2016problem</b:Tag>
    <b:SourceType>Report</b:SourceType>
    <b:Guid>{E42FB246-F828-5A73-A17E-056838A9E3AB}</b:Guid>
    <b:Author>
      <b:Author>
        <b:NameList>
          <b:Person>
            <b:Last>Awad</b:Last>
            <b:First>N. H.</b:First>
          </b:Person>
          <b:Person>
            <b:Last>Ali</b:Last>
            <b:First>M. Z.</b:First>
          </b:Person>
          <b:Person>
            <b:Last>Liang</b:Last>
            <b:First>J. J.</b:First>
          </b:Person>
          <b:Person>
            <b:Last>Qu</b:Last>
            <b:First>B. Y.</b:First>
          </b:Person>
          <b:Person>
            <b:Last>Suganthan</b:Last>
            <b:First>P. N.</b:First>
          </b:Person>
        </b:NameList>
      </b:Author>
    </b:Author>
    <b:Title>Problem Definitions and Evaluation Criteria for the CEC 2017 Special Session and Competition on Single Objective Real-Parameter Numerical Optimization</b:Title>
    <b:Year>2016</b:Year>
    <b:Publisher>Nanyang Technological University, Singapore</b:Publisher>
  </b:Source>
  <b:Source>
    <b:Tag>das2011cec2011</b:Tag>
    <b:SourceType>Report</b:SourceType>
    <b:Guid>{F6346F03-7D51-5A32-A759-269680115E0B}</b:Guid>
    <b:Author>
      <b:Author>
        <b:NameList>
          <b:Person>
            <b:Last>Das</b:Last>
            <b:First>Swagatam</b:First>
          </b:Person>
          <b:Person>
            <b:Last>Suganthan</b:Last>
            <b:First>Ponnuthurai Nagaratnam</b:First>
          </b:Person>
        </b:NameList>
      </b:Author>
    </b:Author>
    <b:Title>Problem Definitions and Evaluation Criteria for the CEC 2011 Competition on Testing Evolutionary Algorithms on Real World Optimization Problems</b:Title>
    <b:Year>2011</b:Year>
    <b:Publisher>Jadavpur University and Nanyang Technological University</b:Publisher>
  </b:Source>
  <b:Source>
    <b:Tag>liang2013cec2013</b:Tag>
    <b:SourceType>Report</b:SourceType>
    <b:Guid>{C42B6CFC-B41D-5945-B4D7-97EFB6392870}</b:Guid>
    <b:Author>
      <b:Author>
        <b:NameList>
          <b:Person>
            <b:Last>Liang</b:Last>
            <b:First>J. J.</b:First>
          </b:Person>
          <b:Person>
            <b:Last>Qu</b:Last>
            <b:First>B. Y.</b:First>
          </b:Person>
          <b:Person>
            <b:Last>Suganthan</b:Last>
            <b:First>P. N.</b:First>
          </b:Person>
          <b:Person>
            <b:Last>Hernandez-Diaz</b:Last>
            <b:First>Alfredo G.</b:First>
          </b:Person>
        </b:NameList>
      </b:Author>
    </b:Author>
    <b:Title>Problem Definitions and Evaluation Criteria for the CEC 2013 Special Session on Real-Parameter Optimization</b:Title>
    <b:Year>2013</b:Year>
    <b:Publisher>Zhengzhou University and Nanyang Technological University</b:Publisher>
  </b:Source>
  <b:Source>
    <b:Tag>yue2020cec2020</b:Tag>
    <b:SourceType>Report</b:SourceType>
    <b:Guid>{69944197-AA94-5AC7-898F-DCF0A18D0713}</b:Guid>
    <b:Author>
      <b:Author>
        <b:NameList>
          <b:Person>
            <b:Last>Yue</b:Last>
            <b:First>C. T.</b:First>
          </b:Person>
          <b:Person>
            <b:Last>Price</b:Last>
            <b:First>K. V.</b:First>
          </b:Person>
          <b:Person>
            <b:Last>Suganthan</b:Last>
            <b:First>P. N.</b:First>
          </b:Person>
          <b:Person>
            <b:Last>Liang</b:Last>
            <b:First>J. J.</b:First>
          </b:Person>
          <b:Person>
            <b:Last>Ali</b:Last>
            <b:First>M. Z.</b:First>
          </b:Person>
          <b:Person>
            <b:Last>Qu</b:Last>
            <b:First>B. Y.</b:First>
          </b:Person>
          <b:Person>
            <b:Last>Awad</b:Last>
            <b:First>N. H.</b:First>
          </b:Person>
          <b:Person>
            <b:Last>Biswas</b:Last>
            <b:First>Partha P.</b:First>
          </b:Person>
        </b:NameList>
      </b:Author>
    </b:Author>
    <b:Title>Problem Definitions and Evaluation Criteria for the CEC 2020 Special Session and Competition on Single Objective Bound Constrained Numerical Optimization</b:Title>
    <b:Year>2019</b:Year>
    <b:Publisher>Computational Intelligence Laboratory, Zhengzhou University, Zhengzhou China and Nanyang Technological University, Singapore</b:Publisher>
    <b:Issue>201911</b:Issue>
  </b:Source>
  <b:Source>
    <b:Tag>li2013lsgo</b:Tag>
    <b:SourceType>Report</b:SourceType>
    <b:Guid>{B45197FF-6206-516D-9B88-607FFDDEAE92}</b:Guid>
    <b:Author>
      <b:Author>
        <b:NameList>
          <b:Person>
            <b:Last>Li</b:Last>
            <b:First>Xiaodong</b:First>
          </b:Person>
          <b:Person>
            <b:Last>Tang</b:Last>
            <b:First>Ke</b:First>
          </b:Person>
          <b:Person>
            <b:Last>Omidvar</b:Last>
            <b:First>Mohammad N.</b:First>
          </b:Person>
          <b:Person>
            <b:Last>Yang</b:Last>
            <b:First>Zhenyu</b:First>
          </b:Person>
          <b:Person>
            <b:Last>Qin</b:Last>
            <b:First>Kai</b:First>
          </b:Person>
        </b:NameList>
      </b:Author>
    </b:Author>
    <b:Title>Benchmark Functions for the CEC'2013 Special Session and Competition on Large-Scale Global Optimization</b:Title>
    <b:Year>2013</b:Year>
    <b:Publisher>RMIT University, Melbourne, Australia</b:Publisher>
  </b:Source>
  <b:Source>
    <b:Tag>wilcoxon1945individual</b:Tag>
    <b:SourceType>JournalArticle</b:SourceType>
    <b:Guid>{1FDB3719-9A73-5663-AD78-E51F992D1EFD}</b:Guid>
    <b:Author>
      <b:Author>
        <b:NameList>
          <b:Person>
            <b:Last>Wilcoxon</b:Last>
            <b:First>Frank</b:First>
          </b:Person>
        </b:NameList>
      </b:Author>
    </b:Author>
    <b:Title>Individual Comparisons by Ranking Methods</b:Title>
    <b:Year>1945</b:Year>
    <b:JournalName>Biometrics Bulletin</b:JournalName>
    <b:Volume>1</b:Volume>
    <b:Issue>6</b:Issue>
    <b:Pages>80-83</b:Pages>
    <b:URL>https://doi.org/10.2307/3001968</b:URL>
  </b:Source>
  <b:Source>
    <b:Tag>holm1979simple</b:Tag>
    <b:SourceType>JournalArticle</b:SourceType>
    <b:Guid>{7E7A881C-EBA2-514B-B0CF-1AD2618B73BB}</b:Guid>
    <b:Author>
      <b:Author>
        <b:NameList>
          <b:Person>
            <b:Last>Holm</b:Last>
            <b:First>Sture</b:First>
          </b:Person>
        </b:NameList>
      </b:Author>
    </b:Author>
    <b:Title>A Simple Sequentially Rejective Multiple Test Procedure</b:Title>
    <b:Year>1979</b:Year>
    <b:JournalName>Scandinavian Journal of Statistics</b:JournalName>
    <b:Volume>6</b:Volume>
    <b:Issue>2</b:Issue>
    <b:Pages>65-70</b:Pages>
    <b:URL>https://www.jstor.org/stable/4615733</b:URL>
  </b:Source>
  <b:Source>
    <b:Tag>friedman1937use</b:Tag>
    <b:SourceType>JournalArticle</b:SourceType>
    <b:Guid>{16E9D374-64D8-5D37-A1FF-EB659DBD7952}</b:Guid>
    <b:Author>
      <b:Author>
        <b:NameList>
          <b:Person>
            <b:Last>Friedman</b:Last>
            <b:First>Milton</b:First>
          </b:Person>
        </b:NameList>
      </b:Author>
    </b:Author>
    <b:Title>The Use of Ranks to Avoid the Assumption of Normality Implicit in the Analysis of Variance</b:Title>
    <b:Year>1937</b:Year>
    <b:JournalName>Journal of the American Statistical Association</b:JournalName>
    <b:Volume>32</b:Volume>
    <b:Issue>200</b:Issue>
    <b:Pages>675-701</b:Pages>
    <b:URL>https://doi.org/10.1080/01621459.1937.10503522</b:URL>
  </b:Source>
  <b:Source>
    <b:Tag>demsar2006statistical</b:Tag>
    <b:SourceType>JournalArticle</b:SourceType>
    <b:Guid>{CE611308-B08D-5A48-B77E-E63358CE9093}</b:Guid>
    <b:Author>
      <b:Author>
        <b:NameList>
          <b:Person>
            <b:Last>Demsar</b:Last>
            <b:First>Janez</b:First>
          </b:Person>
        </b:NameList>
      </b:Author>
    </b:Author>
    <b:Title>Statistical Comparisons of Classifiers over Multiple Data Sets</b:Title>
    <b:Year>2006</b:Year>
    <b:JournalName>Journal of Machine Learning Research</b:JournalName>
    <b:Volume>7</b:Volume>
    <b:Pages>1-30</b:Pages>
    <b:URL>https://www.jmlr.org/papers/v7/demsar06a.html</b:URL>
  </b:Source>
  <b:Source>
    <b:Tag>efron1993introduction</b:Tag>
    <b:SourceType>Book</b:SourceType>
    <b:Guid>{B33CDB6E-890B-52CD-9E72-DD63DE45A669}</b:Guid>
    <b:Author>
      <b:Author>
        <b:NameList>
          <b:Person>
            <b:Last>Efron</b:Last>
            <b:First>Bradley</b:First>
          </b:Person>
          <b:Person>
            <b:Last>Tibshirani</b:Last>
            <b:First>Robert J.</b:First>
          </b:Person>
        </b:NameList>
      </b:Author>
    </b:Author>
    <b:Title>An Introduction to the Bootstrap</b:Title>
    <b:Year>1993</b:Year>
    <b:Publisher>Chapman &amp; Hall</b:Publisher>
    <b:City>New York</b:City>
    <b:URL>https://doi.org/10.1201/9780429246593</b:URL>
  </b:Source>
  <b:Source>
    <b:Tag>mohamed2020gaining</b:Tag>
    <b:SourceType>JournalArticle</b:SourceType>
    <b:Guid>{42F0C8A4-6C15-53D2-BF02-97E103527D87}</b:Guid>
    <b:Author>
      <b:Author>
        <b:NameList>
          <b:Person>
            <b:Last>Mohamed</b:Last>
            <b:First>Ali Wagdy</b:First>
          </b:Person>
          <b:Person>
            <b:Last>Hadi</b:Last>
            <b:First>Anas A.</b:First>
          </b:Person>
          <b:Person>
            <b:Last>Mohamed</b:Last>
            <b:First>Ali K.</b:First>
          </b:Person>
        </b:NameList>
      </b:Author>
    </b:Author>
    <b:Title>Gaining-Sharing Knowledge Based Algorithm for Solving Optimization Problems: A Novel Nature-Inspired Algorithm</b:Title>
    <b:Year>2020</b:Year>
    <b:JournalName>International Journal of Machine Learning and Cybernetics</b:JournalName>
    <b:Publisher>Springer</b:Publisher>
    <b:Volume>11</b:Volume>
    <b:Issue>7</b:Issue>
    <b:Pages>1501-1529</b:Pages>
    <b:URL>https://doi.org/10.1007/s13042-019-01053-x</b:URL>
  </b:Source>
  <b:Source>
    <b:Tag>mohamed2020agsk</b:Tag>
    <b:SourceType>ConferenceProceedings</b:SourceType>
    <b:Guid>{5038999B-CFCF-569C-AD56-EF28372CC504}</b:Guid>
    <b:Author>
      <b:Author>
        <b:NameList>
          <b:Person>
            <b:Last>Mohamed</b:Last>
            <b:First>Ali Wagdy</b:First>
          </b:Person>
          <b:Person>
            <b:Last>Hadi</b:Last>
            <b:First>Anas A.</b:First>
          </b:Person>
          <b:Person>
            <b:Last>Mohamed</b:Last>
            <b:First>Ali Khater</b:First>
          </b:Person>
          <b:Person>
            <b:Last>Awad</b:Last>
            <b:First>Noor H.</b:First>
          </b:Person>
        </b:NameList>
      </b:Author>
    </b:Author>
    <b:Title>Evaluating the Performance of Adaptive Gaining-Sharing Knowledge Based Algorithm on CEC 2020 Benchmark Problems</b:Title>
    <b:Year>2020</b:Year>
    <b:ConferenceName>Proceedings of the 2020 IEEE Congress on Evolutionary Computation (CEC)</b:ConferenceName>
    <b:Publisher>IEEE</b:Publisher>
    <b:Pages>1-8</b:Pages>
    <b:URL>https://doi.org/10.1109/CEC48606.2020.9185901</b:URL>
  </b:Source>
  <b:Source>
    <b:Tag>apgsk2021</b:Tag>
    <b:SourceType>JournalArticle</b:SourceType>
    <b:Guid>{4E9C4844-9681-5244-80B1-92EB582AAECF}</b:Guid>
    <b:Author>
      <b:Author>
        <b:NameList>
          <b:Person>
            <b:Last>Mohamed</b:Last>
            <b:First>Ali Wagdy</b:First>
          </b:Person>
          <b:Person>
            <b:Last>Abutarboush</b:Last>
            <b:First>Hattan F.</b:First>
          </b:Person>
          <b:Person>
            <b:Last>Hadi</b:Last>
            <b:First>Anas A.</b:First>
          </b:Person>
          <b:Person>
            <b:Last>Mohamed</b:Last>
            <b:First>Ali Khater</b:First>
          </b:Person>
        </b:NameList>
      </b:Author>
    </b:Author>
    <b:Title>Gaining-Sharing Knowledge Based Algorithm With Adaptive Parameters for Engineering Optimization</b:Title>
    <b:Year>2021</b:Year>
    <b:JournalName>IEEE Access</b:JournalName>
    <b:Publisher>IEEE</b:Publisher>
    <b:Volume>9</b:Volume>
    <b:Pages>65934-65946</b:Pages>
    <b:URL>https://doi.org/10.1109/ACCESS.2021.3076091</b:URL>
  </b:Source>
  <b:Source>
    <b:Tag>fdbagsk2023</b:Tag>
    <b:SourceType>JournalArticle</b:SourceType>
    <b:Guid>{ADA97A04-55B1-57FB-8383-D2155BFC7B67}</b:Guid>
    <b:Author>
      <b:Author>
        <b:NameList>
          <b:Person>
            <b:Last>Bakir</b:Last>
            <b:First>Huseyin</b:First>
          </b:Person>
          <b:Person>
            <b:Last>Duman</b:Last>
            <b:First>Serhat</b:First>
          </b:Person>
          <b:Person>
            <b:Last>Guvenc</b:Last>
            <b:First>Ugur</b:First>
          </b:Person>
          <b:Person>
            <b:Last>Kahraman</b:Last>
            <b:First>Hamdi Tolga</b:First>
          </b:Person>
        </b:NameList>
      </b:Author>
    </b:Author>
    <b:Title>Improved Adaptive Gaining-Sharing Knowledge Algorithm with FDB-Based Guiding Mechanism for Optimization of Optimal Reactive Power Flow Problem</b:Title>
    <b:Year>2023</b:Year>
    <b:JournalName>Electrical Engineering</b:JournalName>
    <b:Publisher>Springer</b:Publisher>
    <b:Volume>105</b:Volume>
    <b:Issue>5</b:Issue>
    <b:Pages>3121-3160</b:Pages>
    <b:URL>https://doi.org/10.1007/s00202-023-01803-9</b:URL>
  </b:Source>
  <b:Source>
    <b:Tag>alfadli2025atmals</b:Tag>
    <b:SourceType>JournalArticle</b:SourceType>
    <b:Guid>{8D7C8C2E-1BC9-5CDB-A025-550D83F6438B}</b:Guid>
    <b:Author>
      <b:Author>
        <b:NameList>
          <b:Person>
            <b:Last>Alfadli</b:Last>
            <b:First>Nawaf Mijbel</b:First>
          </b:Person>
          <b:Person>
            <b:Last>Oun</b:Last>
            <b:First>Eman Mostafa</b:First>
          </b:Person>
          <b:Person>
            <b:Last>Mohamed</b:Last>
            <b:First>Ali Wagdy</b:First>
          </b:Person>
        </b:NameList>
      </b:Author>
    </b:Author>
    <b:Title>Auto-Tuning Memory-Based Adaptive Local Search Gaining-Sharing Knowledge-Based Algorithm for Solving Optimization Problems</b:Title>
    <b:Year>2025</b:Year>
    <b:JournalName>Algorithms</b:JournalName>
    <b:Publisher>MDPI</b:Publisher>
    <b:Volume>18</b:Volume>
    <b:Issue>7</b:Issue>
    <b:Pages>398</b:Pages>
    <b:URL>https://doi.org/10.3390/a18070398</b:URL>
  </b:Source>
  <b:Source>
    <b:Tag>jawad2024egsk</b:Tag>
    <b:SourceType>Misc</b:SourceType>
    <b:Guid>{0446FDB4-0CA2-5E67-9629-C4E24CC81BCD}</b:Guid>
    <b:Author>
      <b:Author>
        <b:NameList>
          <b:Person>
            <b:Last>Jawad</b:Last>
            <b:First>Mohammed Adnan</b:First>
          </b:Person>
          <b:Person>
            <b:Last>Roshdy</b:Last>
            <b:First>Heba Sayed Mohamed</b:First>
          </b:Person>
          <b:Person>
            <b:Last>Mohamed</b:Last>
            <b:First>Ali Wagdy</b:First>
          </b:Person>
        </b:NameList>
      </b:Author>
    </b:Author>
    <b:Title>Enhanced Gaining-Sharing Knowledge-Based Algorithm</b:Title>
    <b:Year>2025</b:Year>
    <b:JournalName>Results in Control and Optimization</b:JournalName>
    <b:Publisher>Elsevier</b:Publisher>
    <b:Volume>19</b:Volume>
    <b:Pages>100542</b:Pages>
    <b:URL>https://doi.org/10.1016/j.rico.2025.100542</b:URL>
  </b:Source>
  <b:Source>
    <b:Tag>molina2018shadeils</b:Tag>
    <b:SourceType>ConferenceProceedings</b:SourceType>
    <b:Guid>{2D6A3729-CA4A-5C26-9BC7-DC306CAD1C76}</b:Guid>
    <b:Author>
      <b:Author>
        <b:NameList>
          <b:Person>
            <b:Last>Molina</b:Last>
            <b:First>Daniel</b:First>
          </b:Person>
          <b:Person>
            <b:Last>LaTorre</b:Last>
            <b:First>Antonio</b:First>
          </b:Person>
          <b:Person>
            <b:Last>Herrera</b:Last>
            <b:First>Francisco</b:First>
          </b:Person>
        </b:NameList>
      </b:Author>
    </b:Author>
    <b:Title>SHADE with Iterative Local Search for Large-Scale Global Optimization</b:Title>
    <b:Year>2018</b:Year>
    <b:ConferenceName>2018 IEEE Congress on Evolutionary Computation (CEC)</b:ConferenceName>
    <b:Publisher>IEEE</b:Publisher>
    <b:Pages>1-8</b:Pages>
    <b:URL>https://doi.org/10.1109/CEC.2018.8477755</b:URL>
  </b:Source>
  <b:Source>
    <b:Tag>latorre2013mos</b:Tag>
    <b:SourceType>ConferenceProceedings</b:SourceType>
    <b:Guid>{14BF02A0-90DC-5118-A6D8-6FAA3C33AEA8}</b:Guid>
    <b:Author>
      <b:Author>
        <b:NameList>
          <b:Person>
            <b:Last>LaTorre</b:Last>
            <b:First>Antonio</b:First>
          </b:Person>
          <b:Person>
            <b:Last>Muelas</b:Last>
            <b:First>Santiago</b:First>
          </b:Person>
          <b:Person>
            <b:Last>Pe na</b:Last>
            <b:First>Jose-Maria</b:First>
          </b:Person>
        </b:NameList>
      </b:Author>
    </b:Author>
    <b:Title>Large Scale Global Optimization: Experimental Results with MOS-based Hybrid Algorithms</b:Title>
    <b:Year>2013</b:Year>
    <b:ConferenceName>Proceedings of the 2013 IEEE Congress on Evolutionary Computation</b:ConferenceName>
    <b:Publisher>IEEE</b:Publisher>
    <b:Pages>2742-2749</b:Pages>
    <b:URL>https://doi.org/10.1109/CEC.2013.6557901</b:URL>
  </b:Source>
</b:Sources>
</file>

<file path=customXml/itemProps1.xml><?xml version="1.0" encoding="utf-8"?>
<ds:datastoreItem xmlns:ds="http://schemas.openxmlformats.org/officeDocument/2006/customXml" ds:itemID="{18AB57C6-4C09-45D4-A252-1B7A78A47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for: DT-GSK: Dimension-Tiered Adaptive Configuration Selection and Deterministic Refinement for Gaining-Sharing Knowledge Optimization</dc:title>
  <dc:creator>Mostafa Elsayed Masoud; Heba Sayed Mohamed Roshdy; Ali Wagdy Mohamed</dc:creator>
  <cp:keywords>metaheuristic optimization; gaining-sharing knowledge; dimension-tiered adaptive configuration selection; deterministic final refinement; adaptive operator selection; population-size reduction; CEC benchmark suites; nonparametric statistical comparison; reproducibility</cp:keywords>
  <dcterms:created xsi:type="dcterms:W3CDTF">2026-07-10T00:00:00Z</dcterms:created>
  <dcterms:modified xsi:type="dcterms:W3CDTF">2026-07-10T00:00:00Z</dcterms:modified>
  <cp:lastModifiedBy>Mostafa Elsayed Masoud; Heba Sayed Mohamed Roshdy; Ali Wagdy Mohamed</cp:lastModifiedBy>
  <dc:subject>Supplementary Material: dimension-tiered adaptive configuration selection and deterministic refinement for Gaining-Sharing Knowledge (DT-GSK) optimization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Supplementary Material accompanies the main paper on Dimension-Tiered Gaining-Sharing Knowledge (DT-GSK) optimization. It contains the complete per-function CEC2017 panel tables (Section S1), the DT-GSK-versus-GSK head-to-head matrices and the CEC2011 and CEC2013 detail tables (Section S2), the convergence figure sets for CEC2017, CEC2011 and CEC2013 (every scored function at the prespecified dimensions, Section S3), a population-reduction schedule and diagnostic-availability note (Section S4), a reproducibility appendix documenting the seed schedule, the frozen configuration, the evidence release, and the analysis pipeline (Section S5), a supplement-only component-contribution study (a scaffold remove-one ablation, a direct interaction-structure-memory isolation, and a by-class conditional-benefit breakdown, Section S6), the complete CEC2013LSGO large-scale suite record (protocol, evidential tiers, family statistics, effect sizes, and per-function detail, Section S7), and the pre-registered CEC2020 confirmatory suite record (Section S8), and the four round-one revision experiments (Section S9). Every empirical value in Sections S1–S5 derives from the promoted, read-only evidence release accompanying this article; the Section S6 scaffold and isolation results derive from a separate, immutable ablation release; the Section S7, Section S8 and Section S9 values derive from three further separate, non-superseding evidence releases identified in those sections; no primary result is altered by any of it. All comparative wording is scoped to the seven-algorithm GSK-family panel.</vt:lpwstr>
  </property>
  <property fmtid="{D5CDD505-2E9C-101B-9397-08002B2CF9AE}" pid="3" name="date">
    <vt:lpwstr/>
  </property>
</Properties>
</file>