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Configuration Selection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to a single operating point. Dimension-Tiered</w:t>
      </w:r>
      <w:r>
        <w:t xml:space="preserve"> </w:t>
      </w:r>
      <w:r>
        <w:t xml:space="preserve">GSK (DT-GSK) resolves control by</w:t>
      </w:r>
      <w:r>
        <w:t xml:space="preserve"> </w:t>
      </w:r>
      <w:r>
        <w:t xml:space="preserve">dimension: an adaptive scaffold serves every tier, a deterministic,</w:t>
      </w:r>
      <w:r>
        <w:t xml:space="preserve"> </w:t>
      </w:r>
      <w:r>
        <w:t xml:space="preserve">budget-exact final refinement runs once at</w:t>
      </w:r>
      <w:r>
        <w:t xml:space="preserve"> </w:t>
      </w:r>
      <m:oMath>
        <m:r>
          <m:t>D</m:t>
        </m:r>
        <m:r>
          <m:rPr>
            <m:sty m:val="p"/>
          </m:rPr>
          <m:t>≥</m:t>
        </m:r>
        <m:r>
          <m:t>50</m:t>
        </m:r>
      </m:oMath>
      <w:r>
        <w:t xml:space="preserve">, with the</w:t>
      </w:r>
      <w:r>
        <w:t xml:space="preserve"> </w:t>
      </w:r>
      <w:r>
        <w:t xml:space="preserve">GSK vector-update equations retained; an exploratory</w:t>
      </w:r>
      <w:r>
        <w:t xml:space="preserve"> </w:t>
      </w:r>
      <w:r>
        <w:t xml:space="preserve">interaction-structure memory, learned from accepted</w:t>
      </w:r>
      <w:r>
        <w:t xml:space="preserve"> </w:t>
      </w:r>
      <w:r>
        <w:t xml:space="preserve">moves, supplies its basis.</w:t>
      </w:r>
      <w:r>
        <w:t xml:space="preserve"> </w:t>
      </w:r>
      <w:r>
        <w:t xml:space="preserve">Against six GSK-family baselines re-executed on five CEC suites under one</w:t>
      </w:r>
      <w:r>
        <w:t xml:space="preserve"> </w:t>
      </w:r>
      <w:r>
        <w:t xml:space="preserve">budget-fair paired protocol, DT-GSK attains the best descriptive</w:t>
      </w:r>
      <w:r>
        <w:t xml:space="preserve"> </w:t>
      </w:r>
      <w:r>
        <w:t xml:space="preserve">family-rank aggregate on CEC2017 (2.48) and CEC2013 (2.80), though the</w:t>
      </w:r>
      <w:r>
        <w:t xml:space="preserve"> </w:t>
      </w:r>
      <w:r>
        <w:t xml:space="preserve">Holm-corrected tests separate it from eGSK only at CEC2017’s</w:t>
      </w:r>
      <w:r>
        <w:t xml:space="preserve"> </w:t>
      </w:r>
      <m:oMath>
        <m:r>
          <m:t>D</m:t>
        </m:r>
        <m:r>
          <m:rPr>
            <m:sty m:val="p"/>
          </m:rPr>
          <m:t>=</m:t>
        </m:r>
        <m:r>
          <m:t>10</m:t>
        </m:r>
      </m:oMath>
      <w:r>
        <w:t xml:space="preserve">; it</w:t>
      </w:r>
      <w:r>
        <w:t xml:space="preserve"> </w:t>
      </w:r>
      <w:r>
        <w:t xml:space="preserve">is second behind eGSK at</w:t>
      </w:r>
      <w:r>
        <w:t xml:space="preserve"> </w:t>
      </w:r>
      <m:oMath>
        <m:r>
          <m:t>D</m:t>
        </m:r>
        <m:r>
          <m:rPr>
            <m:sty m:val="p"/>
          </m:rPr>
          <m:t>=</m:t>
        </m:r>
        <m:r>
          <m:t>30</m:t>
        </m:r>
      </m:oMath>
      <w:r>
        <w:t xml:space="preserve"> </w:t>
      </w:r>
      <w:r>
        <w:t xml:space="preserve">and on CEC2011 (a Holm-significant</w:t>
      </w:r>
      <w:r>
        <w:t xml:space="preserve"> </w:t>
      </w:r>
      <w:r>
        <w:t xml:space="preserve">loss).</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Direct isolations find no standalone benefit from that memory; its</w:t>
      </w:r>
      <w:r>
        <w:t xml:space="preserve"> </w:t>
      </w:r>
      <w:r>
        <w:t xml:space="preserve">basis is outperformed by coordinate axes—controlled negative</w:t>
      </w:r>
      <w:r>
        <w:t xml:space="preserve"> </w:t>
      </w:r>
      <w:r>
        <w:t xml:space="preserve">results.</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configuration selection;</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7" w:name="ref_sec_introduction"/>
      <w:r>
        <w:t xml:space="preserve">1.</w:t>
      </w:r>
      <w:bookmarkEnd w:id="147"/>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to a single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deterministic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configuration-and-budget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 deterministic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contribution is the deterministic</w:t>
      </w:r>
      <w:r>
        <w:t xml:space="preserve"> </w:t>
      </w:r>
      <w:r>
        <w:t xml:space="preserve">endgame itself, not the basis it searches along: a direct three-arm isolation</w:t>
      </w:r>
      <w:r>
        <w:t xml:space="preserve"> </w:t>
      </w:r>
      <w:r>
        <w:t xml:space="preserve">at fixed enablement (Supplementary Materials</w:t>
      </w:r>
      <w:r>
        <w:t xml:space="preserve"> </w:t>
      </w:r>
      <w:r>
        <w:t xml:space="preserve">Section S9.1) shows the endgame beating no refinement at</w:t>
      </w:r>
      <w:r>
        <w:t xml:space="preserve"> </w:t>
      </w:r>
      <w:r>
        <w:t xml:space="preserve">both active dimensions, while the</w:t>
      </w:r>
      <w:r>
        <w:t xml:space="preserve"> </w:t>
      </w:r>
      <w:r>
        <w:rPr>
          <w:i/>
          <w:iCs/>
        </w:rPr>
        <w:t xml:space="preserve">learned</w:t>
      </w:r>
      <w:r>
        <w:t xml:space="preserve"> </w:t>
      </w:r>
      <w:r>
        <w:t xml:space="preserve">eigenbasis is beaten by the</w:t>
      </w:r>
      <w:r>
        <w:t xml:space="preserve"> </w:t>
      </w:r>
      <w:r>
        <w:t xml:space="preserve">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w:t>
      </w:r>
      <w:r>
        <w:t xml:space="preserve"> </w:t>
      </w:r>
      <w:r>
        <w:t xml:space="preserve">and not separated from them at</w:t>
      </w:r>
      <w:r>
        <w:t xml:space="preserve"> </w:t>
      </w:r>
      <m:oMath>
        <m:r>
          <m:t>D</m:t>
        </m:r>
        <m:r>
          <m:rPr>
            <m:sty m:val="p"/>
          </m:rPr>
          <m:t>=</m:t>
        </m:r>
        <m:r>
          <m:t>100</m:t>
        </m:r>
      </m:oMath>
      <w:r>
        <w:t xml:space="preserve">. C1 is therefore claimed</w:t>
      </w:r>
      <w:r>
        <w:t xml:space="preserve"> </w:t>
      </w:r>
      <w:r>
        <w:t xml:space="preserve">basis-neutrally, and the eigenbasis is retained as a specified, reproducible</w:t>
      </w:r>
      <w:r>
        <w:t xml:space="preserve"> </w:t>
      </w:r>
      <w:r>
        <w:t xml:space="preserve">negative result rather than as a source of the</w:t>
      </w:r>
      <w:r>
        <w:t xml:space="preserve"> </w:t>
      </w:r>
      <w:r>
        <w:t xml:space="preserve">benefit.</w:t>
      </w:r>
    </w:p>
    <w:p>
      <w:pPr>
        <w:numPr>
          <w:ilvl w:val="0"/>
          <w:numId w:val="1001"/>
        </w:numPr>
      </w:pPr>
      <w:r>
        <w:rPr>
          <w:b/>
          <w:bCs/>
        </w:rPr>
        <w:t xml:space="preserve">C2 — a dimension-tiered adaptive scaffold.</w:t>
      </w:r>
      <w:r>
        <w:t xml:space="preserve"> </w:t>
      </w:r>
      <w:r>
        <w:t xml:space="preserve">The</w:t>
      </w:r>
      <w:r>
        <w:t xml:space="preserve"> </w:t>
      </w:r>
      <w:r>
        <w:t xml:space="preserve">Adaptive Configuration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deterministic final polish (C1). However, the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The direct basis isolation added in revision goes further: in the memory’s terminal exploitation channel, the polish basis, the learned eigenframe is outperformed by the plain coordinate axes at</w:t>
      </w:r>
      <w:r>
        <w:t xml:space="preserve"> </w:t>
      </w:r>
      <m:oMath>
        <m:r>
          <m:t>D</m:t>
        </m:r>
        <m:r>
          <m:rPr>
            <m:sty m:val="p"/>
          </m:rPr>
          <m:t>=</m:t>
        </m:r>
        <m:r>
          <m:t>50</m:t>
        </m:r>
      </m:oMath>
      <w:r>
        <w:t xml:space="preserve"> </w:t>
      </w:r>
      <w:r>
        <w:t xml:space="preserve">(Supplementary Materials, Section S9.1), so at that dimension the exploitation of the learned structure subtracts from a refinement that works without it. ISM is therefore positioned as a specified negative result rather than as a source of DT-GSK’s performance standing. Its inclusion provides a fully specified and reproducible investigation of structure learning from strictly improving accepted moves, while the paper’s principal contributions remain the dimension-tiered adaptive scaffold (C2), the deterministic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deterministic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8" w:name="ref_sec_related"/>
      <w:r>
        <w:t xml:space="preserve">2.</w:t>
      </w:r>
      <w:bookmarkEnd w:id="148"/>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9" w:name="ref_sec_rel_family"/>
      <w:r>
        <w:t xml:space="preserve">2.1.</w:t>
      </w:r>
      <w:bookmarkEnd w:id="149"/>
      <w:r>
        <w:tab/>
      </w:r>
      <w:r>
        <w:t xml:space="preserve"> The GSK Family: From Fixed Parameters to Adaptive Configuration</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50" w:name="ref_tab_family_review"/>
      <w:r>
        <w:fldChar w:fldCharType="begin"/>
      </w:r>
      <w:r>
        <w:instrText xml:space="preserve"> SEQ Table \* ARABIC </w:instrText>
      </w:r>
      <w:r>
        <w:fldChar w:fldCharType="separate"/>
      </w:r>
      <w:r>
        <w:rPr>
          <w:b/>
        </w:rPr>
        <w:t xml:space="preserve">1</w:t>
      </w:r>
      <w:r>
        <w:fldChar w:fldCharType="end"/>
      </w:r>
      <w:bookmarkEnd w:id="150"/>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1" w:name="ref_sec_rel_structure"/>
      <w:r>
        <w:t xml:space="preserve">2.2.</w:t>
      </w:r>
      <w:bookmarkEnd w:id="151"/>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2" w:name="ref_tab_taxonomy"/>
      <w:r>
        <w:fldChar w:fldCharType="begin"/>
      </w:r>
      <w:r>
        <w:instrText xml:space="preserve"> SEQ Table \* ARABIC </w:instrText>
      </w:r>
      <w:r>
        <w:fldChar w:fldCharType="separate"/>
      </w:r>
      <w:r>
        <w:rPr>
          <w:b/>
        </w:rPr>
        <w:t xml:space="preserve">2</w:t>
      </w:r>
      <w:r>
        <w:fldChar w:fldCharType="end"/>
      </w:r>
      <w:bookmarkEnd w:id="152"/>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3" w:name="ref_sec_rel_positioning"/>
      <w:r>
        <w:t xml:space="preserve">2.3.</w:t>
      </w:r>
      <w:bookmarkEnd w:id="153"/>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configuration-and-budget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4" w:name="ref_sec_algorithm"/>
      <w:r>
        <w:t xml:space="preserve">3.</w:t>
      </w:r>
      <w:bookmarkEnd w:id="154"/>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deterministic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5" w:name="ref_sec_alg_notation"/>
      <w:r>
        <w:t xml:space="preserve">3.1.</w:t>
      </w:r>
      <w:bookmarkEnd w:id="155"/>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6" w:name="ref_tab_notation"/>
      <w:r>
        <w:fldChar w:fldCharType="begin"/>
      </w:r>
      <w:r>
        <w:instrText xml:space="preserve"> SEQ Table \* ARABIC </w:instrText>
      </w:r>
      <w:r>
        <w:fldChar w:fldCharType="separate"/>
      </w:r>
      <w:r>
        <w:rPr>
          <w:b/>
        </w:rPr>
        <w:t xml:space="preserve">3</w:t>
      </w:r>
      <w:r>
        <w:fldChar w:fldCharType="end"/>
      </w:r>
      <w:bookmarkEnd w:id="156"/>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7" w:name="ref_eq_junior_idx"/>
      <w:r>
        <w:fldChar w:fldCharType="begin"/>
      </w:r>
      <w:r>
        <w:instrText xml:space="preserve"> SEQ Equation \* ARABIC </w:instrText>
      </w:r>
      <w:r>
        <w:fldChar w:fldCharType="separate"/>
      </w:r>
      <w:r>
        <w:t xml:space="preserve">1</w:t>
      </w:r>
      <w:r>
        <w:fldChar w:fldCharType="end"/>
      </w:r>
      <w:bookmarkEnd w:id="157"/>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8" w:name="ref_eq_senior_idx"/>
      <w:r>
        <w:fldChar w:fldCharType="begin"/>
      </w:r>
      <w:r>
        <w:instrText xml:space="preserve"> SEQ Equation \* ARABIC </w:instrText>
      </w:r>
      <w:r>
        <w:fldChar w:fldCharType="separate"/>
      </w:r>
      <w:r>
        <w:t xml:space="preserve">2</w:t>
      </w:r>
      <w:r>
        <w:fldChar w:fldCharType="end"/>
      </w:r>
      <w:bookmarkEnd w:id="158"/>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9" w:name="ref_eq_kexp_schedule"/>
      <w:r>
        <w:fldChar w:fldCharType="begin"/>
      </w:r>
      <w:r>
        <w:instrText xml:space="preserve"> SEQ Equation \* ARABIC </w:instrText>
      </w:r>
      <w:r>
        <w:fldChar w:fldCharType="separate"/>
      </w:r>
      <w:r>
        <w:t xml:space="preserve">3</w:t>
      </w:r>
      <w:r>
        <w:fldChar w:fldCharType="end"/>
      </w:r>
      <w:bookmarkEnd w:id="159"/>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60" w:name="ref_eq_gsk_update"/>
      <w:r>
        <w:fldChar w:fldCharType="begin"/>
      </w:r>
      <w:r>
        <w:instrText xml:space="preserve"> SEQ Equation \* ARABIC </w:instrText>
      </w:r>
      <w:r>
        <w:fldChar w:fldCharType="separate"/>
      </w:r>
      <w:r>
        <w:t xml:space="preserve">4</w:t>
      </w:r>
      <w:r>
        <w:fldChar w:fldCharType="end"/>
      </w:r>
      <w:bookmarkEnd w:id="160"/>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1" w:name="ref_eq_kr_mask"/>
      <w:r>
        <w:fldChar w:fldCharType="begin"/>
      </w:r>
      <w:r>
        <w:instrText xml:space="preserve"> SEQ Equation \* ARABIC </w:instrText>
      </w:r>
      <w:r>
        <w:fldChar w:fldCharType="separate"/>
      </w:r>
      <w:r>
        <w:t xml:space="preserve">5</w:t>
      </w:r>
      <w:r>
        <w:fldChar w:fldCharType="end"/>
      </w:r>
      <w:bookmarkEnd w:id="161"/>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2" w:name="ref_eq_nlpsr"/>
      <w:r>
        <w:fldChar w:fldCharType="begin"/>
      </w:r>
      <w:r>
        <w:instrText xml:space="preserve"> SEQ Equation \* ARABIC </w:instrText>
      </w:r>
      <w:r>
        <w:fldChar w:fldCharType="separate"/>
      </w:r>
      <w:r>
        <w:t xml:space="preserve">6</w:t>
      </w:r>
      <w:r>
        <w:fldChar w:fldCharType="end"/>
      </w:r>
      <w:bookmarkEnd w:id="162"/>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3" w:name="ref_eq_ace_update"/>
      <w:r>
        <w:fldChar w:fldCharType="begin"/>
      </w:r>
      <w:r>
        <w:instrText xml:space="preserve"> SEQ Equation \* ARABIC </w:instrText>
      </w:r>
      <w:r>
        <w:fldChar w:fldCharType="separate"/>
      </w:r>
      <w:r>
        <w:t xml:space="preserve">7</w:t>
      </w:r>
      <w:r>
        <w:fldChar w:fldCharType="end"/>
      </w:r>
      <w:bookmarkEnd w:id="163"/>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4" w:name="ref_eq_midpoint_repair"/>
      <w:r>
        <w:fldChar w:fldCharType="begin"/>
      </w:r>
      <w:r>
        <w:instrText xml:space="preserve"> SEQ Equation \* ARABIC </w:instrText>
      </w:r>
      <w:r>
        <w:fldChar w:fldCharType="separate"/>
      </w:r>
      <w:r>
        <w:t xml:space="preserve">8</w:t>
      </w:r>
      <w:r>
        <w:fldChar w:fldCharType="end"/>
      </w:r>
      <w:bookmarkEnd w:id="164"/>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5" w:name="ref_eq_greedy_accept"/>
      <w:r>
        <w:fldChar w:fldCharType="begin"/>
      </w:r>
      <w:r>
        <w:instrText xml:space="preserve"> SEQ Equation \* ARABIC </w:instrText>
      </w:r>
      <w:r>
        <w:fldChar w:fldCharType="separate"/>
      </w:r>
      <w:r>
        <w:t xml:space="preserve">9</w:t>
      </w:r>
      <w:r>
        <w:fldChar w:fldCharType="end"/>
      </w:r>
      <w:bookmarkEnd w:id="165"/>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6" w:name="ref_eq_bse_cauchy"/>
      <w:r>
        <w:fldChar w:fldCharType="begin"/>
      </w:r>
      <w:r>
        <w:instrText xml:space="preserve"> SEQ Equation \* ARABIC </w:instrText>
      </w:r>
      <w:r>
        <w:fldChar w:fldCharType="separate"/>
      </w:r>
      <w:r>
        <w:t xml:space="preserve">10</w:t>
      </w:r>
      <w:r>
        <w:fldChar w:fldCharType="end"/>
      </w:r>
      <w:bookmarkEnd w:id="166"/>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7" w:name="ref_eq_sgsm_graph"/>
      <w:r>
        <w:fldChar w:fldCharType="begin"/>
      </w:r>
      <w:r>
        <w:instrText xml:space="preserve"> SEQ Equation \* ARABIC </w:instrText>
      </w:r>
      <w:r>
        <w:fldChar w:fldCharType="separate"/>
      </w:r>
      <w:r>
        <w:t xml:space="preserve">11</w:t>
      </w:r>
      <w:r>
        <w:fldChar w:fldCharType="end"/>
      </w:r>
      <w:bookmarkEnd w:id="167"/>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8" w:name="ref_eq_eigen_polish"/>
      <w:r>
        <w:fldChar w:fldCharType="begin"/>
      </w:r>
      <w:r>
        <w:instrText xml:space="preserve"> SEQ Equation \* ARABIC </w:instrText>
      </w:r>
      <w:r>
        <w:fldChar w:fldCharType="separate"/>
      </w:r>
      <w:r>
        <w:t xml:space="preserve">12</w:t>
      </w:r>
      <w:r>
        <w:fldChar w:fldCharType="end"/>
      </w:r>
      <w:bookmarkEnd w:id="168"/>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9" w:name="ref_eq_rng_substreams"/>
      <w:r>
        <w:fldChar w:fldCharType="begin"/>
      </w:r>
      <w:r>
        <w:instrText xml:space="preserve"> SEQ Equation \* ARABIC </w:instrText>
      </w:r>
      <w:r>
        <w:fldChar w:fldCharType="separate"/>
      </w:r>
      <w:r>
        <w:t xml:space="preserve">13</w:t>
      </w:r>
      <w:r>
        <w:fldChar w:fldCharType="end"/>
      </w:r>
      <w:bookmarkEnd w:id="169"/>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70" w:name="ref_sec_alg_overview"/>
      <w:r>
        <w:t xml:space="preserve">3.2.</w:t>
      </w:r>
      <w:bookmarkEnd w:id="170"/>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1" w:name="ref_tab_architecture"/>
      <w:r>
        <w:fldChar w:fldCharType="begin"/>
      </w:r>
      <w:r>
        <w:instrText xml:space="preserve"> SEQ Table \* ARABIC </w:instrText>
      </w:r>
      <w:r>
        <w:fldChar w:fldCharType="separate"/>
      </w:r>
      <w:r>
        <w:rPr>
          <w:b/>
        </w:rPr>
        <w:t xml:space="preserve">4</w:t>
      </w:r>
      <w:r>
        <w:fldChar w:fldCharType="end"/>
      </w:r>
      <w:bookmarkEnd w:id="171"/>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That replication was</w:t>
      </w:r>
      <w:r>
        <w:t xml:space="preserve"> </w:t>
      </w:r>
      <w:r>
        <w:t xml:space="preserve">carried out in revision: at the comparators’</w:t>
      </w:r>
      <w:r>
        <w:t xml:space="preserve"> </w:t>
      </w:r>
      <m:oMath>
        <m:r>
          <m:t>N</m:t>
        </m:r>
        <m:r>
          <m:t>P</m:t>
        </m:r>
        <m:r>
          <m:rPr>
            <m:sty m:val="p"/>
          </m:rPr>
          <m:t>=</m:t>
        </m:r>
        <m:r>
          <m:t>100</m:t>
        </m:r>
      </m:oMath>
      <w:r>
        <w:t xml:space="preserve">, DT-GSK remains first</w:t>
      </w:r>
      <w:r>
        <w:t xml:space="preserve"> </w:t>
      </w:r>
      <w:r>
        <w:t xml:space="preserve">at</w:t>
      </w:r>
      <w:r>
        <w:t xml:space="preserve"> </w:t>
      </w:r>
      <m:oMath>
        <m:r>
          <m:t>D</m:t>
        </m:r>
        <m:r>
          <m:rPr>
            <m:sty m:val="p"/>
          </m:rPr>
          <m:t>=</m:t>
        </m:r>
        <m:r>
          <m:t>10</m:t>
        </m:r>
      </m:oMath>
      <w:r>
        <w:t xml:space="preserve"> </w:t>
      </w:r>
      <w:r>
        <w:t xml:space="preserve">and second at</w:t>
      </w:r>
      <w:r>
        <w:t xml:space="preserve"> </w:t>
      </w:r>
      <m:oMath>
        <m:r>
          <m:t>D</m:t>
        </m:r>
        <m:r>
          <m:rPr>
            <m:sty m:val="p"/>
          </m:rPr>
          <m:t>=</m:t>
        </m:r>
        <m:r>
          <m:t>30</m:t>
        </m:r>
      </m:oMath>
      <w:r>
        <w:t xml:space="preserve">,</w:t>
      </w:r>
      <w:r>
        <w:t xml:space="preserve"> </w:t>
      </w:r>
      <m:oMath>
        <m:r>
          <m:t>50</m:t>
        </m:r>
      </m:oMath>
      <w:r>
        <w:t xml:space="preserve"> </w:t>
      </w:r>
      <w:r>
        <w:t xml:space="preserve">and</w:t>
      </w:r>
      <w:r>
        <w:t xml:space="preserve"> </w:t>
      </w:r>
      <m:oMath>
        <m:r>
          <m:t>100</m:t>
        </m:r>
      </m:oMath>
      <w:r>
        <w:t xml:space="preserve">, with the paired difference</w:t>
      </w:r>
      <w:r>
        <w:t xml:space="preserve"> </w:t>
      </w:r>
      <w:r>
        <w:t xml:space="preserve">significant only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(Supplementary Materials,</w:t>
      </w:r>
      <w:r>
        <w:t xml:space="preserve"> </w:t>
      </w:r>
      <w:r>
        <w:t xml:space="preserve">Section S9.2).</w:t>
      </w:r>
    </w:p>
    <w:p>
      <w:pPr>
        <w:pStyle w:val="TableCaption"/>
        <w:keepNext/>
        <w:keepLines/>
      </w:pPr>
      <w:r>
        <w:rPr>
          <w:b/>
        </w:rPr>
        <w:t xml:space="preserve">Algorithm </w:t>
      </w:r>
      <w:bookmarkStart w:id="172" w:name="ref_alg_dt_gsk"/>
      <w:r>
        <w:fldChar w:fldCharType="begin"/>
      </w:r>
      <w:r>
        <w:instrText xml:space="preserve"> SEQ Algorithm \* ARABIC </w:instrText>
      </w:r>
      <w:r>
        <w:fldChar w:fldCharType="separate"/>
      </w:r>
      <w:r>
        <w:rPr>
          <w:b/>
        </w:rPr>
        <w:t xml:space="preserve">1</w:t>
      </w:r>
      <w:r>
        <w:fldChar w:fldCharType="end"/>
      </w:r>
      <w:bookmarkEnd w:id="172"/>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3" w:name="ref_fig_gsk_flowchart"/>
      <w:r>
        <w:fldChar w:fldCharType="begin"/>
      </w:r>
      <w:r>
        <w:instrText xml:space="preserve"> SEQ Figure \* ARABIC </w:instrText>
      </w:r>
      <w:r>
        <w:fldChar w:fldCharType="separate"/>
      </w:r>
      <w:r>
        <w:rPr>
          <w:b/>
        </w:rPr>
        <w:t xml:space="preserve">1</w:t>
      </w:r>
      <w:r>
        <w:fldChar w:fldCharType="end"/>
      </w:r>
      <w:bookmarkEnd w:id="173"/>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4" w:name="ref_fig_dtgsk_flowchart"/>
      <w:r>
        <w:fldChar w:fldCharType="begin"/>
      </w:r>
      <w:r>
        <w:instrText xml:space="preserve"> SEQ Figure \* ARABIC </w:instrText>
      </w:r>
      <w:r>
        <w:fldChar w:fldCharType="separate"/>
      </w:r>
      <w:r>
        <w:rPr>
          <w:b/>
        </w:rPr>
        <w:t xml:space="preserve">2</w:t>
      </w:r>
      <w:r>
        <w:fldChar w:fldCharType="end"/>
      </w:r>
      <w:bookmarkEnd w:id="174"/>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Configuration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5" w:name="ref_tab_dim_gating"/>
      <w:r>
        <w:fldChar w:fldCharType="begin"/>
      </w:r>
      <w:r>
        <w:instrText xml:space="preserve"> SEQ Table \* ARABIC </w:instrText>
      </w:r>
      <w:r>
        <w:fldChar w:fldCharType="separate"/>
      </w:r>
      <w:r>
        <w:rPr>
          <w:b/>
        </w:rPr>
        <w:t xml:space="preserve">5</w:t>
      </w:r>
      <w:r>
        <w:fldChar w:fldCharType="end"/>
      </w:r>
      <w:bookmarkEnd w:id="175"/>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6" w:name="ref_sec_alg_scaffold"/>
      <w:r>
        <w:t xml:space="preserve">3.3.</w:t>
      </w:r>
      <w:bookmarkEnd w:id="176"/>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at submission. A controlled tiered-versus-tier-constant contrast</w:t>
      </w:r>
      <w:r>
        <w:t xml:space="preserve"> </w:t>
      </w:r>
      <w:r>
        <w:t xml:space="preserve">was added in revision (Supplementary Materials, Section S9.3): it separates the</w:t>
      </w:r>
      <w:r>
        <w:t xml:space="preserve"> </w:t>
      </w:r>
      <w:r>
        <w:t xml:space="preserve">two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t>
      </w:r>
      <w:r>
        <w:t xml:space="preserve">against a high-dimension transplant, while at</w:t>
      </w:r>
      <w:r>
        <w:t xml:space="preserve"> </w:t>
      </w:r>
      <m:oMath>
        <m:r>
          <m:t>D</m:t>
        </m:r>
        <m:r>
          <m:rPr>
            <m:sty m:val="p"/>
          </m:rPr>
          <m:t>=</m:t>
        </m:r>
        <m:r>
          <m:t>30</m:t>
        </m:r>
      </m:oMath>
      <w:r>
        <w:t xml:space="preserve"> </w:t>
      </w:r>
      <w:r>
        <w:t xml:space="preserve">a low-dimension transplant outperforms the shipped configuration. C2 is</w:t>
      </w:r>
      <w:r>
        <w:t xml:space="preserve"> </w:t>
      </w:r>
      <w:r>
        <w:t xml:space="preserve">therefore claimed for the dimensions where tiering was demonstrated, with the</w:t>
      </w:r>
      <w:r>
        <w:t xml:space="preserve"> </w:t>
      </w:r>
      <m:oMath>
        <m:r>
          <m:t>20</m:t>
        </m:r>
        <m:r>
          <m:rPr>
            <m:sty m:val="p"/>
          </m:rPr>
          <m:t>≤</m:t>
        </m:r>
        <m:r>
          <m:t>D</m:t>
        </m:r>
        <m:r>
          <m:rPr>
            <m:sty m:val="p"/>
          </m:rPr>
          <m:t>&lt;</m:t>
        </m:r>
        <m:r>
          <m:t>50</m:t>
        </m:r>
      </m:oMath>
      <w:r>
        <w:t xml:space="preserve"> </w:t>
      </w:r>
      <w:r>
        <w:t xml:space="preserve">tier disclosed as mis-specified, rather than as evidence that</w:t>
      </w:r>
      <w:r>
        <w:t xml:space="preserve"> </w:t>
      </w:r>
      <w:r>
        <w:t xml:space="preserve">dimension-tiering is individually causal at every tier.</w:t>
      </w:r>
    </w:p>
    <w:p>
      <w:pPr>
        <w:pStyle w:val="BodyText"/>
      </w:pPr>
      <w:r>
        <w:t xml:space="preserve">Here each 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7" w:name="ref_tab_notation_scaffold"/>
      <w:r>
        <w:fldChar w:fldCharType="begin"/>
      </w:r>
      <w:r>
        <w:instrText xml:space="preserve"> SEQ Table \* ARABIC </w:instrText>
      </w:r>
      <w:r>
        <w:fldChar w:fldCharType="separate"/>
      </w:r>
      <w:r>
        <w:rPr>
          <w:b/>
        </w:rPr>
        <w:t xml:space="preserve">6</w:t>
      </w:r>
      <w:r>
        <w:fldChar w:fldCharType="end"/>
      </w:r>
      <w:bookmarkEnd w:id="177"/>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8" w:name="ref_sec_alg_ace"/>
      <w:r>
        <w:t xml:space="preserve">3.3.1.</w:t>
      </w:r>
      <w:bookmarkEnd w:id="178"/>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9" w:name="ref_sec_alg_argp"/>
      <w:r>
        <w:t xml:space="preserve">3.3.2.</w:t>
      </w:r>
      <w:bookmarkEnd w:id="179"/>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80" w:name="ref_sec_alg_nlpsr"/>
      <w:r>
        <w:t xml:space="preserve">3.3.3.</w:t>
      </w:r>
      <w:bookmarkEnd w:id="180"/>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1" w:name="ref_tab_worked_example"/>
      <w:r>
        <w:fldChar w:fldCharType="begin"/>
      </w:r>
      <w:r>
        <w:instrText xml:space="preserve"> SEQ Table \* ARABIC </w:instrText>
      </w:r>
      <w:r>
        <w:fldChar w:fldCharType="separate"/>
      </w:r>
      <w:r>
        <w:rPr>
          <w:b/>
        </w:rPr>
        <w:t xml:space="preserve">7</w:t>
      </w:r>
      <w:r>
        <w:fldChar w:fldCharType="end"/>
      </w:r>
      <w:bookmarkEnd w:id="181"/>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2" w:name="ref_sec_alg_bse"/>
      <w:r>
        <w:t xml:space="preserve">3.3.4.</w:t>
      </w:r>
      <w:bookmarkEnd w:id="182"/>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3" w:name="ref_sec_alg_deepstall"/>
      <w:r>
        <w:t xml:space="preserve">3.3.5.</w:t>
      </w:r>
      <w:bookmarkEnd w:id="183"/>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4" w:name="ref_sec_alg_ism"/>
      <w:r>
        <w:t xml:space="preserve">3.4.</w:t>
      </w:r>
      <w:bookmarkEnd w:id="184"/>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5" w:name="ref_tab_notation_ism"/>
      <w:r>
        <w:fldChar w:fldCharType="begin"/>
      </w:r>
      <w:r>
        <w:instrText xml:space="preserve"> SEQ Table \* ARABIC </w:instrText>
      </w:r>
      <w:r>
        <w:fldChar w:fldCharType="separate"/>
      </w:r>
      <w:r>
        <w:rPr>
          <w:b/>
        </w:rPr>
        <w:t xml:space="preserve">8</w:t>
      </w:r>
      <w:r>
        <w:fldChar w:fldCharType="end"/>
      </w:r>
      <w:bookmarkEnd w:id="185"/>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6" w:name="ref_tab_sgsm_mechanism"/>
      <w:r>
        <w:fldChar w:fldCharType="begin"/>
      </w:r>
      <w:r>
        <w:instrText xml:space="preserve"> SEQ Table \* ARABIC </w:instrText>
      </w:r>
      <w:r>
        <w:fldChar w:fldCharType="separate"/>
      </w:r>
      <w:r>
        <w:rPr>
          <w:b/>
        </w:rPr>
        <w:t xml:space="preserve">9</w:t>
      </w:r>
      <w:r>
        <w:fldChar w:fldCharType="end"/>
      </w:r>
      <w:bookmarkEnd w:id="186"/>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7" w:name="ref_sec_alg_polish"/>
      <w:r>
        <w:t xml:space="preserve">3.5.</w:t>
      </w:r>
      <w:bookmarkEnd w:id="187"/>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8" w:name="ref_sec_alg_highd"/>
      <w:r>
        <w:t xml:space="preserve">3.6.</w:t>
      </w:r>
      <w:bookmarkEnd w:id="188"/>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9" w:name="ref_sec_alg_profile"/>
      <w:r>
        <w:t xml:space="preserve">3.7.</w:t>
      </w:r>
      <w:bookmarkEnd w:id="189"/>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90" w:name="ref_tab_parameters"/>
      <w:r>
        <w:fldChar w:fldCharType="begin"/>
      </w:r>
      <w:r>
        <w:instrText xml:space="preserve"> SEQ Table \* ARABIC </w:instrText>
      </w:r>
      <w:r>
        <w:fldChar w:fldCharType="separate"/>
      </w:r>
      <w:r>
        <w:rPr>
          <w:b/>
        </w:rPr>
        <w:t xml:space="preserve">10</w:t>
      </w:r>
      <w:r>
        <w:fldChar w:fldCharType="end"/>
      </w:r>
      <w:bookmarkEnd w:id="190"/>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1" w:name="ref_tab_panel"/>
      <w:r>
        <w:fldChar w:fldCharType="begin"/>
      </w:r>
      <w:r>
        <w:instrText xml:space="preserve"> SEQ Table \* ARABIC </w:instrText>
      </w:r>
      <w:r>
        <w:fldChar w:fldCharType="separate"/>
      </w:r>
      <w:r>
        <w:rPr>
          <w:b/>
        </w:rPr>
        <w:t xml:space="preserve">11</w:t>
      </w:r>
      <w:r>
        <w:fldChar w:fldCharType="end"/>
      </w:r>
      <w:bookmarkEnd w:id="191"/>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2" w:name="ref_tab_comparator_params_main"/>
      <w:r>
        <w:fldChar w:fldCharType="begin"/>
      </w:r>
      <w:r>
        <w:instrText xml:space="preserve"> SEQ Table \* ARABIC </w:instrText>
      </w:r>
      <w:r>
        <w:fldChar w:fldCharType="separate"/>
      </w:r>
      <w:r>
        <w:rPr>
          <w:b/>
        </w:rPr>
        <w:t xml:space="preserve">12</w:t>
      </w:r>
      <w:r>
        <w:fldChar w:fldCharType="end"/>
      </w:r>
      <w:bookmarkEnd w:id="192"/>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3" w:name="ref_sec_alg_complexity"/>
      <w:r>
        <w:t xml:space="preserve">3.8.</w:t>
      </w:r>
      <w:bookmarkEnd w:id="193"/>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4" w:name="ref_sec_experiments"/>
      <w:r>
        <w:t xml:space="preserve">4.</w:t>
      </w:r>
      <w:bookmarkEnd w:id="194"/>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That aggregate rank is a descriptive</w:t>
      </w:r>
      <w:r>
        <w:t xml:space="preserve"> </w:t>
      </w:r>
      <w:r>
        <w:t xml:space="preserve">summary, not evidence of overall superiority: on CEC2017 the Holm-corrected</w:t>
      </w:r>
      <w:r>
        <w:t xml:space="preserve"> </w:t>
      </w:r>
      <w:r>
        <w:t xml:space="preserve">pairwise tests separate DT-GSK from eGSK only at</w:t>
      </w:r>
      <w:r>
        <w:t xml:space="preserve"> </w:t>
      </w:r>
      <m:oMath>
        <m:r>
          <m:t>D</m:t>
        </m:r>
        <m:r>
          <m:rPr>
            <m:sty m:val="p"/>
          </m:rPr>
          <m:t>=</m:t>
        </m:r>
        <m:r>
          <m:t>10</m:t>
        </m:r>
      </m:oMath>
      <w:r>
        <w:t xml:space="preserve">, and the two</w:t>
      </w:r>
      <w:r>
        <w:t xml:space="preserve"> </w:t>
      </w:r>
      <w:r>
        <w:t xml:space="preserve">are never Nemenyi-separable at any dimension of that suite</w:t>
      </w:r>
      <w:r>
        <w:t xml:space="preserve"> </w:t>
      </w:r>
      <w:r>
        <w:t xml:space="preserve">(Section </w:t>
      </w:r>
      <w:r>
        <w:fldChar w:fldCharType="begin"/>
      </w:r>
      <w:r>
        <w:instrText xml:space="preserve"> REF ref_sec_exp_cec2017 \h </w:instrText>
      </w:r>
      <w:r>
        <w:fldChar w:fldCharType="separate"/>
      </w:r>
      <w:r>
        <w:t xml:space="preserve">4.2</w:t>
      </w:r>
      <w:r>
        <w:fldChar w:fldCharType="end"/>
      </w:r>
      <w:r>
        <w:t xml:space="preserve">).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5" w:name="ref_sec_exp_settings"/>
      <w:r>
        <w:t xml:space="preserve">4.1.</w:t>
      </w:r>
      <w:bookmarkEnd w:id="195"/>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6" w:name="ref_tab_protocol"/>
      <w:r>
        <w:fldChar w:fldCharType="begin"/>
      </w:r>
      <w:r>
        <w:instrText xml:space="preserve"> SEQ Table \* ARABIC </w:instrText>
      </w:r>
      <w:r>
        <w:fldChar w:fldCharType="separate"/>
      </w:r>
      <w:r>
        <w:rPr>
          <w:b/>
        </w:rPr>
        <w:t xml:space="preserve">13</w:t>
      </w:r>
      <w:r>
        <w:fldChar w:fldCharType="end"/>
      </w:r>
      <w:bookmarkEnd w:id="196"/>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7" w:name="ref_sec_exp_cec2017"/>
      <w:r>
        <w:t xml:space="preserve">4.2.</w:t>
      </w:r>
      <w:bookmarkEnd w:id="197"/>
      <w:r>
        <w:tab/>
      </w:r>
      <w:r>
        <w:t xml:space="preserve"> Results on the CEC2017 Primary Suite</w:t>
      </w:r>
    </w:p>
    <w:bookmarkStart w:id="58" w:name="lbl_sec_exp_cec2017_desc"/>
    <w:p>
      <w:pPr>
        <w:pStyle w:val="Heading3"/>
      </w:pPr>
      <w:bookmarkStart w:id="198" w:name="ref_sec_exp_cec2017_desc"/>
      <w:r>
        <w:t xml:space="preserve">4.2.1.</w:t>
      </w:r>
      <w:bookmarkEnd w:id="198"/>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9" w:name="ref_sec_exp_cec2017_panel"/>
      <w:r>
        <w:t xml:space="preserve">4.2.2.</w:t>
      </w:r>
      <w:bookmarkEnd w:id="199"/>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200" w:name="ref_tab_friedman_cec2017"/>
      <w:r>
        <w:fldChar w:fldCharType="begin"/>
      </w:r>
      <w:r>
        <w:instrText xml:space="preserve"> SEQ Table \* ARABIC </w:instrText>
      </w:r>
      <w:r>
        <w:fldChar w:fldCharType="separate"/>
      </w:r>
      <w:r>
        <w:rPr>
          <w:b/>
        </w:rPr>
        <w:t xml:space="preserve">14</w:t>
      </w:r>
      <w:r>
        <w:fldChar w:fldCharType="end"/>
      </w:r>
      <w:bookmarkEnd w:id="200"/>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1" w:name="ref_fig_cec2017_ranks"/>
      <w:r>
        <w:fldChar w:fldCharType="begin"/>
      </w:r>
      <w:r>
        <w:instrText xml:space="preserve"> SEQ Figure \* ARABIC </w:instrText>
      </w:r>
      <w:r>
        <w:fldChar w:fldCharType="separate"/>
      </w:r>
      <w:r>
        <w:rPr>
          <w:b/>
        </w:rPr>
        <w:t xml:space="preserve">3</w:t>
      </w:r>
      <w:r>
        <w:fldChar w:fldCharType="end"/>
      </w:r>
      <w:bookmarkEnd w:id="201"/>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2" w:name="ref_sec_exp_stats"/>
      <w:r>
        <w:t xml:space="preserve">4.2.3.</w:t>
      </w:r>
      <w:bookmarkEnd w:id="202"/>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3" w:name="ref_tab_wilcoxon_holm"/>
      <w:r>
        <w:fldChar w:fldCharType="begin"/>
      </w:r>
      <w:r>
        <w:instrText xml:space="preserve"> SEQ Table \* ARABIC </w:instrText>
      </w:r>
      <w:r>
        <w:fldChar w:fldCharType="separate"/>
      </w:r>
      <w:r>
        <w:rPr>
          <w:b/>
        </w:rPr>
        <w:t xml:space="preserve">15</w:t>
      </w:r>
      <w:r>
        <w:fldChar w:fldCharType="end"/>
      </w:r>
      <w:bookmarkEnd w:id="203"/>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4" w:name="ref_fig_cd_cec2017"/>
      <w:r>
        <w:fldChar w:fldCharType="begin"/>
      </w:r>
      <w:r>
        <w:instrText xml:space="preserve"> SEQ Figure \* ARABIC </w:instrText>
      </w:r>
      <w:r>
        <w:fldChar w:fldCharType="separate"/>
      </w:r>
      <w:r>
        <w:rPr>
          <w:b/>
        </w:rPr>
        <w:t xml:space="preserve">4</w:t>
      </w:r>
      <w:r>
        <w:fldChar w:fldCharType="end"/>
      </w:r>
      <w:bookmarkEnd w:id="204"/>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under</w:t>
      </w:r>
      <w:r>
        <w:t xml:space="preserve"> </w:t>
      </w:r>
      <w:r>
        <w:t xml:space="preserve">both of these robustness variants,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5" w:name="ref_sec_exp_cec2011"/>
      <w:r>
        <w:t xml:space="preserve">4.3.</w:t>
      </w:r>
      <w:bookmarkEnd w:id="205"/>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6" w:name="ref_fig_cec2011_ranks"/>
      <w:r>
        <w:fldChar w:fldCharType="begin"/>
      </w:r>
      <w:r>
        <w:instrText xml:space="preserve"> SEQ Figure \* ARABIC </w:instrText>
      </w:r>
      <w:r>
        <w:fldChar w:fldCharType="separate"/>
      </w:r>
      <w:r>
        <w:rPr>
          <w:b/>
        </w:rPr>
        <w:t xml:space="preserve">5</w:t>
      </w:r>
      <w:r>
        <w:fldChar w:fldCharType="end"/>
      </w:r>
      <w:bookmarkEnd w:id="206"/>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7" w:name="ref_sec_exp_cec2013"/>
      <w:r>
        <w:t xml:space="preserve">4.4.</w:t>
      </w:r>
      <w:bookmarkEnd w:id="207"/>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8" w:name="ref_tab_friedman_cec2013"/>
      <w:r>
        <w:fldChar w:fldCharType="begin"/>
      </w:r>
      <w:r>
        <w:instrText xml:space="preserve"> SEQ Table \* ARABIC </w:instrText>
      </w:r>
      <w:r>
        <w:fldChar w:fldCharType="separate"/>
      </w:r>
      <w:r>
        <w:rPr>
          <w:b/>
        </w:rPr>
        <w:t xml:space="preserve">16</w:t>
      </w:r>
      <w:r>
        <w:fldChar w:fldCharType="end"/>
      </w:r>
      <w:bookmarkEnd w:id="208"/>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9" w:name="ref_sec_exp_cec2020"/>
      <w:r>
        <w:t xml:space="preserve">4.5.</w:t>
      </w:r>
      <w:bookmarkEnd w:id="209"/>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10" w:name="ref_tab_cec2020_ranks"/>
      <w:r>
        <w:fldChar w:fldCharType="begin"/>
      </w:r>
      <w:r>
        <w:instrText xml:space="preserve"> SEQ Table \* ARABIC </w:instrText>
      </w:r>
      <w:r>
        <w:fldChar w:fldCharType="separate"/>
      </w:r>
      <w:r>
        <w:rPr>
          <w:b/>
        </w:rPr>
        <w:t xml:space="preserve">17</w:t>
      </w:r>
      <w:r>
        <w:fldChar w:fldCharType="end"/>
      </w:r>
      <w:bookmarkEnd w:id="210"/>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1" w:name="ref_sec_exp_cec2013lsgo"/>
      <w:r>
        <w:t xml:space="preserve">4.6.</w:t>
      </w:r>
      <w:bookmarkEnd w:id="211"/>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2" w:name="ref_tab_lsgo_ranks"/>
      <w:r>
        <w:fldChar w:fldCharType="begin"/>
      </w:r>
      <w:r>
        <w:instrText xml:space="preserve"> SEQ Table \* ARABIC </w:instrText>
      </w:r>
      <w:r>
        <w:fldChar w:fldCharType="separate"/>
      </w:r>
      <w:r>
        <w:rPr>
          <w:b/>
        </w:rPr>
        <w:t xml:space="preserve">18</w:t>
      </w:r>
      <w:r>
        <w:fldChar w:fldCharType="end"/>
      </w:r>
      <w:bookmarkEnd w:id="212"/>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3" w:name="ref_sec_exp_convergence"/>
      <w:r>
        <w:t xml:space="preserve">4.7.</w:t>
      </w:r>
      <w:bookmarkEnd w:id="213"/>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30"/>
      <w:r>
        <w:fldChar w:fldCharType="begin"/>
      </w:r>
      <w:r>
        <w:instrText xml:space="preserve"> SEQ Figure \* ARABIC </w:instrText>
      </w:r>
      <w:r>
        <w:fldChar w:fldCharType="separate"/>
      </w:r>
      <w:r>
        <w:rPr>
          <w:b/>
        </w:rPr>
        <w:t xml:space="preserve">6</w:t>
      </w:r>
      <w:r>
        <w:fldChar w:fldCharType="end"/>
      </w:r>
      <w:bookmarkEnd w:id="214"/>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5" w:name="ref_fig_conv_cec2017_d100"/>
      <w:r>
        <w:fldChar w:fldCharType="begin"/>
      </w:r>
      <w:r>
        <w:instrText xml:space="preserve"> SEQ Figure \* ARABIC </w:instrText>
      </w:r>
      <w:r>
        <w:fldChar w:fldCharType="separate"/>
      </w:r>
      <w:r>
        <w:rPr>
          <w:b/>
        </w:rPr>
        <w:t xml:space="preserve">7</w:t>
      </w:r>
      <w:r>
        <w:fldChar w:fldCharType="end"/>
      </w:r>
      <w:bookmarkEnd w:id="215"/>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6" w:name="ref_sec_exp_runtime"/>
      <w:r>
        <w:t xml:space="preserve">4.8.</w:t>
      </w:r>
      <w:bookmarkEnd w:id="216"/>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and it is not small: enabling the memory costs</w:t>
      </w:r>
      <w:r>
        <w:t xml:space="preserve"> </w:t>
      </w:r>
      <m:oMath>
        <m:r>
          <m:rPr>
            <m:sty m:val="p"/>
          </m:rPr>
          <m:t>+</m:t>
        </m:r>
        <m:r>
          <m:t>57.3</m:t>
        </m:r>
        <m:r>
          <m:rPr>
            <m:sty m:val="p"/>
          </m:rPr>
          <m:t>%</m:t>
        </m:r>
      </m:oMath>
      <w:r>
        <w:t xml:space="preserve"> </w:t>
      </w:r>
      <w:r>
        <w:t xml:space="preserve">wall-clock on CEC2017 at</w:t>
      </w:r>
      <w:r>
        <w:t xml:space="preserve"> </w:t>
      </w:r>
      <m:oMath>
        <m:r>
          <m:t>D</m:t>
        </m:r>
        <m:r>
          <m:rPr>
            <m:sty m:val="p"/>
          </m:rPr>
          <m:t>=</m:t>
        </m:r>
        <m:r>
          <m:t>50</m:t>
        </m:r>
      </m:oMath>
      <w:r>
        <w:t xml:space="preserve">,</w:t>
      </w:r>
      <w:r>
        <w:t xml:space="preserve"> </w:t>
      </w:r>
      <m:oMath>
        <m:r>
          <m:rPr>
            <m:sty m:val="p"/>
          </m:rPr>
          <m:t>+</m:t>
        </m:r>
        <m:r>
          <m:t>36.3</m:t>
        </m:r>
        <m:r>
          <m:rPr>
            <m:sty m:val="p"/>
          </m:rPr>
          <m:t>%</m:t>
        </m:r>
      </m:oMath>
      <w:r>
        <w:t xml:space="preserve"> </w:t>
      </w:r>
      <w:r>
        <w:t xml:space="preserve">at</w:t>
      </w:r>
      <w:r>
        <w:t xml:space="preserve"> </w:t>
      </w:r>
      <m:oMath>
        <m:r>
          <m:t>D</m:t>
        </m:r>
        <m:r>
          <m:rPr>
            <m:sty m:val="p"/>
          </m:rPr>
          <m:t>=</m:t>
        </m:r>
        <m:r>
          <m:t>100</m:t>
        </m:r>
      </m:oMath>
      <w:r>
        <w:t xml:space="preserve">, and</w:t>
      </w:r>
      <w:r>
        <w:t xml:space="preserve"> </w:t>
      </w:r>
      <m:oMath>
        <m:r>
          <m:rPr>
            <m:sty m:val="p"/>
          </m:rPr>
          <m:t>+</m:t>
        </m:r>
        <m:r>
          <m:t>30.3</m:t>
        </m:r>
        <m:r>
          <m:rPr>
            <m:sty m:val="p"/>
          </m:rPr>
          <m:t>%</m:t>
        </m:r>
      </m:oMath>
      <w:r>
        <w:t xml:space="preserve"> </w:t>
      </w:r>
      <w:r>
        <w:t xml:space="preserve">on</w:t>
      </w:r>
      <w:r>
        <w:t xml:space="preserve"> </w:t>
      </w:r>
      <w:r>
        <w:t xml:space="preserve">CEC2013 at</w:t>
      </w:r>
      <w:r>
        <w:t xml:space="preserve"> </w:t>
      </w:r>
      <m:oMath>
        <m:r>
          <m:t>D</m:t>
        </m:r>
        <m:r>
          <m:rPr>
            <m:sty m:val="p"/>
          </m:rPr>
          <m:t>=</m:t>
        </m:r>
        <m:r>
          <m:t>50</m:t>
        </m:r>
      </m:oMath>
      <w:r>
        <w:t xml:space="preserve">, against no detectable standalone accuracy return at the</w:t>
      </w:r>
      <w:r>
        <w:t xml:space="preserve"> </w:t>
      </w:r>
      <w:r>
        <w:t xml:space="preserve">tiers where it is active.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7" w:name="ref_tab_runtime"/>
      <w:r>
        <w:fldChar w:fldCharType="begin"/>
      </w:r>
      <w:r>
        <w:instrText xml:space="preserve"> SEQ Table \* ARABIC </w:instrText>
      </w:r>
      <w:r>
        <w:fldChar w:fldCharType="separate"/>
      </w:r>
      <w:r>
        <w:rPr>
          <w:b/>
        </w:rPr>
        <w:t xml:space="preserve">19</w:t>
      </w:r>
      <w:r>
        <w:fldChar w:fldCharType="end"/>
      </w:r>
      <w:bookmarkEnd w:id="217"/>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8" w:name="ref_sec_exp_discussion"/>
      <w:r>
        <w:t xml:space="preserve">4.9.</w:t>
      </w:r>
      <w:bookmarkEnd w:id="218"/>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The asymmetry was not a controlled variable</w:t>
      </w:r>
      <w:r>
        <w:t xml:space="preserve"> </w:t>
      </w:r>
      <w:r>
        <w:t xml:space="preserve">at submission; it was controlled in revision (Supplementary Materials,</w:t>
      </w:r>
      <w:r>
        <w:t xml:space="preserve"> </w:t>
      </w:r>
      <w:r>
        <w:t xml:space="preserve">Section S9.2), and DT-GSK stays within the top two of the panel at every</w:t>
      </w:r>
      <w:r>
        <w:t xml:space="preserve"> </w:t>
      </w:r>
      <w:r>
        <w:t xml:space="preserve">dimension at the common value, though its</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first places</w:t>
      </w:r>
      <w:r>
        <w:t xml:space="preserve"> </w:t>
      </w:r>
      <w:r>
        <w:t xml:space="preserve">are not reproduced there.</w:t>
      </w:r>
    </w:p>
    <w:p>
      <w:pPr>
        <w:pStyle w:val="BodyText"/>
      </w:pPr>
      <w:r>
        <w:t xml:space="preserve">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the basis isolation added in</w:t>
      </w:r>
      <w:r>
        <w:t xml:space="preserve"> </w:t>
      </w:r>
      <w:r>
        <w:t xml:space="preserve">revision (Supplementary Materials Section S9.1) finds the</w:t>
      </w:r>
      <w:r>
        <w:t xml:space="preserve"> </w:t>
      </w:r>
      <w:r>
        <w:t xml:space="preserve">memory’s learned eigenframe outperformed by the coordinate axes in the polish</w:t>
      </w:r>
      <w:r>
        <w:t xml:space="preserve"> </w:t>
      </w:r>
      <w:r>
        <w:t xml:space="preserve">at</w:t>
      </w:r>
      <w:r>
        <w:t xml:space="preserve"> </w:t>
      </w:r>
      <m:oMath>
        <m:r>
          <m:t>D</m:t>
        </m:r>
        <m:r>
          <m:rPr>
            <m:sty m:val="p"/>
          </m:rPr>
          <m:t>=</m:t>
        </m:r>
        <m:r>
          <m:t>50</m:t>
        </m:r>
      </m:oMath>
      <w:r>
        <w:t xml:space="preserve">.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9" w:name="ref_sec_conclusions"/>
      <w:r>
        <w:t xml:space="preserve">5.</w:t>
      </w:r>
      <w:bookmarkEnd w:id="219"/>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configuration-and-budget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the Holm-corrected pairwise tests separate the two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t>30</m:t>
        </m:r>
        <m:r>
          <m:rPr>
            <m:sty m:val="p"/>
          </m:rPr>
          <m:t>/</m:t>
        </m:r>
        <m:r>
          <m:t>50</m:t>
        </m:r>
        <m:r>
          <m:rPr>
            <m:sty m:val="p"/>
          </m:rPr>
          <m:t>/</m:t>
        </m:r>
        <m:r>
          <m:t>100</m:t>
        </m:r>
      </m:oMath>
      <w:r>
        <w:t xml:space="preserve"> </w:t>
      </w:r>
      <w:r>
        <w:t xml:space="preserve">they do not</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 its head-to-head records</w:t>
      </w:r>
      <w:r>
        <w:t xml:space="preserve"> </w:t>
      </w:r>
      <w:r>
        <w:t xml:space="preserve">against eGSK at</w:t>
      </w:r>
      <w:r>
        <w:t xml:space="preserve"> </w:t>
      </w:r>
      <m:oMath>
        <m:r>
          <m:t>D</m:t>
        </m:r>
        <m:r>
          <m:rPr>
            <m:sty m:val="p"/>
          </m:rPr>
          <m:t>≥</m:t>
        </m:r>
        <m:r>
          <m:t>30</m:t>
        </m:r>
      </m:oMath>
      <w:r>
        <w:t xml:space="preserve"> </w:t>
      </w:r>
      <w:r>
        <w:t xml:space="preserve">are losing ones (11–2–16, 13–0–16,</w:t>
      </w:r>
      <w:r>
        <w:t xml:space="preserve"> </w:t>
      </w:r>
      <w:r>
        <w:t xml:space="preserve">12–0–17), and the two algorithms are never Nemenyi-separable on this suite</w:t>
      </w:r>
      <w:r>
        <w:t xml:space="preserve"> </w:t>
      </w:r>
      <w:r>
        <w:t xml:space="preserve">(all four rank 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The parameter-sensitivity evidence is exploratory and narrow: a one-factor</w:t>
      </w:r>
      <w:r>
        <w:t xml:space="preserve"> </w:t>
      </w:r>
      <w:r>
        <w:t xml:space="preserve">sweep over seven constants at two levels, at</w:t>
      </w:r>
      <w:r>
        <w:t xml:space="preserve"> </w:t>
      </w:r>
      <m:oMath>
        <m:r>
          <m:t>D</m:t>
        </m:r>
        <m:r>
          <m:rPr>
            <m:sty m:val="p"/>
          </m:rPr>
          <m:t>=</m:t>
        </m:r>
        <m:r>
          <m:t>30</m:t>
        </m:r>
      </m:oMath>
      <w:r>
        <w:t xml:space="preserve"> </w:t>
      </w:r>
      <w:r>
        <w:t xml:space="preserve">and</w:t>
      </w:r>
      <w:r>
        <w:t xml:space="preserve"> </w:t>
      </w:r>
      <m:oMath>
        <m:r>
          <m:t>D</m:t>
        </m:r>
        <m:r>
          <m:rPr>
            <m:sty m:val="p"/>
          </m:rPr>
          <m:t>=</m:t>
        </m:r>
        <m:r>
          <m:t>100</m:t>
        </m:r>
      </m:oMath>
      <w:r>
        <w:t xml:space="preserve"> </w:t>
      </w:r>
      <w:r>
        <w:t xml:space="preserve">only, with</w:t>
      </w:r>
      <w:r>
        <w:t xml:space="preserve"> </w:t>
      </w:r>
      <w:r>
        <w:t xml:space="preserve">15 repetitions per cell against the frozen panel’s 51 (Supplementary Materials,</w:t>
      </w:r>
      <w:r>
        <w:t xml:space="preserve"> </w:t>
      </w:r>
      <w:r>
        <w:t xml:space="preserve">Section S9.4). It is descriptive, carries no hypothesis test, and leaves the</w:t>
      </w:r>
      <w:r>
        <w:t xml:space="preserve"> </w:t>
      </w:r>
      <w:r>
        <w:t xml:space="preserve">dimension-tier boundaries themselves unvaried, so their sensitivity is untested.</w:t>
      </w:r>
      <w:r>
        <w:t xml:space="preserve"> </w:t>
      </w:r>
      <w:r>
        <w:t xml:space="preserve">Neither ARGP nor the deep-stall restart is isolated by the remove-one study,</w:t>
      </w:r>
      <w:r>
        <w:t xml:space="preserve"> </w:t>
      </w:r>
      <w:r>
        <w:t xml:space="preserve">which excludes both by pre-specification.</w:t>
      </w:r>
    </w:p>
    <w:p>
      <w:pPr>
        <w:pStyle w:val="BodyText"/>
      </w:pP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The configuration-transplant experiment added in revision locates part of that</w:t>
      </w:r>
      <w:r>
        <w:t xml:space="preserve"> </w:t>
      </w:r>
      <w:r>
        <w:t xml:space="preserve">weakness: at</w:t>
      </w:r>
      <w:r>
        <w:t xml:space="preserve"> </w:t>
      </w:r>
      <m:oMath>
        <m:r>
          <m:t>D</m:t>
        </m:r>
        <m:r>
          <m:rPr>
            <m:sty m:val="p"/>
          </m:rPr>
          <m:t>=</m:t>
        </m:r>
        <m:r>
          <m:t>30</m:t>
        </m:r>
      </m:oMath>
      <w:r>
        <w:t xml:space="preserve"> </w:t>
      </w:r>
      <w:r>
        <w:t xml:space="preserve">the parameter set DT-GSK resolves at</w:t>
      </w:r>
      <w:r>
        <w:t xml:space="preserve"> </w:t>
      </w:r>
      <m:oMath>
        <m:r>
          <m:t>D</m:t>
        </m:r>
        <m:r>
          <m:rPr>
            <m:sty m:val="p"/>
          </m:rPr>
          <m:t>=</m:t>
        </m:r>
        <m:r>
          <m:t>10</m:t>
        </m:r>
      </m:oMath>
      <w:r>
        <w:t xml:space="preserve"> </w:t>
      </w:r>
      <w:r>
        <w:t xml:space="preserve">outperforms the set it ships, on 20 of 29 functions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5.5</m:t>
        </m:r>
        <m:r>
          <m:rPr>
            <m:sty m:val="p"/>
          </m:rPr>
          <m:t>×</m:t>
        </m:r>
        <m:sSup>
          <m:e>
            <m:r>
              <m:t>10</m:t>
            </m:r>
          </m:e>
          <m:sup>
            <m:r>
              <m:rPr>
                <m:sty m:val="p"/>
              </m:rPr>
              <m:t>−</m:t>
            </m:r>
            <m:r>
              <m:t>3</m:t>
            </m:r>
          </m:sup>
        </m:sSup>
      </m:oMath>
      <w:r>
        <w:t xml:space="preserve">; Supplementary Materials,</w:t>
      </w:r>
      <w:r>
        <w:t xml:space="preserve"> </w:t>
      </w:r>
      <w:r>
        <w:t xml:space="preserve">Section S9.3), so the</w:t>
      </w:r>
      <w:r>
        <w:t xml:space="preserve"> </w:t>
      </w:r>
      <m:oMath>
        <m:r>
          <m:t>20</m:t>
        </m:r>
        <m:r>
          <m:rPr>
            <m:sty m:val="p"/>
          </m:rPr>
          <m:t>≤</m:t>
        </m:r>
        <m:r>
          <m:t>D</m:t>
        </m:r>
        <m:r>
          <m:rPr>
            <m:sty m:val="p"/>
          </m:rPr>
          <m:t>&lt;</m:t>
        </m:r>
        <m:r>
          <m:t>50</m:t>
        </m:r>
      </m:oMath>
      <w:r>
        <w:t xml:space="preserve"> </w:t>
      </w:r>
      <w:r>
        <w:t xml:space="preserve">tier is</w:t>
      </w:r>
      <w:r>
        <w:t xml:space="preserve"> </w:t>
      </w:r>
      <w:r>
        <w:t xml:space="preserve">mis-specified rather than the tiering principle being unsupported — the same</w:t>
      </w:r>
      <w:r>
        <w:t xml:space="preserve"> </w:t>
      </w:r>
      <w:r>
        <w:t xml:space="preserve">experiment demonstrates tiering against a high-dimension transplant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Which of the differing configuration keys carries the effect is</w:t>
      </w:r>
      <w:r>
        <w:t xml:space="preserve"> </w:t>
      </w:r>
      <w:r>
        <w:t xml:space="preserve">not resolved here and is left open.</w:t>
      </w:r>
    </w:p>
    <w:p>
      <w:pPr>
        <w:pStyle w:val="BodyText"/>
      </w:pP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w:t>
      </w:r>
    </w:p>
    <w:p>
      <w:pPr>
        <w:pStyle w:val="BodyText"/>
      </w:pPr>
      <w:r>
        <w:t xml:space="preserve">The basis isolation added in revision sharpens this. In the</w:t>
      </w:r>
      <w:r>
        <w:t xml:space="preserve"> </w:t>
      </w:r>
      <w:r>
        <w:t xml:space="preserve">memory’s terminal exploitation channel — the basis the final polish searches</w:t>
      </w:r>
      <w:r>
        <w:t xml:space="preserve"> </w:t>
      </w:r>
      <w:r>
        <w:t xml:space="preserve">along — the learned eigenframe is outperformed by the 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 25 of 29 functions), while the</w:t>
      </w:r>
      <w:r>
        <w:t xml:space="preserve"> </w:t>
      </w:r>
      <w:r>
        <w:t xml:space="preserve">polish itself beats no refinement at both active dimensions (Supplementary</w:t>
      </w:r>
      <w:r>
        <w:t xml:space="preserve"> </w:t>
      </w:r>
      <w:r>
        <w:t xml:space="preserve">Materials, Section S9.1). At that dimension, therefore,</w:t>
      </w:r>
      <w:r>
        <w:t xml:space="preserve"> </w:t>
      </w:r>
      <w:r>
        <w:t xml:space="preserve">exploiting the learned structure did not merely fail to help: it subtracted from</w:t>
      </w:r>
      <w:r>
        <w:t xml:space="preserve"> </w:t>
      </w:r>
      <w:r>
        <w:t xml:space="preserve">a refinement that works without it. Contribution C1 is stated basis-neutrally</w:t>
      </w:r>
      <w:r>
        <w:t xml:space="preserve"> </w:t>
      </w:r>
      <w:r>
        <w:t xml:space="preserve">for this reason.</w:t>
      </w:r>
    </w:p>
    <w:p>
      <w:pPr>
        <w:pStyle w:val="BodyText"/>
      </w:pPr>
      <w:r>
        <w:t xml:space="preserve">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S1–S9,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the pre-registered CEC2020 confirmatory battery, reported with its registered outcome wording (S8); and the four round-one revision experiments — the refinement-basis isolation, the matched-population-size control, the tiered-versus-tier-constant transplant, and the exploratory parameter-sensitivity screen — each pre-registered before it produced a result (S9).</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5"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openly available in the public DT-GSK repository at</w:t>
      </w:r>
      <w:r>
        <w:t xml:space="preserve"> </w:t>
      </w:r>
      <w:hyperlink r:id="rId104">
        <w:r>
          <w:rPr>
            <w:rStyle w:val="Hyperlink"/>
          </w:rPr>
          <w:t xml:space="preserve">https://github.com/MostafaMassoud/DT-GSK</w:t>
        </w:r>
      </w:hyperlink>
      <w:r>
        <w:t xml:space="preserve">; the originally submitted</w:t>
      </w:r>
      <w:r>
        <w:t xml:space="preserve"> </w:t>
      </w:r>
      <w:r>
        <w:t xml:space="preserve">version corresponds to the repository tag v2.13 and this revised version to</w:t>
      </w:r>
      <w:r>
        <w:t xml:space="preserve"> </w:t>
      </w:r>
      <w:r>
        <w:t xml:space="preserve">tag v2.17, and any further materials are</w:t>
      </w:r>
      <w:r>
        <w:t xml:space="preserve"> </w:t>
      </w:r>
      <w:r>
        <w:t xml:space="preserve">available from the corresponding author upon reasonable request. The</w:t>
      </w:r>
      <w:r>
        <w:t xml:space="preserve"> </w:t>
      </w:r>
      <w:r>
        <w:t xml:space="preserve">supplementary materials accompanying the manuscript provide the additional</w:t>
      </w:r>
      <w:r>
        <w:t xml:space="preserve"> </w:t>
      </w:r>
      <w:r>
        <w:t xml:space="preserve">methodological and experimental details needed to evaluate the reported</w:t>
      </w:r>
      <w:r>
        <w:t xml:space="preserve"> </w:t>
      </w:r>
      <w:r>
        <w:t xml:space="preserve">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the four round-one revision experiments are carried by a</w:t>
      </w:r>
      <w:r>
        <w:t xml:space="preserve"> </w:t>
      </w:r>
      <w:r>
        <w:t xml:space="preserve">fourth additive, non-superseding release, rev-rel-2026-08-26-dd42d37eb, which</w:t>
      </w:r>
      <w:r>
        <w:t xml:space="preserve"> </w:t>
      </w:r>
      <w:r>
        <w:t xml:space="preserve">leaves every primary value unchanged;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5"/>
    <w:bookmarkStart w:id="106"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6"/>
    <w:bookmarkStart w:id="107"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Configuration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8"/>
    <w:bookmarkStart w:id="146"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9">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10">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1">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2">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3">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4">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5">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6">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7">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8">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9">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20">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1">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2">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3">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4">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5">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6">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7">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8">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9">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30">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1">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2">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3">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4">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5">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6">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7">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8">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9">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40">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1">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2">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3">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4">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5">
        <w:r>
          <w:rPr>
            <w:rStyle w:val="Hyperlink"/>
          </w:rPr>
          <w:t xml:space="preserve">10.1109/4235.585893</w:t>
        </w:r>
      </w:hyperlink>
      <w:r>
        <w:t xml:space="preserve">.</w:t>
      </w:r>
    </w:p>
    <w:bookmarkEnd w:id="146"/>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6" Target="https://doi.org/10.1007/978-3-031-36622-2_25" TargetMode="External"/><Relationship Type="http://schemas.openxmlformats.org/officeDocument/2006/relationships/hyperlink" Id="rId114" Target="https://doi.org/10.1007/s00202-023-01803-9" TargetMode="External"/><Relationship Type="http://schemas.openxmlformats.org/officeDocument/2006/relationships/hyperlink" Id="rId109" Target="https://doi.org/10.1007/s10462-017-9605-z" TargetMode="External"/><Relationship Type="http://schemas.openxmlformats.org/officeDocument/2006/relationships/hyperlink" Id="rId118" Target="https://doi.org/10.1007/s10462-024-11096-4" TargetMode="External"/><Relationship Type="http://schemas.openxmlformats.org/officeDocument/2006/relationships/hyperlink" Id="rId137" Target="https://doi.org/10.1007/s10589-010-9329-3" TargetMode="External"/><Relationship Type="http://schemas.openxmlformats.org/officeDocument/2006/relationships/hyperlink" Id="rId111" Target="https://doi.org/10.1007/s13042-019-01053-x" TargetMode="External"/><Relationship Type="http://schemas.openxmlformats.org/officeDocument/2006/relationships/hyperlink" Id="rId120" Target="https://doi.org/10.1016/j.asoc.2021.107675" TargetMode="External"/><Relationship Type="http://schemas.openxmlformats.org/officeDocument/2006/relationships/hyperlink" Id="rId119" Target="https://doi.org/10.1016/j.eswa.2024.123958" TargetMode="External"/><Relationship Type="http://schemas.openxmlformats.org/officeDocument/2006/relationships/hyperlink" Id="rId115" Target="https://doi.org/10.1016/j.rico.2025.100542" TargetMode="External"/><Relationship Type="http://schemas.openxmlformats.org/officeDocument/2006/relationships/hyperlink" Id="rId110" Target="https://doi.org/10.1016/j.swevo.2019.04.008" TargetMode="External"/><Relationship Type="http://schemas.openxmlformats.org/officeDocument/2006/relationships/hyperlink" Id="rId136" Target="https://doi.org/10.1023/A:1008202821328" TargetMode="External"/><Relationship Type="http://schemas.openxmlformats.org/officeDocument/2006/relationships/hyperlink" Id="rId132" Target="https://doi.org/10.1023/A:1013689704352" TargetMode="External"/><Relationship Type="http://schemas.openxmlformats.org/officeDocument/2006/relationships/hyperlink" Id="rId140" Target="https://doi.org/10.1080/01621459.1937.10503522" TargetMode="External"/><Relationship Type="http://schemas.openxmlformats.org/officeDocument/2006/relationships/hyperlink" Id="rId134" Target="https://doi.org/10.1093/comjnl/7.4.308" TargetMode="External"/><Relationship Type="http://schemas.openxmlformats.org/officeDocument/2006/relationships/hyperlink" Id="rId145" Target="https://doi.org/10.1109/4235.585893" TargetMode="External"/><Relationship Type="http://schemas.openxmlformats.org/officeDocument/2006/relationships/hyperlink" Id="rId113" Target="https://doi.org/10.1109/ACCESS.2021.3076091" TargetMode="External"/><Relationship Type="http://schemas.openxmlformats.org/officeDocument/2006/relationships/hyperlink" Id="rId127" Target="https://doi.org/10.1109/CEC.2013.6557555" TargetMode="External"/><Relationship Type="http://schemas.openxmlformats.org/officeDocument/2006/relationships/hyperlink" Id="rId144" Target="https://doi.org/10.1109/CEC.2013.6557901" TargetMode="External"/><Relationship Type="http://schemas.openxmlformats.org/officeDocument/2006/relationships/hyperlink" Id="rId117" Target="https://doi.org/10.1109/CEC.2014.6900380" TargetMode="External"/><Relationship Type="http://schemas.openxmlformats.org/officeDocument/2006/relationships/hyperlink" Id="rId143" Target="https://doi.org/10.1109/CEC.2018.8477755" TargetMode="External"/><Relationship Type="http://schemas.openxmlformats.org/officeDocument/2006/relationships/hyperlink" Id="rId112" Target="https://doi.org/10.1109/CEC48606.2020.9185901" TargetMode="External"/><Relationship Type="http://schemas.openxmlformats.org/officeDocument/2006/relationships/hyperlink" Id="rId122" Target="https://doi.org/10.1109/NILES53778.2021.9600551" TargetMode="External"/><Relationship Type="http://schemas.openxmlformats.org/officeDocument/2006/relationships/hyperlink" Id="rId135" Target="https://doi.org/10.1109/TEVC.2009.2014613" TargetMode="External"/><Relationship Type="http://schemas.openxmlformats.org/officeDocument/2006/relationships/hyperlink" Id="rId128" Target="https://doi.org/10.1109/TEVC.2013.2281543" TargetMode="External"/><Relationship Type="http://schemas.openxmlformats.org/officeDocument/2006/relationships/hyperlink" Id="rId130" Target="https://doi.org/10.1109/TEVC.2013.2297160" TargetMode="External"/><Relationship Type="http://schemas.openxmlformats.org/officeDocument/2006/relationships/hyperlink" Id="rId142" Target="https://doi.org/10.1111/j.2517-6161.1995.tb02031.x" TargetMode="External"/><Relationship Type="http://schemas.openxmlformats.org/officeDocument/2006/relationships/hyperlink" Id="rId133" Target="https://doi.org/10.1137/S0036144502428893" TargetMode="External"/><Relationship Type="http://schemas.openxmlformats.org/officeDocument/2006/relationships/hyperlink" Id="rId131" Target="https://doi.org/10.1145/1389095.1389272" TargetMode="External"/><Relationship Type="http://schemas.openxmlformats.org/officeDocument/2006/relationships/hyperlink" Id="rId129" Target="https://doi.org/10.1162/106365601750190398" TargetMode="External"/><Relationship Type="http://schemas.openxmlformats.org/officeDocument/2006/relationships/hyperlink" Id="rId141" Target="https://doi.org/10.1201/9780429246593" TargetMode="External"/><Relationship Type="http://schemas.openxmlformats.org/officeDocument/2006/relationships/hyperlink" Id="rId123" Target="https://doi.org/10.1371/journal.pone.0250951" TargetMode="External"/><Relationship Type="http://schemas.openxmlformats.org/officeDocument/2006/relationships/hyperlink" Id="rId138" Target="https://doi.org/10.2307/3001968" TargetMode="External"/><Relationship Type="http://schemas.openxmlformats.org/officeDocument/2006/relationships/hyperlink" Id="rId139" Target="https://doi.org/10.3102/10769986025002101" TargetMode="External"/><Relationship Type="http://schemas.openxmlformats.org/officeDocument/2006/relationships/hyperlink" Id="rId116" Target="https://doi.org/10.3390/a18070398" TargetMode="External"/><Relationship Type="http://schemas.openxmlformats.org/officeDocument/2006/relationships/hyperlink" Id="rId121" Target="https://doi.org/10.3390/math11132953" TargetMode="External"/><Relationship Type="http://schemas.openxmlformats.org/officeDocument/2006/relationships/hyperlink" Id="rId125" Target="https://doi.org/10.3390/math11143092" TargetMode="External"/><Relationship Type="http://schemas.openxmlformats.org/officeDocument/2006/relationships/hyperlink" Id="rId124" Target="https://doi.org/10.3390/math12050636" TargetMode="External"/><Relationship Type="http://schemas.openxmlformats.org/officeDocument/2006/relationships/hyperlink" Id="rId104" Target="https://github.com/MostafaMassoud/DT-GSK"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6" Target="https://doi.org/10.1007/978-3-031-36622-2_25" TargetMode="External" /><Relationship Type="http://schemas.openxmlformats.org/officeDocument/2006/relationships/hyperlink" Id="rId114" Target="https://doi.org/10.1007/s00202-023-01803-9" TargetMode="External" /><Relationship Type="http://schemas.openxmlformats.org/officeDocument/2006/relationships/hyperlink" Id="rId109" Target="https://doi.org/10.1007/s10462-017-9605-z" TargetMode="External" /><Relationship Type="http://schemas.openxmlformats.org/officeDocument/2006/relationships/hyperlink" Id="rId118" Target="https://doi.org/10.1007/s10462-024-11096-4" TargetMode="External" /><Relationship Type="http://schemas.openxmlformats.org/officeDocument/2006/relationships/hyperlink" Id="rId137" Target="https://doi.org/10.1007/s10589-010-9329-3" TargetMode="External" /><Relationship Type="http://schemas.openxmlformats.org/officeDocument/2006/relationships/hyperlink" Id="rId111" Target="https://doi.org/10.1007/s13042-019-01053-x" TargetMode="External" /><Relationship Type="http://schemas.openxmlformats.org/officeDocument/2006/relationships/hyperlink" Id="rId120" Target="https://doi.org/10.1016/j.asoc.2021.107675" TargetMode="External" /><Relationship Type="http://schemas.openxmlformats.org/officeDocument/2006/relationships/hyperlink" Id="rId119" Target="https://doi.org/10.1016/j.eswa.2024.123958" TargetMode="External" /><Relationship Type="http://schemas.openxmlformats.org/officeDocument/2006/relationships/hyperlink" Id="rId115" Target="https://doi.org/10.1016/j.rico.2025.100542" TargetMode="External" /><Relationship Type="http://schemas.openxmlformats.org/officeDocument/2006/relationships/hyperlink" Id="rId110" Target="https://doi.org/10.1016/j.swevo.2019.04.008" TargetMode="External" /><Relationship Type="http://schemas.openxmlformats.org/officeDocument/2006/relationships/hyperlink" Id="rId136" Target="https://doi.org/10.1023/A:1008202821328" TargetMode="External" /><Relationship Type="http://schemas.openxmlformats.org/officeDocument/2006/relationships/hyperlink" Id="rId132" Target="https://doi.org/10.1023/A:1013689704352" TargetMode="External" /><Relationship Type="http://schemas.openxmlformats.org/officeDocument/2006/relationships/hyperlink" Id="rId140" Target="https://doi.org/10.1080/01621459.1937.10503522" TargetMode="External" /><Relationship Type="http://schemas.openxmlformats.org/officeDocument/2006/relationships/hyperlink" Id="rId134" Target="https://doi.org/10.1093/comjnl/7.4.308" TargetMode="External" /><Relationship Type="http://schemas.openxmlformats.org/officeDocument/2006/relationships/hyperlink" Id="rId145" Target="https://doi.org/10.1109/4235.585893" TargetMode="External" /><Relationship Type="http://schemas.openxmlformats.org/officeDocument/2006/relationships/hyperlink" Id="rId113" Target="https://doi.org/10.1109/ACCESS.2021.3076091" TargetMode="External" /><Relationship Type="http://schemas.openxmlformats.org/officeDocument/2006/relationships/hyperlink" Id="rId127" Target="https://doi.org/10.1109/CEC.2013.6557555" TargetMode="External" /><Relationship Type="http://schemas.openxmlformats.org/officeDocument/2006/relationships/hyperlink" Id="rId144" Target="https://doi.org/10.1109/CEC.2013.6557901" TargetMode="External" /><Relationship Type="http://schemas.openxmlformats.org/officeDocument/2006/relationships/hyperlink" Id="rId117" Target="https://doi.org/10.1109/CEC.2014.6900380" TargetMode="External" /><Relationship Type="http://schemas.openxmlformats.org/officeDocument/2006/relationships/hyperlink" Id="rId143" Target="https://doi.org/10.1109/CEC.2018.8477755" TargetMode="External" /><Relationship Type="http://schemas.openxmlformats.org/officeDocument/2006/relationships/hyperlink" Id="rId112" Target="https://doi.org/10.1109/CEC48606.2020.9185901" TargetMode="External" /><Relationship Type="http://schemas.openxmlformats.org/officeDocument/2006/relationships/hyperlink" Id="rId122" Target="https://doi.org/10.1109/NILES53778.2021.9600551" TargetMode="External" /><Relationship Type="http://schemas.openxmlformats.org/officeDocument/2006/relationships/hyperlink" Id="rId135" Target="https://doi.org/10.1109/TEVC.2009.2014613" TargetMode="External" /><Relationship Type="http://schemas.openxmlformats.org/officeDocument/2006/relationships/hyperlink" Id="rId128" Target="https://doi.org/10.1109/TEVC.2013.2281543" TargetMode="External" /><Relationship Type="http://schemas.openxmlformats.org/officeDocument/2006/relationships/hyperlink" Id="rId130" Target="https://doi.org/10.1109/TEVC.2013.2297160" TargetMode="External" /><Relationship Type="http://schemas.openxmlformats.org/officeDocument/2006/relationships/hyperlink" Id="rId142" Target="https://doi.org/10.1111/j.2517-6161.1995.tb02031.x" TargetMode="External" /><Relationship Type="http://schemas.openxmlformats.org/officeDocument/2006/relationships/hyperlink" Id="rId133" Target="https://doi.org/10.1137/S0036144502428893" TargetMode="External" /><Relationship Type="http://schemas.openxmlformats.org/officeDocument/2006/relationships/hyperlink" Id="rId131" Target="https://doi.org/10.1145/1389095.1389272" TargetMode="External" /><Relationship Type="http://schemas.openxmlformats.org/officeDocument/2006/relationships/hyperlink" Id="rId129" Target="https://doi.org/10.1162/106365601750190398" TargetMode="External" /><Relationship Type="http://schemas.openxmlformats.org/officeDocument/2006/relationships/hyperlink" Id="rId141" Target="https://doi.org/10.1201/9780429246593" TargetMode="External" /><Relationship Type="http://schemas.openxmlformats.org/officeDocument/2006/relationships/hyperlink" Id="rId123" Target="https://doi.org/10.1371/journal.pone.0250951" TargetMode="External" /><Relationship Type="http://schemas.openxmlformats.org/officeDocument/2006/relationships/hyperlink" Id="rId138" Target="https://doi.org/10.2307/3001968" TargetMode="External" /><Relationship Type="http://schemas.openxmlformats.org/officeDocument/2006/relationships/hyperlink" Id="rId139" Target="https://doi.org/10.3102/10769986025002101" TargetMode="External" /><Relationship Type="http://schemas.openxmlformats.org/officeDocument/2006/relationships/hyperlink" Id="rId116" Target="https://doi.org/10.3390/a18070398" TargetMode="External" /><Relationship Type="http://schemas.openxmlformats.org/officeDocument/2006/relationships/hyperlink" Id="rId121" Target="https://doi.org/10.3390/math11132953" TargetMode="External" /><Relationship Type="http://schemas.openxmlformats.org/officeDocument/2006/relationships/hyperlink" Id="rId125" Target="https://doi.org/10.3390/math11143092" TargetMode="External" /><Relationship Type="http://schemas.openxmlformats.org/officeDocument/2006/relationships/hyperlink" Id="rId124" Target="https://doi.org/10.3390/math12050636" TargetMode="External" /><Relationship Type="http://schemas.openxmlformats.org/officeDocument/2006/relationships/hyperlink" Id="rId104" Target="https://github.com/MostafaMassoud/DT-G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Configuration Selection and Deterministic Refinement for Gaining-Sharing Knowledge Optimization</dc:title>
  <dc:creator>Mostafa Elsayed Masoud; Heba Sayed Mohamed Roshdy; Ali Wagdy Mohamed</dc:creator>
  <cp:keywords>metaheuristic optimization; gaining-sharing knowledge; dimension-tiered adaptive configuration selection; deterministic final refinement; adaptive operator selection;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configuration selection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to a single operating point. Dimension-Tiered GSK (DT-GSK) resolves control by dimension: an adaptive scaffold serves every tier, a deterministic, budget-exact final refinement runs once at D \geq 50, with the GSK vector-update equations retained; an exploratory interaction-structure memory, learned from accepted moves, supplies its basis. Against six GSK-family baselines re-executed on five CEC suites under one budget-fair paired protocol, DT-GSK attains the best descriptive family-rank aggregate on CEC2017 (2.48) and CEC2013 (2.80), though the Holm-corrected tests separate it from eGSK only at CEC2017’s D = 10; it is second behind eGSK at D = 30 and on CEC2011 (a Holm-significant loss).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Direct isolations find no standalone benefit from that memory; its basis is outperformed by coordinate axes—controlled negative results. All findings are scoped to the GSK-family panel.</vt:lpwstr>
  </property>
  <property fmtid="{D5CDD505-2E9C-101B-9397-08002B2CF9AE}" pid="3" name="date">
    <vt:lpwstr/>
  </property>
</Properties>
</file>