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w:t>
      </w:r>
      <w:r>
        <w:t xml:space="preserve"> </w:t>
      </w:r>
      <m:oMath>
        <m:sSup>
          <m:e>
            <m:r>
              <m:t>​</m:t>
            </m:r>
          </m:e>
          <m:sup>
            <m:r>
              <m:t>1</m:t>
            </m:r>
            <m:r>
              <m:rPr>
                <m:sty m:val="p"/>
              </m:rPr>
              <m:t>,</m:t>
            </m:r>
            <m:r>
              <m:rPr>
                <m:sty m:val="p"/>
              </m:rPr>
              <m:t>*</m:t>
            </m:r>
          </m:sup>
        </m:sSup>
      </m:oMath>
      <w:r>
        <w:t xml:space="preserve">, Heba Sayed Mohamed Roshdy</w:t>
      </w:r>
      <w:r>
        <w:t xml:space="preserve"> </w:t>
      </w:r>
      <m:oMath>
        <m:sSup>
          <m:e>
            <m:r>
              <m:t>​</m:t>
            </m:r>
          </m:e>
          <m:sup>
            <m:r>
              <m:t>1</m:t>
            </m:r>
          </m:sup>
        </m:sSup>
      </m:oMath>
      <w:r>
        <w:t xml:space="preserve"> </w:t>
      </w:r>
      <w:r>
        <w:t xml:space="preserve">and Ali Wagdy Mohamed</w:t>
      </w:r>
      <w:r>
        <w:t xml:space="preserve"> </w:t>
      </w:r>
      <m:oMath>
        <m:sSup>
          <m:e>
            <m:r>
              <m:t>​</m:t>
            </m:r>
          </m:e>
          <m:sup>
            <m:r>
              <m:t>1</m:t>
            </m:r>
          </m:sup>
        </m:sSup>
      </m:oMath>
    </w:p>
    <w:p>
      <w:pPr>
        <w:pStyle w:val="BodyText"/>
      </w:pPr>
      <m:oMath>
        <m:sSup>
          <m:e>
            <m:r>
              <m:t>​</m:t>
            </m:r>
          </m:e>
          <m:sup>
            <m:r>
              <m:t>1</m:t>
            </m:r>
          </m:sup>
        </m:sSup>
      </m:oMath>
      <w:r>
        <w:t xml:space="preserve"> </w:t>
      </w:r>
      <w:r>
        <w:t xml:space="preserve">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accepted moves at no extra</w:t>
      </w:r>
      <w:r>
        <w:t xml:space="preserve"> </w:t>
      </w:r>
      <w:r>
        <w:t xml:space="preserve">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sSub>
          <m:e>
            <m:r>
              <m:t>K</m:t>
            </m:r>
          </m:e>
          <m:sub>
            <m:r>
              <m:t>F</m:t>
            </m:r>
          </m:sub>
        </m:sSub>
        <m:r>
          <m:rPr>
            <m:sty m:val="p"/>
          </m:rPr>
          <m:t>,</m:t>
        </m:r>
        <m:sSub>
          <m:e>
            <m:r>
              <m:t>K</m:t>
            </m:r>
          </m:e>
          <m:sub>
            <m:r>
              <m:t>R</m:t>
            </m:r>
          </m:sub>
        </m:sSub>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evaluation framework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each coordinate joins the junior phase independently with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independently with probability</w:t>
      </w:r>
      <w:r>
        <w:t xml:space="preserve"> </w:t>
      </w:r>
      <m:oMath>
        <m:sSub>
          <m:e>
            <m:r>
              <m:t>p</m:t>
            </m:r>
          </m:e>
          <m:sub>
            <m:r>
              <m:rPr>
                <m:nor/>
                <m:sty m:val="p"/>
              </m:rPr>
              <m:t>jun</m:t>
            </m:r>
          </m:sub>
        </m:sSub>
      </m:oMath>
      <w:r>
        <w:t xml:space="preserve"> </w:t>
      </w:r>
      <w:r>
        <w:t xml:space="preserve">(a Bernoulli assignment),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r>
              <m:t>M</m:t>
            </m:r>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and greedy-selection ties are modified (rows 3, 5;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acts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published defaults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as specified in their source</w:t>
      </w:r>
      <w:r>
        <w:t xml:space="preserve"> </w:t>
      </w:r>
      <w:r>
        <w:t xml:space="preserve">papers,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its</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by the ACE selector</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t xml:space="preserve"> Repair the out-of-bound coordinates</w:t>
      </w:r>
    </w:p>
    <w:p>
      <w:pPr>
        <w:pStyle w:val="AlgorithmLine"/>
      </w:pPr>
      <w:r>
        <w:t xml:space="preserve">14: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15: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16: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17:     </w:t>
      </w:r>
      <w:r>
        <w:t xml:space="preserve"> Update the ACE credit and prune stalled arms (ARGP)</w:t>
      </w:r>
    </w:p>
    <w:p>
      <w:pPr>
        <w:pStyle w:val="AlgorithmLine"/>
      </w:pPr>
      <w:r>
        <w:t xml:space="preserve">18: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19:     </w:t>
      </w:r>
      <w:r>
        <w:t xml:space="preserve">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20: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21:     </w:t>
      </w:r>
      <w:r>
        <w:t xml:space="preserve"> Update the global best</w:t>
      </w:r>
      <w:r>
        <w:t xml:space="preserve"> </w:t>
      </w:r>
      <m:oMath>
        <m:sSup>
          <m:e>
            <m:r>
              <m:t>x</m:t>
            </m:r>
          </m:e>
          <m:sup>
            <m:r>
              <m:t>g</m:t>
            </m:r>
            <m:r>
              <m:t>b</m:t>
            </m:r>
          </m:sup>
        </m:sSup>
      </m:oMath>
    </w:p>
    <w:p>
      <w:pPr>
        <w:pStyle w:val="AlgorithmLine"/>
      </w:pPr>
      <w:r>
        <w:t xml:space="preserve">22: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23: </w:t>
      </w:r>
      <w:r>
        <w:rPr>
          <w:b/>
          <w:bCs/>
        </w:rPr>
        <w:t xml:space="preserve">end while</w:t>
      </w:r>
    </w:p>
    <w:p>
      <w:pPr>
        <w:pStyle w:val="AlgorithmLine"/>
      </w:pPr>
      <w:r>
        <w:t xml:space="preserve">24: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(archive-reseed) fraction (</w:t>
            </w:r>
            <m:oMath>
              <m:r>
                <m:t>0.30</m:t>
              </m:r>
            </m:oMath>
            <w:r>
              <w:t xml:space="preserve"> </w:t>
            </w:r>
            <w:r>
              <w:t xml:space="preserve">low-</w:t>
            </w:r>
            <m:oMath>
              <m:r>
                <m:t>D</m:t>
              </m:r>
            </m:oMath>
            <w:r>
              <w:t xml:space="preserve">,</w:t>
            </w:r>
            <w:r>
              <w:t xml:space="preserve"> </w:t>
            </w:r>
            <m:oMath>
              <m:r>
                <m:t>0.10</m:t>
              </m:r>
            </m:oMath>
            <w:r>
              <w:t xml:space="preserve"> </w:t>
            </w:r>
            <w:r>
              <w:t xml:space="preserve">otherwise;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p</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self-weight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 (edge density</w:t>
            </w:r>
            <w:r>
              <w:t xml:space="preserve"> </w:t>
            </w:r>
            <m:oMath>
              <m:r>
                <m:rPr>
                  <m:sty m:val="p"/>
                </m:rPr>
                <m:t>×</m:t>
              </m:r>
            </m:oMath>
            <w:r>
              <w:t xml:space="preserve"> </w:t>
            </w:r>
            <w:r>
              <w:t xml:space="preserve">magnitude</w:t>
            </w:r>
            <w:r>
              <w:t xml:space="preserve"> </w:t>
            </w:r>
            <m:oMath>
              <m:r>
                <m:rPr>
                  <m:sty m:val="p"/>
                </m:rPr>
                <m:t>×</m:t>
              </m:r>
            </m:oMath>
            <w:r>
              <w:t xml:space="preserve"> </w:t>
            </w:r>
            <w:r>
              <w:t xml:space="preserve">support</w:t>
            </w:r>
            <w:r>
              <w:t xml:space="preserve"> </w:t>
            </w:r>
            <m:oMath>
              <m:r>
                <m:rPr>
                  <m:sty m:val="p"/>
                </m:rPr>
                <m:t>×</m:t>
              </m:r>
            </m:oMath>
            <w:r>
              <w:t xml:space="preserve"> </w:t>
            </w:r>
            <w:r>
              <w:t xml:space="preserve">stability;</w:t>
            </w:r>
            <w:r>
              <w:t xml:space="preserve"> </w:t>
            </w:r>
            <m:oMath>
              <m:r>
                <m:t>κ</m:t>
              </m:r>
              <m:r>
                <m:rPr>
                  <m:sty m:val="p"/>
                </m:rPr>
                <m:t>(</m:t>
              </m:r>
              <m:r>
                <m:rPr>
                  <m:sty m:val="p"/>
                </m:rPr>
                <m:t>⋅</m:t>
              </m:r>
              <m:r>
                <m:rPr>
                  <m:sty m:val="p"/>
                </m:rPr>
                <m:t>)</m:t>
              </m:r>
            </m:oMath>
            <w:r>
              <w:t xml:space="preserv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objective evaluations, of order</w:t>
      </w:r>
      <w:r>
        <w:t xml:space="preserve"> </w:t>
      </w:r>
      <m:oMath>
        <m:r>
          <m:t>O</m:t>
        </m:r>
        <m:r>
          <m:rPr>
            <m:sty m:val="p"/>
          </m:rPr>
          <m:t>(</m:t>
        </m:r>
        <m:sSup>
          <m:e>
            <m:r>
              <m:t>n</m:t>
            </m:r>
          </m:e>
          <m:sup>
            <m:r>
              <m:t>2</m:t>
            </m:r>
          </m:sup>
        </m:sSup>
        <m:r>
          <m:rPr>
            <m:sty m:val="p"/>
          </m:rPr>
          <m:t>/</m:t>
        </m:r>
        <m:r>
          <m:t>m</m:t>
        </m:r>
        <m:r>
          <m:rPr>
            <m:sty m:val="p"/>
          </m:rPr>
          <m:t>)</m:t>
        </m:r>
      </m:oMath>
      <w:r>
        <w:t xml:space="preserve">, on pairwise</w:t>
      </w:r>
      <w:r>
        <w:t xml:space="preserve"> </w:t>
      </w:r>
      <w:r>
        <w:t xml:space="preserve">probing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rebuilt every 5</w:t>
      </w:r>
      <w:r>
        <w:t xml:space="preserve"> </w:t>
      </w:r>
      <w:r>
        <w:t xml:space="preserve">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w:t>
      </w:r>
      <w:r>
        <w:t xml:space="preserve"> </w:t>
      </w:r>
      <w:r>
        <w:t xml:space="preserve">dimension tier,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 </w:t>
      </w:r>
      <w:r>
        <w:t xml:space="preserve">are shown. No tuning is required or permitted at run time. Hash-frozen in</w:t>
      </w:r>
      <w:r>
        <w:t xml:space="preserve"> </w:t>
      </w:r>
      <w:r>
        <w:t xml:space="preserve">algorithm_freeze_manifest.json.</w:t>
      </w:r>
    </w:p>
    <w:tbl>
      <w:tblPr>
        <w:tblStyle w:val="Table"/>
        <w:tblW w:type="auto" w:w="0"/>
        <w:tblLook w:firstRow="1" w:lastRow="0" w:firstColumn="0" w:lastColumn="0" w:noHBand="0" w:noVBand="0" w:val="0020"/>
        <w:tblCaption w:val="Frozen run parameters of the shipped configuration (core). Where a value varies by dimension tier, the four tiers D&lt;20 / 20–49 / 50–99 / ≥100 are shown. No tuning is required or permitted at run time. Hash-frozen in algorithm_freeze_manifest.json."/>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(reserved; from problem/options)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m:oMath>
              <m:sSup>
                <m:e>
                  <m:r>
                    <m:t>10</m:t>
                  </m:r>
                </m:e>
                <m:sup>
                  <m:r>
                    <m:t>4</m:t>
                  </m:r>
                </m:sup>
              </m:sSup>
              <m:r>
                <m:t>D</m:t>
              </m:r>
            </m:oMath>
          </w:p>
        </w:tc>
        <w:tc>
          <w:tcPr/>
          <w:p>
            <w:pPr>
              <w:pStyle w:val="Compact"/>
            </w:pP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np_init_mult=5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r>
              <w:t xml:space="preserve">)</w:t>
            </w:r>
          </w:p>
        </w:tc>
        <w:tc>
          <w:tcPr/>
          <w:p>
            <w:pPr>
              <w:pStyle w:val="Compact"/>
            </w:pPr>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w:t>
            </w:r>
            <w:r>
              <w:t xml:space="preserve">(12 bare)</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published reference constants, and eGSK</w:t>
      </w:r>
      <w:r>
        <w:t xml:space="preserve"> </w:t>
      </w:r>
      <w:r>
        <w:t xml:space="preserve">is the Python port in which the SciPy SLSQP solver substitutes the</w:t>
      </w:r>
      <w:r>
        <w:t xml:space="preserve"> </w:t>
      </w:r>
      <w:r>
        <w:t xml:space="preserve">published MATLAB fmincon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 published</w:t>
            </w:r>
            <w:r>
              <w:t xml:space="preserve"> </w:t>
            </w:r>
            <w:r>
              <w:t xml:space="preserve">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“published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complete frozen</w:t>
      </w:r>
      <w:r>
        <w:t xml:space="preserve"> </w:t>
      </w:r>
      <w:r>
        <w:t xml:space="preserve">configuration is already given in Table </w:t>
      </w:r>
      <w:r>
        <w:fldChar w:fldCharType="begin"/>
      </w:r>
      <w:r>
        <w:instrText xml:space="preserve"> REF ref_tab_parameters \h </w:instrText>
      </w:r>
      <w:r>
        <w:fldChar w:fldCharType="separate"/>
      </w:r>
      <w:r>
        <w:t xml:space="preserve">10</w:t>
      </w:r>
      <w:r>
        <w:fldChar w:fldCharType="end"/>
      </w:r>
      <w:r>
        <w:t xml:space="preserve">;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reference implementation uses a fmincon-based SQP</w:t>
      </w:r>
      <w:r>
        <w:t xml:space="preserve"> </w:t>
      </w:r>
      <w:r>
        <w:t xml:space="preserve">solver </w:t>
      </w:r>
      <w:r>
        <w:fldChar w:fldCharType="begin"/>
      </w:r>
      <w:r>
        <w:instrText xml:space="preserve"> CITATION jawad2024egsk \l 1033 </w:instrText>
      </w:r>
      <w:r>
        <w:fldChar w:fldCharType="separate"/>
      </w:r>
      <w:r>
        <w:t xml:space="preserve">[9]</w:t>
      </w:r>
      <w:r>
        <w:fldChar w:fldCharType="end"/>
      </w:r>
      <w:r>
        <w:t xml:space="preserve">.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suite’s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their original</w:t>
      </w:r>
      <w:r>
        <w:t xml:space="preserve"> </w:t>
      </w:r>
      <w:r>
        <w:t xml:space="preserve">publications,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contributed to the design, execution, or analysis</w:t>
      </w:r>
      <w:r>
        <w:t xml:space="preserve"> </w:t>
      </w:r>
      <w:r>
        <w:t xml:space="preserve">of the experiments or to any reported number; a large language model was</w:t>
      </w:r>
      <w:r>
        <w:t xml:space="preserve"> </w:t>
      </w:r>
      <w:r>
        <w:t xml:space="preserve">used for language editing, the drafting of descriptive prose, and</w:t>
      </w:r>
      <w:r>
        <w:t xml:space="preserve"> </w:t>
      </w:r>
      <w:r>
        <w:t xml:space="preserve">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function</w:t>
      </w:r>
      <w:r>
        <w:t xml:space="preserve"> </w:t>
      </w:r>
      <m:oMath>
        <m:r>
          <m:rPr>
            <m:sty m:val="p"/>
          </m:rPr>
          <m:t>×</m:t>
        </m:r>
      </m:oMath>
      <w:r>
        <w:t xml:space="preserve"> </w:t>
      </w:r>
      <w:r>
        <w:t xml:space="preserve">dimension convergence sets for CEC2017,</w:t>
      </w:r>
      <w:r>
        <w:t xml:space="preserve"> </w:t>
      </w:r>
      <w:r>
        <w:t xml:space="preserve">CEC2011 and CEC2013 are 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 at</w:t>
      </w:r>
      <w:r>
        <w:t xml:space="preserve"> </w:t>
      </w:r>
      <m:oMath>
        <m:r>
          <m:t>D</m:t>
        </m:r>
        <m:r>
          <m:rPr>
            <m:sty m:val="p"/>
          </m:rPr>
          <m:t>=</m:t>
        </m:r>
        <m:r>
          <m:t>100</m:t>
        </m:r>
      </m:oMath>
      <w:r>
        <w:t xml:space="preserve"> </w:t>
      </w:r>
      <w:r>
        <w:t xml:space="preserve">— which is a design choice inherited from each algorithm’s own</w:t>
      </w:r>
      <w:r>
        <w:t xml:space="preserve"> </w:t>
      </w:r>
      <w:r>
        <w:t xml:space="preserve">published defaults rather than a controlled 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before either suite was seen, so they were not consulted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moves the run has already</w:t>
      </w:r>
      <w:r>
        <w:t xml:space="preserve"> </w:t>
      </w:r>
      <w:r>
        <w:t xml:space="preserve">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published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of this manuscript (2026), the authors used a large</w:t>
      </w:r>
      <w:r>
        <w:t xml:space="preserve"> </w:t>
      </w:r>
      <w:r>
        <w:t xml:space="preserve">language model (Claude Opus 4.6, 4.8 and 5.0, Anthropic) to assist with language</w:t>
      </w:r>
      <w:r>
        <w:t xml:space="preserve"> </w:t>
      </w:r>
      <w:r>
        <w:t xml:space="preserve">editing, rephrasing, the drafting of descriptive and expository prose</w:t>
      </w:r>
      <w:r>
        <w:t xml:space="preserve"> </w:t>
      </w:r>
      <w:r>
        <w:t xml:space="preserve">(for example, background and explanatory passages), and software-engineering</w:t>
      </w:r>
      <w:r>
        <w:t xml:space="preserve"> </w:t>
      </w:r>
      <w:r>
        <w:t xml:space="preserve">support during implementation and tooling work. The algorithm design and the</w:t>
      </w:r>
      <w:r>
        <w:t xml:space="preserve"> </w:t>
      </w:r>
      <w:r>
        <w:t xml:space="preserve">experimental protocol are the authors’ own, and every reported number was</w:t>
      </w:r>
      <w:r>
        <w:t xml:space="preserve"> </w:t>
      </w:r>
      <w:r>
        <w:t xml:space="preserve">produced by the authors’ deterministic analysis pipeline from a version-locked</w:t>
      </w:r>
      <w:r>
        <w:t xml:space="preserve"> </w:t>
      </w:r>
      <w:r>
        <w:t xml:space="preserve">evidence archive: the AI system designed no experiments, produced no data,</w:t>
      </w:r>
      <w:r>
        <w:t xml:space="preserve"> </w:t>
      </w:r>
      <w:r>
        <w:t xml:space="preserve">computed no statistics, and generated no scientific claim, result, or</w:t>
      </w:r>
      <w:r>
        <w:t xml:space="preserve"> </w:t>
      </w:r>
      <w:r>
        <w:t xml:space="preserve">conclusion, and no AI system is an author of this work. The authors have</w:t>
      </w:r>
      <w:r>
        <w:t xml:space="preserve"> </w:t>
      </w:r>
      <w:r>
        <w:t xml:space="preserve">critically reviewed, verified, and edited all AI-assisted text and code, and</w:t>
      </w:r>
      <w:r>
        <w:t xml:space="preserve"> </w:t>
      </w:r>
      <w:r>
        <w:t xml:space="preserve">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of this manuscript, the authors</w:t>
      </w:r>
      <w:r>
        <w:t xml:space="preserve"> </w:t>
      </w:r>
      <w:r>
        <w:t xml:space="preserve">used Claude Opus 4.6, 4.8 and 5.0 (Anthropic) for language editing, for drafting</w:t>
      </w:r>
      <w:r>
        <w:t xml:space="preserve"> </w:t>
      </w:r>
      <w:r>
        <w:t xml:space="preserve">descriptive text,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analysis,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published configuration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