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accepted moves at no extra</w:t>
      </w:r>
      <w:r>
        <w:t xml:space="preserve"> </w:t>
      </w:r>
      <w:r>
        <w:t xml:space="preserve">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evaluation framework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each coordinate joins the junior phase independently with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independently with probability</w:t>
      </w:r>
      <w:r>
        <w:t xml:space="preserve"> </w:t>
      </w:r>
      <m:oMath>
        <m:sSub>
          <m:e>
            <m:r>
              <m:t>p</m:t>
            </m:r>
          </m:e>
          <m:sub>
            <m:r>
              <m:rPr>
                <m:nor/>
                <m:sty m:val="p"/>
              </m:rPr>
              <m:t>jun</m:t>
            </m:r>
          </m:sub>
        </m:sSub>
      </m:oMath>
      <w:r>
        <w:t xml:space="preserve"> </w:t>
      </w:r>
      <w:r>
        <w:t xml:space="preserve">(a Bernoulli assignment),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r>
              <m:t>M</m:t>
            </m:r>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r>
          <m:t>M</m:t>
        </m:r>
        <m:r>
          <m:rPr>
            <m:sty m:val="p"/>
          </m:rPr>
          <m:t>=</m:t>
        </m:r>
        <m:r>
          <m:t>2</m:t>
        </m:r>
        <m:r>
          <m:t> </m:t>
        </m:r>
        <m:r>
          <m:t>147</m:t>
        </m:r>
        <m:r>
          <m:t> </m:t>
        </m:r>
        <m:r>
          <m:t>483</m:t>
        </m:r>
        <m:r>
          <m:t> </m:t>
        </m:r>
        <m:r>
          <m:t>646</m:t>
        </m:r>
      </m:oMath>
      <w:r>
        <w:t xml:space="preserve"> </w:t>
      </w:r>
      <w:r>
        <w:t xml:space="preserve">is the child-seed modulus (Supplementary</w:t>
      </w:r>
      <w:r>
        <w:t xml:space="preserve"> </w:t>
      </w:r>
      <w:r>
        <w:t xml:space="preserve">Material, Section S5); it is unrelated to the ACE arm count</w:t>
      </w:r>
      <w:r>
        <w:t xml:space="preserve"> </w:t>
      </w:r>
      <m:oMath>
        <m:r>
          <m:t>m</m:t>
        </m:r>
      </m:oMath>
      <w:r>
        <w:t xml:space="preserve">.</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its</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by the ACE selector</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t xml:space="preserve"> Repair the out-of-bound coordinates</w:t>
      </w:r>
    </w:p>
    <w:p>
      <w:pPr>
        <w:pStyle w:val="AlgorithmLine"/>
      </w:pPr>
      <w:r>
        <w:t xml:space="preserve">14: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15: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16: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17:     </w:t>
      </w:r>
      <w:r>
        <w:t xml:space="preserve"> Update the ACE credit and prune stalled arms (ARGP)</w:t>
      </w:r>
    </w:p>
    <w:p>
      <w:pPr>
        <w:pStyle w:val="AlgorithmLine"/>
      </w:pPr>
      <w:r>
        <w:t xml:space="preserve">18: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19:     </w:t>
      </w:r>
      <w:r>
        <w:t xml:space="preserve">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20: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21:     </w:t>
      </w:r>
      <w:r>
        <w:t xml:space="preserve"> Update the global best</w:t>
      </w:r>
      <w:r>
        <w:t xml:space="preserve"> </w:t>
      </w:r>
      <m:oMath>
        <m:sSup>
          <m:e>
            <m:r>
              <m:t>x</m:t>
            </m:r>
          </m:e>
          <m:sup>
            <m:r>
              <m:t>g</m:t>
            </m:r>
            <m:r>
              <m:t>b</m:t>
            </m:r>
          </m:sup>
        </m:sSup>
      </m:oMath>
    </w:p>
    <w:p>
      <w:pPr>
        <w:pStyle w:val="AlgorithmLine"/>
      </w:pPr>
      <w:r>
        <w:t xml:space="preserve">22: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23: </w:t>
      </w:r>
      <w:r>
        <w:rPr>
          <w:b/>
          <w:bCs/>
        </w:rPr>
        <w:t xml:space="preserve">end while</w:t>
      </w:r>
    </w:p>
    <w:p>
      <w:pPr>
        <w:pStyle w:val="AlgorithmLine"/>
      </w:pPr>
      <w:r>
        <w:t xml:space="preserve">24: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(archive-reseed) fraction (</w:t>
            </w:r>
            <m:oMath>
              <m:r>
                <m:t>0.30</m:t>
              </m:r>
            </m:oMath>
            <w:r>
              <w:t xml:space="preserve"> </w:t>
            </w:r>
            <w:r>
              <w:t xml:space="preserve">low-</w:t>
            </w:r>
            <m:oMath>
              <m:r>
                <m:t>D</m:t>
              </m:r>
            </m:oMath>
            <w:r>
              <w:t xml:space="preserve">,</w:t>
            </w:r>
            <w:r>
              <w:t xml:space="preserve"> </w:t>
            </w:r>
            <m:oMath>
              <m:r>
                <m:t>0.10</m:t>
              </m:r>
            </m:oMath>
            <w:r>
              <w:t xml:space="preserve"> </w:t>
            </w:r>
            <w:r>
              <w:t xml:space="preserve">otherwise;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self-weight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 (edge density</w:t>
            </w:r>
            <w:r>
              <w:t xml:space="preserve"> </w:t>
            </w:r>
            <m:oMath>
              <m:r>
                <m:rPr>
                  <m:sty m:val="p"/>
                </m:rPr>
                <m:t>×</m:t>
              </m:r>
            </m:oMath>
            <w:r>
              <w:t xml:space="preserve"> </w:t>
            </w:r>
            <w:r>
              <w:t xml:space="preserve">magnitude</w:t>
            </w:r>
            <w:r>
              <w:t xml:space="preserve"> </w:t>
            </w:r>
            <m:oMath>
              <m:r>
                <m:rPr>
                  <m:sty m:val="p"/>
                </m:rPr>
                <m:t>×</m:t>
              </m:r>
            </m:oMath>
            <w:r>
              <w:t xml:space="preserve"> </w:t>
            </w:r>
            <w:r>
              <w:t xml:space="preserve">support</w:t>
            </w:r>
            <w:r>
              <w:t xml:space="preserve"> </w:t>
            </w:r>
            <m:oMath>
              <m:r>
                <m:rPr>
                  <m:sty m:val="p"/>
                </m:rPr>
                <m:t>×</m:t>
              </m:r>
            </m:oMath>
            <w:r>
              <w:t xml:space="preserve"> </w:t>
            </w:r>
            <w:r>
              <w:t xml:space="preserve">stability;</w:t>
            </w:r>
            <w:r>
              <w:t xml:space="preserve"> </w:t>
            </w:r>
            <m:oMath>
              <m:r>
                <m:t>κ</m:t>
              </m:r>
              <m:r>
                <m:rPr>
                  <m:sty m:val="p"/>
                </m:rPr>
                <m:t>(</m:t>
              </m:r>
              <m:r>
                <m:rPr>
                  <m:sty m:val="p"/>
                </m:rPr>
                <m:t>⋅</m:t>
              </m:r>
              <m:r>
                <m:rPr>
                  <m:sty m:val="p"/>
                </m:rPr>
                <m:t>)</m:t>
              </m:r>
            </m:oMath>
            <w:r>
              <w:t xml:space="preserv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objective evaluations, of order</w:t>
      </w:r>
      <w:r>
        <w:t xml:space="preserve"> </w:t>
      </w:r>
      <m:oMath>
        <m:r>
          <m:t>O</m:t>
        </m:r>
        <m:r>
          <m:rPr>
            <m:sty m:val="p"/>
          </m:rPr>
          <m:t>(</m:t>
        </m:r>
        <m:sSup>
          <m:e>
            <m:r>
              <m:t>n</m:t>
            </m:r>
          </m:e>
          <m:sup>
            <m:r>
              <m:t>2</m:t>
            </m:r>
          </m:sup>
        </m:sSup>
        <m:r>
          <m:rPr>
            <m:sty m:val="p"/>
          </m:rPr>
          <m:t>/</m:t>
        </m:r>
        <m:r>
          <m:t>m</m:t>
        </m:r>
        <m:r>
          <m:rPr>
            <m:sty m:val="p"/>
          </m:rPr>
          <m:t>)</m:t>
        </m:r>
      </m:oMath>
      <w:r>
        <w:t xml:space="preserve">, on pairwise</w:t>
      </w:r>
      <w:r>
        <w:t xml:space="preserve"> </w:t>
      </w:r>
      <w:r>
        <w:t xml:space="preserve">probing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rebuilt every 5</w:t>
      </w:r>
      <w:r>
        <w:t xml:space="preserve"> </w:t>
      </w:r>
      <w:r>
        <w:t xml:space="preserve">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tuning is required or permitted at run time.</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tuning is required or permitted at run time."/>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r>
              <w:t xml:space="preserve">)</w:t>
            </w:r>
          </w:p>
        </w:tc>
        <w:tc>
          <w:tcPr/>
          <w:p>
            <w:pPr>
              <w:pStyle w:val="Compact"/>
            </w:pPr>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published reference constants, and eGSK</w:t>
      </w:r>
      <w:r>
        <w:t xml:space="preserve"> </w:t>
      </w:r>
      <w:r>
        <w:t xml:space="preserve">is the Python port in which the SciPy SLSQP solver substitutes the</w:t>
      </w:r>
      <w:r>
        <w:t xml:space="preserve"> </w:t>
      </w:r>
      <w:r>
        <w:t xml:space="preserve">published MATLAB fmincon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 published</w:t>
            </w:r>
            <w:r>
              <w:t xml:space="preserve"> </w:t>
            </w:r>
            <w:r>
              <w:t xml:space="preserve">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“published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reference implementation uses a fmincon-based SQP</w:t>
      </w:r>
      <w:r>
        <w:t xml:space="preserve"> </w:t>
      </w:r>
      <w:r>
        <w:t xml:space="preserve">solver </w:t>
      </w:r>
      <w:r>
        <w:fldChar w:fldCharType="begin"/>
      </w:r>
      <w:r>
        <w:instrText xml:space="preserve"> CITATION jawad2024egsk \l 1033 </w:instrText>
      </w:r>
      <w:r>
        <w:fldChar w:fldCharType="separate"/>
      </w:r>
      <w:r>
        <w:t xml:space="preserve">[9]</w:t>
      </w:r>
      <w:r>
        <w:fldChar w:fldCharType="end"/>
      </w:r>
      <w:r>
        <w:t xml:space="preserve">.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suite’s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their original</w:t>
      </w:r>
      <w:r>
        <w:t xml:space="preserve"> </w:t>
      </w:r>
      <w:r>
        <w:t xml:space="preserve">publications,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contributed to the design, execution, or analysis</w:t>
      </w:r>
      <w:r>
        <w:t xml:space="preserve"> </w:t>
      </w:r>
      <w:r>
        <w:t xml:space="preserve">of the experiments or to any reported number; a large language model was</w:t>
      </w:r>
      <w:r>
        <w:t xml:space="preserve"> </w:t>
      </w:r>
      <w:r>
        <w:t xml:space="preserve">used for language editing, the drafting of descriptive prose, and</w:t>
      </w:r>
      <w:r>
        <w:t xml:space="preserve"> </w:t>
      </w:r>
      <w:r>
        <w:t xml:space="preserve">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function</w:t>
      </w:r>
      <w:r>
        <w:t xml:space="preserve"> </w:t>
      </w:r>
      <m:oMath>
        <m:r>
          <m:rPr>
            <m:sty m:val="p"/>
          </m:rPr>
          <m:t>×</m:t>
        </m:r>
      </m:oMath>
      <w:r>
        <w:t xml:space="preserve"> </w:t>
      </w:r>
      <w:r>
        <w:t xml:space="preserve">dimension convergence sets for CEC2017,</w:t>
      </w:r>
      <w:r>
        <w:t xml:space="preserve"> </w:t>
      </w:r>
      <w:r>
        <w:t xml:space="preserve">CEC2011 and CEC2013 are 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 at</w:t>
      </w:r>
      <w:r>
        <w:t xml:space="preserve"> </w:t>
      </w:r>
      <m:oMath>
        <m:r>
          <m:t>D</m:t>
        </m:r>
        <m:r>
          <m:rPr>
            <m:sty m:val="p"/>
          </m:rPr>
          <m:t>=</m:t>
        </m:r>
        <m:r>
          <m:t>100</m:t>
        </m:r>
      </m:oMath>
      <w:r>
        <w:t xml:space="preserve"> </w:t>
      </w:r>
      <w:r>
        <w:t xml:space="preserve">— which is a design choice inherited from the family’s</w:t>
      </w:r>
      <w:r>
        <w:t xml:space="preserve"> </w:t>
      </w:r>
      <w:r>
        <w:t xml:space="preserve">reference-implementation configuration rather than a controlled 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before either suite was seen, so they were not consulted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moves the run has already</w:t>
      </w:r>
      <w:r>
        <w:t xml:space="preserve"> </w:t>
      </w:r>
      <w:r>
        <w:t xml:space="preserve">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published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DT-GSK</w:t>
      </w:r>
      <w:r>
        <w:t xml:space="preserve"> </w:t>
      </w:r>
      <w:r>
        <w:t xml:space="preserve">implementation, the benchmark harness for the CEC2017, CEC2011,</w:t>
      </w:r>
      <w:r>
        <w:t xml:space="preserve"> </w:t>
      </w:r>
      <w:r>
        <w:t xml:space="preserve">CEC2013, CEC2020 and CEC2013LSGO suites, the per-run raw result CSVs,</w:t>
      </w:r>
      <w:r>
        <w:t xml:space="preserve"> </w:t>
      </w:r>
      <w:r>
        <w:t xml:space="preserve">the seed schedules, and</w:t>
      </w:r>
      <w:r>
        <w:t xml:space="preserve"> </w:t>
      </w:r>
      <w:r>
        <w:t xml:space="preserve">the per-cell environment and verification manifests behind every</w:t>
      </w:r>
      <w:r>
        <w:t xml:space="preserve"> </w:t>
      </w:r>
      <w:r>
        <w:t xml:space="preserve">reported number are contained in the versioned, immutable evidence</w:t>
      </w:r>
      <w:r>
        <w:t xml:space="preserve"> </w:t>
      </w:r>
      <w:r>
        <w:t xml:space="preserve">releases accompanying this article: the primary release</w:t>
      </w:r>
      <w:r>
        <w:t xml:space="preserve"> </w:t>
      </w:r>
      <w:r>
        <w:t xml:space="preserve">rel-2026-07-20-67d9345f9 (CEC2017, CEC2011 and CEC2013) and the two</w:t>
      </w:r>
      <w:r>
        <w:t xml:space="preserve"> </w:t>
      </w:r>
      <w:r>
        <w:t xml:space="preserve">separate, non-superseding releases held apart from it in the</w:t>
      </w:r>
      <w:r>
        <w:t xml:space="preserve"> </w:t>
      </w:r>
      <w:r>
        <w:t xml:space="preserve">repository, lsgo-rel-2026-07-28-ff1a046ef (CEC2013LSGO) and</w:t>
      </w:r>
      <w:r>
        <w:t xml:space="preserve"> </w:t>
      </w:r>
      <w:r>
        <w:t xml:space="preserve">cec2020-rel-2026-07-29-5867abe1e (CEC2020). The complete implementation and evidence</w:t>
      </w:r>
      <w:r>
        <w:t xml:space="preserve"> </w:t>
      </w:r>
      <w:r>
        <w:t xml:space="preserve">tree are published in a public code repository and archived immutably at a</w:t>
      </w:r>
      <w:r>
        <w:t xml:space="preserve"> </w:t>
      </w:r>
      <w:r>
        <w:t xml:space="preserve">tagged release carrying a persistent digital object identifier; both locators</w:t>
      </w:r>
      <w:r>
        <w:t xml:space="preserve"> </w:t>
      </w:r>
      <w:r>
        <w:t xml:space="preserve">are supplied with the submission.</w:t>
      </w:r>
    </w:p>
    <w:p>
      <w:pPr>
        <w:pStyle w:val="BodyText"/>
      </w:pPr>
      <w:r>
        <w:t xml:space="preserve">All CEC2017, CEC2011 and CEC2013 values derive from the single primary</w:t>
      </w:r>
      <w:r>
        <w:t xml:space="preserve"> </w:t>
      </w:r>
      <w:r>
        <w:t xml:space="preserve">evidence release archived with this article,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named above, each with its own checksummed</w:t>
      </w:r>
      <w:r>
        <w:t xml:space="preserve"> </w:t>
      </w:r>
      <w:r>
        <w:t xml:space="preserve">manifest; and the derived statistical artifacts</w:t>
      </w:r>
      <w:r>
        <w:t xml:space="preserve"> </w:t>
      </w:r>
      <w:r>
        <w:t xml:space="preserve">behind every table and figure are versioned as checksummed analysis</w:t>
      </w:r>
      <w:r>
        <w:t xml:space="preserve"> </w:t>
      </w:r>
      <w:r>
        <w:t xml:space="preserve">bundles in the same repository.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repository also contains runnable</w:t>
      </w:r>
      <w:r>
        <w:t xml:space="preserve"> </w:t>
      </w:r>
      <w:r>
        <w:t xml:space="preserve">implementations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repository: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repository’s runbook</w:t>
      </w:r>
      <w:r>
        <w:t xml:space="preserve"> </w:t>
      </w:r>
      <w:r>
        <w:t xml:space="preserve">(runbook.md) 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released DT-GSK code is distributed under the MIT License</w:t>
      </w:r>
      <w:r>
        <w:t xml:space="preserve"> </w:t>
      </w:r>
      <w:r>
        <w:t xml:space="preserve">(see the repository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of this manuscript (2026), the authors used a large</w:t>
      </w:r>
      <w:r>
        <w:t xml:space="preserve"> </w:t>
      </w:r>
      <w:r>
        <w:t xml:space="preserve">language model (Claude Opus 4.6, 4.8 and 5.0, Anthropic) to assist with language</w:t>
      </w:r>
      <w:r>
        <w:t xml:space="preserve"> </w:t>
      </w:r>
      <w:r>
        <w:t xml:space="preserve">editing, rephrasing, the drafting of descriptive and expository prose</w:t>
      </w:r>
      <w:r>
        <w:t xml:space="preserve"> </w:t>
      </w:r>
      <w:r>
        <w:t xml:space="preserve">(for example, background and explanatory passages), and software-engineering</w:t>
      </w:r>
      <w:r>
        <w:t xml:space="preserve"> </w:t>
      </w:r>
      <w:r>
        <w:t xml:space="preserve">support during implementation and tooling work. The algorithm design and the</w:t>
      </w:r>
      <w:r>
        <w:t xml:space="preserve"> </w:t>
      </w:r>
      <w:r>
        <w:t xml:space="preserve">experimental protocol are the authors’ own, and every reported number was</w:t>
      </w:r>
      <w:r>
        <w:t xml:space="preserve"> </w:t>
      </w:r>
      <w:r>
        <w:t xml:space="preserve">produced by the authors’ deterministic analysis pipeline from a version-locked</w:t>
      </w:r>
      <w:r>
        <w:t xml:space="preserve"> </w:t>
      </w:r>
      <w:r>
        <w:t xml:space="preserve">evidence archive: the AI system designed no experiments, produced no data,</w:t>
      </w:r>
      <w:r>
        <w:t xml:space="preserve"> </w:t>
      </w:r>
      <w:r>
        <w:t xml:space="preserve">computed no statistics, and generated no scientific claim, result, or</w:t>
      </w:r>
      <w:r>
        <w:t xml:space="preserve"> </w:t>
      </w:r>
      <w:r>
        <w:t xml:space="preserve">conclusion, and no AI system is an author of this work. The authors have</w:t>
      </w:r>
      <w:r>
        <w:t xml:space="preserve"> </w:t>
      </w:r>
      <w:r>
        <w:t xml:space="preserve">critically reviewed, verified, and edited all AI-assisted text and code, and</w:t>
      </w:r>
      <w:r>
        <w:t xml:space="preserve"> </w:t>
      </w:r>
      <w:r>
        <w:t xml:space="preserve">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of this manuscript, the authors</w:t>
      </w:r>
      <w:r>
        <w:t xml:space="preserve"> </w:t>
      </w:r>
      <w:r>
        <w:t xml:space="preserve">used Claude Opus 4.6, 4.8 and 5.0 (Anthropic) for language editing, for drafting</w:t>
      </w:r>
      <w:r>
        <w:t xml:space="preserve"> </w:t>
      </w:r>
      <w:r>
        <w:t xml:space="preserve">descriptive text,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analysis,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published configuration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