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Control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 and Section S8 values derive from two</w:t>
      </w:r>
      <w:r>
        <w:t xml:space="preserve"> </w:t>
      </w:r>
      <w:r>
        <w:t xml:space="preserve">further separate, non-superseding evidence releases identified in those</w:t>
      </w:r>
      <w:r>
        <w:t xml:space="preserve"> </w:t>
      </w:r>
      <w:r>
        <w:t xml:space="preserve">sections; 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control;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interaction-structure memory;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1" w:name="ref_sec_supp_cec2017_tables"/>
      <w:r>
        <w:t xml:space="preserve">S1.</w:t>
      </w:r>
      <w:bookmarkEnd w:id="221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2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2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7" w:name="ref_sec_supp_pairwise"/>
      <w:r>
        <w:t xml:space="preserve">S2.</w:t>
      </w:r>
      <w:bookmarkEnd w:id="227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8" w:name="ref_sec_supp_h2h"/>
      <w:r>
        <w:t xml:space="preserve">S2.1.</w:t>
      </w:r>
      <w:bookmarkEnd w:id="228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3" w:name="ref_sec_supp_cec2011"/>
      <w:r>
        <w:t xml:space="preserve">S2.2.</w:t>
      </w:r>
      <w:bookmarkEnd w:id="233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6" w:name="ref_sec_supp_cec2013"/>
      <w:r>
        <w:t xml:space="preserve">S2.3.</w:t>
      </w:r>
      <w:bookmarkEnd w:id="236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2" w:name="ref_sec_supp_bca"/>
      <w:r>
        <w:t xml:space="preserve">S2.4.</w:t>
      </w:r>
      <w:bookmarkEnd w:id="242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in every</w:t>
      </w:r>
      <w:r>
        <w:t xml:space="preserve"> </w:t>
      </w:r>
      <w:r>
        <w:t xml:space="preserve">variant reported here,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3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4" w:name="ref_sec_supp_posthoc"/>
      <w:r>
        <w:t xml:space="preserve">S2.5.</w:t>
      </w:r>
      <w:bookmarkEnd w:id="244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45" w:name="ref_sec_supp_rankviews"/>
      <w:r>
        <w:t xml:space="preserve">S2.6.</w:t>
      </w:r>
      <w:bookmarkEnd w:id="245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8" w:name="ref_sec_supp_convergence"/>
      <w:r>
        <w:t xml:space="preserve">S3.</w:t>
      </w:r>
      <w:bookmarkEnd w:id="248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9" w:name="ref_sec_supp_conv2017"/>
      <w:r>
        <w:t xml:space="preserve">S3.1.</w:t>
      </w:r>
      <w:bookmarkEnd w:id="249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6" w:name="ref_sec_supp_conv2011"/>
      <w:r>
        <w:t xml:space="preserve">S3.2.</w:t>
      </w:r>
      <w:bookmarkEnd w:id="266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0" w:name="ref_sec_supp_conv2013"/>
      <w:r>
        <w:t xml:space="preserve">S3.3.</w:t>
      </w:r>
      <w:bookmarkEnd w:id="270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75" w:name="ref_sec_supp_diagnostics"/>
      <w:r>
        <w:t xml:space="preserve">S4.</w:t>
      </w:r>
      <w:bookmarkEnd w:id="275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7" w:name="ref_sec_repro"/>
      <w:r>
        <w:t xml:space="preserve">S5.</w:t>
      </w:r>
      <w:bookmarkEnd w:id="277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8" w:name="ref_sec_repro_seeds"/>
      <w:r>
        <w:t xml:space="preserve">S5.1.</w:t>
      </w:r>
      <w:bookmarkEnd w:id="278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9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9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0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1" w:name="ref_sec_repro_freeze"/>
      <w:r>
        <w:t xml:space="preserve">S5.2.</w:t>
      </w:r>
      <w:bookmarkEnd w:id="281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2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No reported number, rank,</w:t>
      </w:r>
      <w:r>
        <w:t xml:space="preserve"> </w:t>
      </w:r>
      <m:oMath>
        <m:r>
          <m:t>p</m:t>
        </m:r>
      </m:oMath>
      <w:r>
        <w:t xml:space="preserve">-value or decision in this paper or this</w:t>
      </w:r>
      <w:r>
        <w:t xml:space="preserve"> </w:t>
      </w:r>
      <w:r>
        <w:t xml:space="preserve">Supplementary Material depends on which of the two revisions is used; the</w:t>
      </w:r>
      <w:r>
        <w:t xml:space="preserve"> </w:t>
      </w:r>
      <w:r>
        <w:t xml:space="preserve">release remains reproducible from either.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3" w:name="ref_sec_repro_tuning"/>
      <w:r>
        <w:t xml:space="preserve">S5.3.</w:t>
      </w:r>
      <w:bookmarkEnd w:id="283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4" w:name="ref_sec_repro_limitations"/>
      <w:r>
        <w:t xml:space="preserve">S5.4.</w:t>
      </w:r>
      <w:bookmarkEnd w:id="284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published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consumes: whether that basis beats coordinate</w:t>
      </w:r>
      <w:r>
        <w:t xml:space="preserve"> </w:t>
      </w:r>
      <w:r>
        <w:t xml:space="preserve">axes or a matched random orthonormal basis is not isolated by any contrast</w:t>
      </w:r>
      <w:r>
        <w:t xml:space="preserve"> </w:t>
      </w:r>
      <w:r>
        <w:t xml:space="preserve">reported here and 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85" w:name="ref_sec_repro_tieband"/>
      <w:r>
        <w:t xml:space="preserve">S5.5.</w:t>
      </w:r>
      <w:bookmarkEnd w:id="285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6" w:name="ref_sec_repro_aliases"/>
      <w:r>
        <w:t xml:space="preserve">S5.6.</w:t>
      </w:r>
      <w:bookmarkEnd w:id="286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8" w:name="ref_sec_repro_acronyms"/>
      <w:r>
        <w:t xml:space="preserve">S5.7.</w:t>
      </w:r>
      <w:bookmarkEnd w:id="288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9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9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Control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0" w:name="ref_sec_repro_params_detail"/>
      <w:r>
        <w:t xml:space="preserve">S5.8.</w:t>
      </w:r>
      <w:bookmarkEnd w:id="290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1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1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 tuning</w:t>
      </w:r>
      <w:r>
        <w:t xml:space="preserve"> </w:t>
      </w:r>
      <w:r>
        <w:t xml:space="preserve">is required or permitted at run time; hash-frozen in</w:t>
      </w:r>
      <w:r>
        <w:t xml:space="preserve"> </w:t>
      </w:r>
      <w:r>
        <w:t xml:space="preserve">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tuning is required or permitted at run time;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post-restart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BSE/deep-stall restart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trust-region budget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present, runtime-inert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guard; not an active mechanism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2" w:name="ref_sec_repro_opspec"/>
      <w:r>
        <w:t xml:space="preserve">S5.9.</w:t>
      </w:r>
      <w:bookmarkEnd w:id="292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enters with initial probability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0.20</m:t>
        </m:r>
      </m:oMath>
      <w:r>
        <w:t xml:space="preserve"> </w:t>
      </w:r>
      <w:r>
        <w:t xml:space="preserve">by tier.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non-positive)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_dt_core.py:210–212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_dt_core.py:1203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_dt_core.py:1236–1264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_dt_core.py:694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_argp_update_memory_probs, _dt_core.py:1271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_dt_core.py:1271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deep-stall restart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post-restart population has produced fresh evidence, after which blocks are re-extracted.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3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3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accepted improvement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coupling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is updated inside the per-generation callback path, and</w:t>
      </w:r>
      <w:r>
        <w:t xml:space="preserve"> </w:t>
      </w:r>
      <w:r>
        <w:t xml:space="preserve">the released driver’s adapter always supplies that callback, so the read-back is active in</w:t>
      </w:r>
      <w:r>
        <w:t xml:space="preserve"> </w:t>
      </w:r>
      <w:r>
        <w:t xml:space="preserve">every reported run; a callback-less direct invocation of the core would omit it and</w:t>
      </w:r>
      <w:r>
        <w:t xml:space="preserve"> </w:t>
      </w:r>
      <w:r>
        <w:t xml:space="preserve">diverge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but no released configuration does so.</w:t>
      </w:r>
    </w:p>
    <w:bookmarkEnd w:id="153"/>
    <w:bookmarkEnd w:id="154"/>
    <w:bookmarkStart w:id="155" w:name="lbl_sec_repro_release"/>
    <w:p>
      <w:pPr>
        <w:pStyle w:val="Heading2"/>
      </w:pPr>
      <w:bookmarkStart w:id="294" w:name="ref_sec_repro_release"/>
      <w:r>
        <w:t xml:space="preserve">S5.10.</w:t>
      </w:r>
      <w:bookmarkEnd w:id="294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(603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published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95" w:name="ref_sec_supp_ablation"/>
      <w:r>
        <w:t xml:space="preserve">S6.</w:t>
      </w:r>
      <w:bookmarkEnd w:id="295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6" w:name="ref_sec_supp_ablation_design"/>
      <w:r>
        <w:t xml:space="preserve">S6.1.</w:t>
      </w:r>
      <w:bookmarkEnd w:id="296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7" w:name="ref_sec_supp_ablation_stats"/>
      <w:r>
        <w:t xml:space="preserve">S6.2.</w:t>
      </w:r>
      <w:bookmarkEnd w:id="297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better);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Friedman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1.8e-06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2.5e-08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9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9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1" w:name="ref_sec_supp_ablation_findings"/>
      <w:r>
        <w:t xml:space="preserve">S6.3.</w:t>
      </w:r>
      <w:bookmarkEnd w:id="301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Friedman omnibus signal is weakest (</w:t>
      </w:r>
      <m:oMath>
        <m:r>
          <m:t>p</m:t>
        </m:r>
        <m:r>
          <m:rPr>
            <m:sty m:val="p"/>
          </m:rPr>
          <m:t>=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2" w:name="ref_sec_supp_ablation_limits"/>
      <w:r>
        <w:t xml:space="preserve">S6.4.</w:t>
      </w:r>
      <w:bookmarkEnd w:id="302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3" w:name="ref_sec_supp_ablation_sgsm"/>
      <w:r>
        <w:t xml:space="preserve">S6.5.</w:t>
      </w:r>
      <w:bookmarkEnd w:id="303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on the raw</w:t>
      </w:r>
      <w:r>
        <w:t xml:space="preserve"> </w:t>
      </w:r>
      <w:r>
        <w:t xml:space="preserve">runs; the four cells differ overall (Friedman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component-study omnibus</w:t>
      </w:r>
      <w:r>
        <w:t xml:space="preserve"> </w:t>
      </w:r>
      <m:oMath>
        <m:r>
          <m:t>p</m:t>
        </m:r>
      </m:oMath>
      <w:r>
        <w:t xml:space="preserve">-values are the</w:t>
      </w:r>
      <w:r>
        <w:t xml:space="preserve"> </w:t>
      </w:r>
      <w:r>
        <w:t xml:space="preserve">classical Friedman chi-square approximation (no tie-variance correction is</w:t>
      </w:r>
      <w:r>
        <w:t xml:space="preserve"> </w:t>
      </w:r>
      <w:r>
        <w:t xml:space="preserve">applied in these component studies), not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serves as the omnibus decision criterion for the primary suites in the</w:t>
      </w:r>
      <w:r>
        <w:t xml:space="preserve"> </w:t>
      </w:r>
      <w:r>
        <w:t xml:space="preserve">main text. The two statistics are not interchangeable, so these figures</w:t>
      </w:r>
      <w:r>
        <w:t xml:space="preserve"> </w:t>
      </w:r>
      <w:r>
        <w:t xml:space="preserve">should not be read against main-text omnibus values.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(and the no_sgsm row, in which the</w:t>
      </w:r>
      <w:r>
        <w:t xml:space="preserve"> </w:t>
      </w:r>
      <w:r>
        <w:t xml:space="preserve">polish runs on coordinate axes rather than the learned eigenbasis, is itself</w:t>
      </w:r>
      <w:r>
        <w:t xml:space="preserve"> </w:t>
      </w:r>
      <w:r>
        <w:t xml:space="preserve">null, so the significant effect is the compass endgame, not the learned basis</w:t>
      </w:r>
      <w:r>
        <w:t xml:space="preserve"> </w:t>
      </w:r>
      <w:r>
        <w:t xml:space="preserve">specifically).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05" w:name="ref_sec_supp_ablation_subset"/>
      <w:r>
        <w:t xml:space="preserve">S6.6.</w:t>
      </w:r>
      <w:bookmarkEnd w:id="305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7" w:name="ref_sec_supp_ablation_caveats"/>
      <w:r>
        <w:t xml:space="preserve">S6.7.</w:t>
      </w:r>
      <w:bookmarkEnd w:id="307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8" w:name="ref_sec_supp_cec2013lsgo"/>
      <w:r>
        <w:t xml:space="preserve">S7.</w:t>
      </w:r>
      <w:bookmarkEnd w:id="308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9" w:name="ref_sec_supp_lsgo_protocol"/>
      <w:r>
        <w:t xml:space="preserve">S7.1.</w:t>
      </w:r>
      <w:bookmarkEnd w:id="309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(statistical_analysis_plan_addendum_cec2020_lsgo.md,</w:t>
      </w:r>
      <w:r>
        <w:t xml:space="preserve"> </w:t>
      </w:r>
      <w:r>
        <w:t xml:space="preserve">signing commit 5c9bfae82)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bookmarkEnd w:id="176"/>
    <w:bookmarkStart w:id="177" w:name="lbl_sec_supp_lsgo_config"/>
    <w:p>
      <w:pPr>
        <w:pStyle w:val="Heading2"/>
      </w:pPr>
      <w:bookmarkStart w:id="310" w:name="ref_sec_supp_lsgo_config"/>
      <w:r>
        <w:t xml:space="preserve">S7.2.</w:t>
      </w:r>
      <w:bookmarkEnd w:id="310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1" w:name="ref_sec_supp_lsgo_ranks"/>
      <w:r>
        <w:t xml:space="preserve">S7.3.</w:t>
      </w:r>
      <w:bookmarkEnd w:id="311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3" w:name="ref_sec_supp_lsgo_pairwise"/>
      <w:r>
        <w:t xml:space="preserve">S7.4.</w:t>
      </w:r>
      <w:bookmarkEnd w:id="313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15" w:name="ref_sec_supp_lsgo_runlevel"/>
      <w:r>
        <w:t xml:space="preserve">S7.5.</w:t>
      </w:r>
      <w:bookmarkEnd w:id="315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6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6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7" w:name="ref_sec_supp_lsgo_effects"/>
      <w:r>
        <w:t xml:space="preserve">S7.6.</w:t>
      </w:r>
      <w:bookmarkEnd w:id="317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9" w:name="ref_sec_supp_lsgo_detail"/>
      <w:r>
        <w:t xml:space="preserve">S7.7.</w:t>
      </w:r>
      <w:bookmarkEnd w:id="31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2" w:name="ref_sec_supp_cec2020"/>
      <w:r>
        <w:t xml:space="preserve">S8.</w:t>
      </w:r>
      <w:bookmarkEnd w:id="322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3" w:name="ref_sec_supp_cec2020_standing"/>
      <w:r>
        <w:t xml:space="preserve">S8.1.</w:t>
      </w:r>
      <w:bookmarkEnd w:id="323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25" w:name="ref_sec_supp_cec2020_omnibus"/>
      <w:r>
        <w:t xml:space="preserve">S8.2.</w:t>
      </w:r>
      <w:bookmarkEnd w:id="325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7" w:name="ref_sec_supp_cec2020_pairwise"/>
      <w:r>
        <w:t xml:space="preserve">S8.3.</w:t>
      </w:r>
      <w:bookmarkEnd w:id="327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8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8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0" w:name="ref_sec_supp_cec2020_effects"/>
      <w:r>
        <w:t xml:space="preserve">S8.4.</w:t>
      </w:r>
      <w:bookmarkEnd w:id="330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2" w:name="ref_sec_supp_cec2020_robustness"/>
      <w:r>
        <w:t xml:space="preserve">S8.5.</w:t>
      </w:r>
      <w:bookmarkEnd w:id="332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4" w:name="ref_sec_supp_cec2020_detail"/>
      <w:r>
        <w:t xml:space="preserve">S8.6.</w:t>
      </w:r>
      <w:bookmarkEnd w:id="33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2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09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2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3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4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15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17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18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19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0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15" Target="https://doi.org/10.1007/s00202-023-01803-9" TargetMode="External"/><Relationship Type="http://schemas.openxmlformats.org/officeDocument/2006/relationships/hyperlink" Id="rId212" Target="https://doi.org/10.1007/s13042-019-01053-x" TargetMode="External"/><Relationship Type="http://schemas.openxmlformats.org/officeDocument/2006/relationships/hyperlink" Id="rId217" Target="https://doi.org/10.1016/j.rico.2025.100542" TargetMode="External"/><Relationship Type="http://schemas.openxmlformats.org/officeDocument/2006/relationships/hyperlink" Id="rId210" Target="https://doi.org/10.1080/01621459.1937.10503522" TargetMode="External"/><Relationship Type="http://schemas.openxmlformats.org/officeDocument/2006/relationships/hyperlink" Id="rId214" Target="https://doi.org/10.1109/ACCESS.2021.3076091" TargetMode="External"/><Relationship Type="http://schemas.openxmlformats.org/officeDocument/2006/relationships/hyperlink" Id="rId219" Target="https://doi.org/10.1109/CEC.2013.6557901" TargetMode="External"/><Relationship Type="http://schemas.openxmlformats.org/officeDocument/2006/relationships/hyperlink" Id="rId218" Target="https://doi.org/10.1109/CEC.2018.8477755" TargetMode="External"/><Relationship Type="http://schemas.openxmlformats.org/officeDocument/2006/relationships/hyperlink" Id="rId213" Target="https://doi.org/10.1109/CEC48606.2020.9185901" TargetMode="External"/><Relationship Type="http://schemas.openxmlformats.org/officeDocument/2006/relationships/hyperlink" Id="rId211" Target="https://doi.org/10.1201/9780429246593" TargetMode="External"/><Relationship Type="http://schemas.openxmlformats.org/officeDocument/2006/relationships/hyperlink" Id="rId209" Target="https://doi.org/10.2307/3001968" TargetMode="External"/><Relationship Type="http://schemas.openxmlformats.org/officeDocument/2006/relationships/hyperlink" Id="rId216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doi.org/10.1007/s00202-023-01803-9" TargetMode="External" /><Relationship Type="http://schemas.openxmlformats.org/officeDocument/2006/relationships/hyperlink" Id="rId212" Target="https://doi.org/10.1007/s13042-019-01053-x" TargetMode="External" /><Relationship Type="http://schemas.openxmlformats.org/officeDocument/2006/relationships/hyperlink" Id="rId217" Target="https://doi.org/10.1016/j.rico.2025.100542" TargetMode="External" /><Relationship Type="http://schemas.openxmlformats.org/officeDocument/2006/relationships/hyperlink" Id="rId210" Target="https://doi.org/10.1080/01621459.1937.10503522" TargetMode="External" /><Relationship Type="http://schemas.openxmlformats.org/officeDocument/2006/relationships/hyperlink" Id="rId214" Target="https://doi.org/10.1109/ACCESS.2021.3076091" TargetMode="External" /><Relationship Type="http://schemas.openxmlformats.org/officeDocument/2006/relationships/hyperlink" Id="rId219" Target="https://doi.org/10.1109/CEC.2013.6557901" TargetMode="External" /><Relationship Type="http://schemas.openxmlformats.org/officeDocument/2006/relationships/hyperlink" Id="rId218" Target="https://doi.org/10.1109/CEC.2018.8477755" TargetMode="External" /><Relationship Type="http://schemas.openxmlformats.org/officeDocument/2006/relationships/hyperlink" Id="rId213" Target="https://doi.org/10.1109/CEC48606.2020.9185901" TargetMode="External" /><Relationship Type="http://schemas.openxmlformats.org/officeDocument/2006/relationships/hyperlink" Id="rId211" Target="https://doi.org/10.1201/9780429246593" TargetMode="External" /><Relationship Type="http://schemas.openxmlformats.org/officeDocument/2006/relationships/hyperlink" Id="rId209" Target="https://doi.org/10.2307/3001968" TargetMode="External" /><Relationship Type="http://schemas.openxmlformats.org/officeDocument/2006/relationships/hyperlink" Id="rId216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Control and Deterministic Refinement for Gaining-Sharing Knowledge Optimization</dc:title>
  <dc:creator>Mostafa Elsayed Masoud; Heba Sayed Mohamed Roshdy; Ali Wagdy Mohamed</dc:creator>
  <cp:keywords>metaheuristic optimization; gaining-sharing knowledge; dimension-tiered adaptive control; deterministic final refinement; adaptive operator selection; interaction-structure memory;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control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S8). Every empirical value in Sections S1–S5 derives from the promoted, read-only evidence release accompanying this article; the Section S6 scaffold and isolation results derive from a separate, immutable ablation release; the Section S7 and Section S8 values derive from two further separate, non-superseding evidence releases identified in those sections; no primary result is altered by any of it. All comparative wording is scoped to the seven-algorithm GSK-family panel.</vt:lpwstr>
  </property>
  <property fmtid="{D5CDD505-2E9C-101B-9397-08002B2CF9AE}" pid="3" name="date">
    <vt:lpwstr/>
  </property>
</Properties>
</file>