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v2.31,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Supplementary Materials Table A45 residual is carried by a further</w:t>
      </w:r>
      <w:r>
        <w:t xml:space="preserve"> </w:t>
      </w:r>
      <w:r>
        <w:t xml:space="preserve">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