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Knowledge-Based Optimization Algorithm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CEC2011/CEC2013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</w:t>
      </w:r>
      <w:r>
        <w:t xml:space="preserve"> </w:t>
      </w:r>
      <w:r>
        <w:t xml:space="preserve">coordinate axes outperform its basis—controlled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Department of Operations Research,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Mathematics Program,</w:t>
      </w:r>
      <w:r>
        <w:t xml:space="preserve"> </w:t>
      </w:r>
      <w:r>
        <w:t xml:space="preserve">Zewail City of Science and Technology, October Gardens, 6th of October,</w:t>
      </w:r>
      <w:r>
        <w:t xml:space="preserve"> </w:t>
      </w:r>
      <w:r>
        <w:t xml:space="preserve">Giza 12578, Egypt</w:t>
      </w:r>
      <w:r>
        <w:br/>
      </w:r>
      <w:r>
        <w:t xml:space="preserve">* Correspondence: moustafa.masoud@gmail.com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Both</w:t>
      </w:r>
      <w:r>
        <w:t xml:space="preserve"> </w:t>
      </w:r>
      <w:r>
        <w:t xml:space="preserve">settings are protocol-conformant: each suite’s protocol fixes its evaluation</w:t>
      </w:r>
      <w:r>
        <w:t xml:space="preserve"> </w:t>
      </w:r>
      <w:r>
        <w:t xml:space="preserve">budget and run count (Table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and prescribes no population</w:t>
      </w:r>
      <w:r>
        <w:t xml:space="preserve"> </w:t>
      </w:r>
      <w:r>
        <w:t xml:space="preserve">size.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, seed   </w:t>
      </w:r>
      <m:oMath>
        <m:r>
          <m:rPr>
            <m:sty m:val="p"/>
          </m:rPr>
          <m:t>⊳</m:t>
        </m:r>
      </m:oMath>
      <w:r>
        <w:t xml:space="preserve"> budgets: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  </w:t>
      </w:r>
      <m:oMath>
        <m:r>
          <m:rPr>
            <m:sty m:val="p"/>
          </m:rPr>
          <m:t>⊳</m:t>
        </m:r>
      </m:oMath>
      <w:r>
        <w:t xml:space="preserve"> 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linkage block on some rows,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on the rest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budget   </w:t>
      </w:r>
      <m:oMath>
        <m:r>
          <m:rPr>
            <m:sty m:val="p"/>
          </m:rPr>
          <m:t>⊳</m:t>
        </m:r>
      </m:oMath>
      <w:r>
        <w:t xml:space="preserve"> the rest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slice: charged coordinate local search on the elites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 linkage block is 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(random otherwise) and confidence-gated; the local search enters at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of the budget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above, under its evaluation cap and cooldown; and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cross-cutting—they act inside the reduction, trial-construction, acceptance and escape steps above and gate the local search—as detailed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“Inactive”</w:t>
      </w:r>
      <w:r>
        <w:t xml:space="preserve"> </w:t>
      </w:r>
      <w:r>
        <w:t xml:space="preserve">here follows the gating taxonomy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at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cells the always-on scaffold</w:t>
      </w:r>
      <w:r>
        <w:t xml:space="preserve"> </w:t>
      </w:r>
      <w:r>
        <w:t xml:space="preserve">does cross into its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tier — the optional</w:t>
      </w:r>
      <w:r>
        <w:t xml:space="preserve"> </w:t>
      </w:r>
      <w:r>
        <w:t xml:space="preserve">differential-evolution arm joins the ACE pool, the credit assignment</w:t>
      </w:r>
      <w:r>
        <w:t xml:space="preserve"> </w:t>
      </w:r>
      <w:r>
        <w:t xml:space="preserve">splits into a top/bottom improvement memory, and several tier constants</w:t>
      </w:r>
      <w:r>
        <w:t xml:space="preserve"> </w:t>
      </w:r>
      <w:r>
        <w:t xml:space="preserve">change — while the gated subsystems themselves (the</w:t>
      </w:r>
      <w:r>
        <w:t xml:space="preserve"> </w:t>
      </w:r>
      <w:r>
        <w:t xml:space="preserve">interaction-structure memory, the deterministic final polish, and the</w:t>
      </w:r>
      <w:r>
        <w:t xml:space="preserve"> </w:t>
      </w:r>
      <w:r>
        <w:t xml:space="preserve">upper-tier controllers) remain off.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M.E.A.M.;</w:t>
      </w:r>
      <w:r>
        <w:t xml:space="preserve"> </w:t>
      </w:r>
      <w:r>
        <w:t xml:space="preserve">methodology, M.E.A.M. and A.W.M.; software, M.E.A.M.;</w:t>
      </w:r>
      <w:r>
        <w:t xml:space="preserve"> </w:t>
      </w:r>
      <w:r>
        <w:t xml:space="preserve">formal analysis, M.E.A.M. and A.W.M.; investigation, M.E.A.M. and A.W.M.;</w:t>
      </w:r>
      <w:r>
        <w:t xml:space="preserve"> </w:t>
      </w:r>
      <w:r>
        <w:t xml:space="preserve">data curation, M.E.A.M. and A.W.M.;</w:t>
      </w:r>
      <w:r>
        <w:t xml:space="preserve"> </w:t>
      </w:r>
      <w:r>
        <w:t xml:space="preserve">writing—original draft preparation, M.E.A.M.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v2.37,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file. The CEC2013LSGO and CEC2020</w:t>
      </w:r>
      <w:r>
        <w:t xml:space="preserve"> </w:t>
      </w:r>
      <w:r>
        <w:t xml:space="preserve">suites, the five revision experiments (E1–E5), and the identity</w:t>
      </w:r>
      <w:r>
        <w:t xml:space="preserve"> </w:t>
      </w:r>
      <w:r>
        <w:t xml:space="preserve">re-execution behind the Supplementary Materials Table A45 residual are</w:t>
      </w:r>
      <w:r>
        <w:t xml:space="preserve"> </w:t>
      </w:r>
      <w:r>
        <w:t xml:space="preserve">carried by five further additive, non-superseding releases on the same</w:t>
      </w:r>
      <w:r>
        <w:t xml:space="preserve"> </w:t>
      </w:r>
      <w:r>
        <w:t xml:space="preserve">terms, each with its own checksummed manifest and none changing any</w:t>
      </w:r>
      <w:r>
        <w:t xml:space="preserve"> </w:t>
      </w:r>
      <w:r>
        <w:t xml:space="preserve">primary value; their identifiers are recorded in the Supplementary</w:t>
      </w:r>
      <w:r>
        <w:t xml:space="preserve"> </w:t>
      </w:r>
      <w:r>
        <w:t xml:space="preserve">Materials and in the repository’s release manifests. The derived</w:t>
      </w:r>
      <w:r>
        <w:t xml:space="preserve"> </w:t>
      </w:r>
      <w:r>
        <w:t xml:space="preserve">statistical artifacts behind every table and figure are versioned as</w:t>
      </w:r>
      <w:r>
        <w:t xml:space="preserve"> </w:t>
      </w:r>
      <w:r>
        <w:t xml:space="preserve">checksummed analysis 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M.E.A.M.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Knowledge-Based Optimization Algorithm</dc:title>
  <dc:creator>Mostafa Elsayed Ahmed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Ahmed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Holm-corrected tests separate it from eGSK on either suite only at D = 10; it is second behind eGSK at CEC2017 D = 30 and on CEC2011 (Holm-significant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CEC2011/CEC2013 corroborative; CEC2020 pre-registered confirmatory; CEC2013LSGO post-hoc. Direct isolations find no standalone benefit from that memory; coordinate axes outperform its basis—controlled negative results. All findings are scoped to the GSK-family panel.</vt:lpwstr>
  </property>
  <property fmtid="{D5CDD505-2E9C-101B-9397-08002B2CF9AE}" pid="3" name="date">
    <vt:lpwstr/>
  </property>
</Properties>
</file>