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Configuration Selection and Deterministic Refinement for Gaining-Sharing Knowledge-Based Optimization Algorithm</w:t>
      </w:r>
    </w:p>
    <w:p>
      <w:pPr>
        <w:pStyle w:val="Author"/>
      </w:pPr>
      <w:r>
        <w:t xml:space="preserve">Mostafa Elsayed Ahmed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1,2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S8), and the mechanism-isolation and</w:t>
      </w:r>
      <w:r>
        <w:t xml:space="preserve"> </w:t>
      </w:r>
      <w:r>
        <w:t xml:space="preserve">sensitivity experiments (Section S9).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S7, Section S8 and Section S9 values derive from</w:t>
      </w:r>
      <w:r>
        <w:t xml:space="preserve"> </w:t>
      </w:r>
      <w:r>
        <w:t xml:space="preserve">further separate, non-superseding evidence releases named where they are used;</w:t>
      </w:r>
      <w:r>
        <w:t xml:space="preserve"> </w:t>
      </w:r>
      <w:r>
        <w:t xml:space="preserve">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Department of Operations Research,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(M.E.A.M. ORCID 0009-0003-8415-2158); hmhmdss@yahoo.com (H.S.M.R. ORCID 0000-0003-0387-5876); aliwagdy@gmail.com (A.W.M. ORCID 0000-0002-5895-2632)</w:t>
      </w:r>
      <w:r>
        <w:br/>
      </w:r>
      <w:r>
        <w:rPr>
          <w:vertAlign w:val="superscript"/>
        </w:rPr>
        <w:t xml:space="preserve">2</w:t>
      </w:r>
      <w:r>
        <w:t xml:space="preserve"> University of Science and Technology, Mathematics Program,</w:t>
      </w:r>
      <w:r>
        <w:t xml:space="preserve"> </w:t>
      </w:r>
      <w:r>
        <w:t xml:space="preserve">Zewail City of Science and Technology, October Gardens, 6th of October,</w:t>
      </w:r>
      <w:r>
        <w:t xml:space="preserve"> </w:t>
      </w:r>
      <w:r>
        <w:t xml:space="preserve">Giza 12578, Egypt</w:t>
      </w:r>
      <w:r>
        <w:br/>
      </w:r>
      <w:r>
        <w:t xml:space="preserve">* Correspondence: moustafa.masoud@gmail.com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 with Holm’s step-down</w:t>
      </w:r>
      <w:r>
        <w:t xml:space="preserve"> </w:t>
      </w:r>
      <w:r>
        <w:t xml:space="preserve">correction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 with the</w:t>
      </w:r>
      <w:r>
        <w:t xml:space="preserve"> </w:t>
      </w:r>
      <w:r>
        <w:t xml:space="preserve">Iman–Davenport correction and Nemenyi post hoc critical-difference (CD)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15" w:name="ref_sec_supp_cec2017_tables"/>
      <w:r>
        <w:t xml:space="preserve">S1.</w:t>
      </w:r>
      <w:bookmarkEnd w:id="215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6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16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8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18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9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1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0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2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21" w:name="ref_sec_supp_pairwise"/>
      <w:r>
        <w:t xml:space="preserve">S2.</w:t>
      </w:r>
      <w:bookmarkEnd w:id="221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22" w:name="ref_sec_supp_h2h"/>
      <w:r>
        <w:t xml:space="preserve">S2.1.</w:t>
      </w:r>
      <w:bookmarkEnd w:id="222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3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23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4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24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5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2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6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2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27" w:name="ref_sec_supp_cec2011"/>
      <w:r>
        <w:t xml:space="preserve">S2.2.</w:t>
      </w:r>
      <w:bookmarkEnd w:id="227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8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28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30" w:name="ref_sec_supp_cec2013"/>
      <w:r>
        <w:t xml:space="preserve">S2.3.</w:t>
      </w:r>
      <w:bookmarkEnd w:id="230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dimension, and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ref_tab_cec2013_pairwise \h </w:instrText>
      </w:r>
      <w:r>
        <w:fldChar w:fldCharType="separate"/>
      </w:r>
      <w:r>
        <w:t xml:space="preserve">A16</w:t>
      </w:r>
      <w:r>
        <w:fldChar w:fldCharType="end"/>
      </w:r>
      <w:r>
        <w:t xml:space="preserve"> the complete Wilcoxon–Holm matrix</w:t>
      </w:r>
      <w:r>
        <w:t xml:space="preserve"> </w:t>
      </w:r>
      <w:r>
        <w:t xml:space="preserve">against all six comparators.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2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32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3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33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4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34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36" w:name="ref_sec_supp_bca"/>
      <w:r>
        <w:t xml:space="preserve">S2.4.</w:t>
      </w:r>
      <w:bookmarkEnd w:id="236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under both of these</w:t>
      </w:r>
      <w:r>
        <w:t xml:space="preserve"> </w:t>
      </w:r>
      <w:r>
        <w:t xml:space="preserve">robustness variants,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37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38" w:name="ref_sec_supp_posthoc"/>
      <w:r>
        <w:t xml:space="preserve">S2.5.</w:t>
      </w:r>
      <w:bookmarkEnd w:id="238"/>
      <w:r>
        <w:tab/>
      </w:r>
      <w:r>
        <w:t xml:space="preserve"> Post 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39" w:name="ref_sec_supp_rankviews"/>
      <w:r>
        <w:t xml:space="preserve">S2.6.</w:t>
      </w:r>
      <w:bookmarkEnd w:id="239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0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1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41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42" w:name="ref_sec_supp_convergence"/>
      <w:r>
        <w:t xml:space="preserve">S3.</w:t>
      </w:r>
      <w:bookmarkEnd w:id="242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43" w:name="ref_sec_supp_conv2017"/>
      <w:r>
        <w:t xml:space="preserve">S3.1.</w:t>
      </w:r>
      <w:bookmarkEnd w:id="243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4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4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5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4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6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7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4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8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4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9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4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0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5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1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5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3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5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4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5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5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5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60" w:name="ref_sec_supp_conv2011"/>
      <w:r>
        <w:t xml:space="preserve">S3.2.</w:t>
      </w:r>
      <w:bookmarkEnd w:id="260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64" w:name="ref_sec_supp_conv2013"/>
      <w:r>
        <w:t xml:space="preserve">S3.3.</w:t>
      </w:r>
      <w:bookmarkEnd w:id="264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6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66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69" w:name="ref_sec_supp_diagnostics"/>
      <w:r>
        <w:t xml:space="preserve">S4.</w:t>
      </w:r>
      <w:bookmarkEnd w:id="269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0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70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71" w:name="ref_sec_repro"/>
      <w:r>
        <w:t xml:space="preserve">S5.</w:t>
      </w:r>
      <w:bookmarkEnd w:id="271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72" w:name="ref_sec_repro_seeds"/>
      <w:r>
        <w:t xml:space="preserve">S5.1.</w:t>
      </w:r>
      <w:bookmarkEnd w:id="272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73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73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74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75" w:name="ref_sec_repro_freeze"/>
      <w:r>
        <w:t xml:space="preserve">S5.2.</w:t>
      </w:r>
      <w:bookmarkEnd w:id="275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GSK, AGSK,</w:t>
      </w:r>
      <w:r>
        <w:t xml:space="preserve"> </w:t>
      </w:r>
      <w:r>
        <w:t xml:space="preserve">APGSK, FDB-AGSK,</w:t>
      </w:r>
      <w:r>
        <w:t xml:space="preserve"> </w:t>
      </w:r>
      <w:r>
        <w:t xml:space="preserve">ATMALS-GSK and eGSK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76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76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One exception is recorded rather than left to be found. The internal</w:t>
      </w:r>
      <w:r>
        <w:t xml:space="preserve"> </w:t>
      </w:r>
      <w:r>
        <w:t xml:space="preserve">control of Table </w:t>
      </w:r>
      <w:r>
        <w:fldChar w:fldCharType="begin"/>
      </w:r>
      <w:r>
        <w:instrText xml:space="preserve"> REF ref_tab_rev_e3 \h </w:instrText>
      </w:r>
      <w:r>
        <w:fldChar w:fldCharType="separate"/>
      </w:r>
      <w:r>
        <w:t xml:space="preserve">A45</w:t>
      </w:r>
      <w:r>
        <w:fldChar w:fldCharType="end"/>
      </w:r>
      <w:r>
        <w:t xml:space="preserve"> re-executes, under the current revision,</w:t>
      </w:r>
      <w:r>
        <w:t xml:space="preserve"> </w:t>
      </w:r>
      <w:r>
        <w:t xml:space="preserve">runs archived under the earlier one; it does not reproduce them exactly, and</w:t>
      </w:r>
      <w:r>
        <w:t xml:space="preserve"> </w:t>
      </w:r>
      <w:r>
        <w:t xml:space="preserve">its win/tie/loss count carries that residual. The residual’s origin has since</w:t>
      </w:r>
      <w:r>
        <w:t xml:space="preserve"> </w:t>
      </w:r>
      <w:r>
        <w:t xml:space="preserve">been demonstrated by a promoted re-execution (release g1-rel-2026-08-28-65b3d39e6):</w:t>
      </w:r>
      <w:r>
        <w:t xml:space="preserve"> </w:t>
      </w:r>
      <w:r>
        <w:t xml:space="preserve">re-running the five carrier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under the current build,</w:t>
      </w:r>
      <w:r>
        <w:t xml:space="preserve"> </w:t>
      </w:r>
      <w:r>
        <w:t xml:space="preserve">with the numeric stack pinned to one thread, reproduces the transplant arm on</w:t>
      </w:r>
      <w:r>
        <w:t xml:space="preserve"> </w:t>
      </w:r>
      <w:r>
        <w:t xml:space="preserve">all 26 divergent cells and the archived values on none, while reproducing</w:t>
      </w:r>
      <w:r>
        <w:t xml:space="preserve"> </w:t>
      </w:r>
      <w:r>
        <w:t xml:space="preserve">both on all 229 agreeing cells, with zero seed mismatches — a difference</w:t>
      </w:r>
      <w:r>
        <w:t xml:space="preserve"> </w:t>
      </w:r>
      <w:r>
        <w:t xml:space="preserve">between builds, not a within-build instability, and that table’s caption now</w:t>
      </w:r>
      <w:r>
        <w:t xml:space="preserve"> </w:t>
      </w:r>
      <w:r>
        <w:t xml:space="preserve">reports it as such. No other reported number, rank,</w:t>
      </w:r>
      <w:r>
        <w:t xml:space="preserve"> </w:t>
      </w:r>
      <m:oMath>
        <m:r>
          <m:t>p</m:t>
        </m:r>
      </m:oMath>
      <w:r>
        <w:t xml:space="preserve">-value or decision</w:t>
      </w:r>
      <w:r>
        <w:t xml:space="preserve"> </w:t>
      </w:r>
      <w:r>
        <w:t xml:space="preserve">in this paper or this Supplementary Material depends on which of the two</w:t>
      </w:r>
      <w:r>
        <w:t xml:space="preserve"> </w:t>
      </w:r>
      <w:r>
        <w:t xml:space="preserve">revisions is used, and the archived release from which every reported number</w:t>
      </w:r>
      <w:r>
        <w:t xml:space="preserve"> </w:t>
      </w:r>
      <w:r>
        <w:t xml:space="preserve">is derived is itself unchanged.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77" w:name="ref_sec_repro_tuning"/>
      <w:r>
        <w:t xml:space="preserve">S5.3.</w:t>
      </w:r>
      <w:bookmarkEnd w:id="277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78" w:name="ref_sec_repro_limitations"/>
      <w:r>
        <w:t xml:space="preserve">S5.4.</w:t>
      </w:r>
      <w:bookmarkEnd w:id="278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stated there,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 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enters any panel, table, figure or</w:t>
      </w:r>
      <w:r>
        <w:t xml:space="preserve"> </w:t>
      </w:r>
      <w:r>
        <w:t xml:space="preserve">claim here to calibrate the family against the broader state of the art; the</w:t>
      </w:r>
      <w:r>
        <w:t xml:space="preserve"> </w:t>
      </w:r>
      <w:r>
        <w:t xml:space="preserve">repository does contain runnable non-GSK implementations and, for three</w:t>
      </w:r>
      <w:r>
        <w:t xml:space="preserve"> </w:t>
      </w:r>
      <w:r>
        <w:t xml:space="preserve">large-scale specialists, CEC2013LSGO result banks produced under this paper’s</w:t>
      </w:r>
      <w:r>
        <w:t xml:space="preserve"> </w:t>
      </w:r>
      <w:r>
        <w:t xml:space="preserve">protocol, none of them analyzed here (Section S7.1).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asymmetry. It is bounded by the</w:t>
      </w:r>
      <w:r>
        <w:t xml:space="preserve"> </w:t>
      </w:r>
      <w:r>
        <w:t xml:space="preserve">matched-initial-population control of Section S9.2: held to the comparators’</w:t>
      </w:r>
      <w:r>
        <w:t xml:space="preserve"> </w:t>
      </w:r>
      <w:r>
        <w:t xml:space="preserve">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stays within the panel’s top two at every</w:t>
      </w:r>
      <w:r>
        <w:t xml:space="preserve"> </w:t>
      </w:r>
      <w:r>
        <w:t xml:space="preserve">CEC2017 dimension, but its first 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</w:t>
      </w:r>
      <w:r>
        <w:t xml:space="preserve"> </w:t>
      </w:r>
      <w:r>
        <w:t xml:space="preserve">survive, so those two rank claims rest in part on the population rule. The</w:t>
      </w:r>
      <w:r>
        <w:t xml:space="preserve"> </w:t>
      </w:r>
      <w:r>
        <w:t xml:space="preserve">asymmetry is most consequential at low dimension, where DT-GSK runs</w:t>
      </w:r>
      <w:r>
        <w:t xml:space="preserve"> </w:t>
      </w:r>
      <w:r>
        <w:t xml:space="preserve">essentially the 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consumes. That question is now answered for the</w:t>
      </w:r>
      <w:r>
        <w:t xml:space="preserve"> </w:t>
      </w:r>
      <w:r>
        <w:t xml:space="preserve">coordinate comparison: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isolates the three arms</w:t>
      </w:r>
      <w:r>
        <w:t xml:space="preserve"> </w:t>
      </w:r>
      <w:r>
        <w:t xml:space="preserve">directly and finds the plain coordinate axes</w:t>
      </w:r>
      <w:r>
        <w:t xml:space="preserve"> </w:t>
      </w:r>
      <w:r>
        <w:rPr>
          <w:i/>
          <w:iCs/>
        </w:rPr>
        <w:t xml:space="preserve">outperform</w:t>
      </w:r>
      <w:r>
        <w:t xml:space="preserve"> </w:t>
      </w:r>
      <w:r>
        <w:t xml:space="preserve">the learned</w:t>
      </w:r>
      <w:r>
        <w:t xml:space="preserve"> </w:t>
      </w:r>
      <w:r>
        <w:t xml:space="preserve">eigenframe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 matched random orthonormal basis was not tested and</w:t>
      </w:r>
      <w:r>
        <w:t xml:space="preserve"> </w:t>
      </w:r>
      <w:r>
        <w:t xml:space="preserve">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the parameter-sensitivity evidence is exploratory and narrow. The</w:t>
      </w:r>
      <w:r>
        <w:t xml:space="preserve"> </w:t>
      </w:r>
      <w:r>
        <w:t xml:space="preserve">sweep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covers seven constants at two</w:t>
      </w:r>
      <w:r>
        <w:t xml:space="preserve"> </w:t>
      </w:r>
      <w:r>
        <w:t xml:space="preserve">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 15 repetitions per cell against the</w:t>
      </w:r>
      <w:r>
        <w:t xml:space="preserve"> </w:t>
      </w:r>
      <w:r>
        <w:t xml:space="preserve">frozen panel’s 51. The tier boundaries themselves are varied separately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, where the shipped middle profile is beaten</w:t>
      </w:r>
      <w:r>
        <w:t xml:space="preserve"> </w:t>
      </w:r>
      <w:r>
        <w:t xml:space="preserve">from both neighbouring tiers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</w:t>
      </w:r>
      <w:r>
        <w:t xml:space="preserve"> </w:t>
      </w:r>
      <w:r>
        <w:t xml:space="preserve">shipped upper profile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while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boundaries are</w:t>
      </w:r>
      <w:r>
        <w:t xml:space="preserve"> </w:t>
      </w:r>
      <w:r>
        <w:t xml:space="preserve">insensitive to the tested shifts. Neither ARGP nor the deep-stall</w:t>
      </w:r>
      <w:r>
        <w:t xml:space="preserve"> </w:t>
      </w:r>
      <w:r>
        <w:t xml:space="preserve">restart is isolated by the 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79" w:name="ref_sec_repro_tieband"/>
      <w:r>
        <w:t xml:space="preserve">S5.5.</w:t>
      </w:r>
      <w:bookmarkEnd w:id="279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80" w:name="ref_sec_repro_aliases"/>
      <w:r>
        <w:t xml:space="preserve">S5.6.</w:t>
      </w:r>
      <w:bookmarkEnd w:id="280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1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81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82" w:name="ref_sec_repro_acronyms"/>
      <w:r>
        <w:t xml:space="preserve">S5.7.</w:t>
      </w:r>
      <w:bookmarkEnd w:id="282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ref_tab_acronyms \h </w:instrText>
      </w:r>
      <w:r>
        <w:fldChar w:fldCharType="separate"/>
      </w:r>
      <w:r>
        <w:t xml:space="preserve">A21</w:t>
      </w:r>
      <w:r>
        <w:fldChar w:fldCharType="end"/>
      </w:r>
      <w:r>
        <w:t xml:space="preserve"> covers the acronyms that appear in prose but carry no</w:t>
      </w:r>
      <w:r>
        <w:t xml:space="preserve"> </w:t>
      </w:r>
      <w:r>
        <w:t xml:space="preserve">symbol, so a reader meeting one out of order does not have to search for its</w:t>
      </w:r>
      <w:r>
        <w:t xml:space="preserve"> </w:t>
      </w:r>
      <w:r>
        <w:t xml:space="preserve">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3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83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 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84" w:name="ref_sec_repro_params_detail"/>
      <w:r>
        <w:t xml:space="preserve">S5.8.</w:t>
      </w:r>
      <w:bookmarkEnd w:id="284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5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85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</w:t>
      </w:r>
      <w:r>
        <w:t xml:space="preserve"> </w:t>
      </w:r>
      <w:r>
        <w:t xml:space="preserve">per-suite or per-run tuning is performed: every value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alone. Hash-frozen in 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per-suite or per-run tuning is performed: every value is resolved from D alone.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86" w:name="ref_sec_repro_opspec"/>
      <w:r>
        <w:t xml:space="preserve">S5.9.</w:t>
      </w:r>
      <w:bookmarkEnd w:id="286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table.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strictly negative)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In the frozen configuration the freeze test, the recovery test</w:t>
      </w:r>
      <w:r>
        <w:t xml:space="preserve"> </w:t>
      </w:r>
      <w:r>
        <w:t xml:space="preserve">and the mass redistribution act on the pooled acceptance record and the</w:t>
      </w:r>
      <w:r>
        <w:t xml:space="preserve"> </w:t>
      </w:r>
      <w:r>
        <w:t xml:space="preserve">mixed probability vector, and the redistributed vector is written back over</w:t>
      </w:r>
      <w:r>
        <w:t xml:space="preserve"> </w:t>
      </w:r>
      <w:r>
        <w:t xml:space="preserve">both halves of the top/bottom memory, so that memory is reset whenever any</w:t>
      </w:r>
      <w:r>
        <w:t xml:space="preserve"> </w:t>
      </w:r>
      <w:r>
        <w:t xml:space="preserve">arm is frozen; a per-half scope is implemented but not enabled.</w:t>
      </w:r>
      <w:r>
        <w:t xml:space="preserve"> </w:t>
      </w:r>
      <w:r>
        <w:t xml:space="preserve">ARGP retirement branch,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ARGP retirement branch, _dt_core.py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(</w:t>
      </w:r>
      <w:r>
        <w:fldChar w:fldCharType="begin"/>
      </w:r>
      <w:r>
        <w:instrText xml:space="preserve"> REF ref_eq_opspec_conf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budget-safe-escape event — a partial restart, or any Cauchy perturbation, including a successful rescue that cancels the restart —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87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87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b46a021d6eddd447cad30164db7fdab8b251125"/>
    <w:p>
      <w:pPr>
        <w:pStyle w:val="Heading4"/>
      </w:pPr>
      <w:r>
        <w:t xml:space="preserve">Deterministic final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(</w:t>
      </w:r>
      <w:r>
        <w:fldChar w:fldCharType="begin"/>
      </w:r>
      <w:r>
        <w:instrText xml:space="preserve"> REF ref_eq_opspec_conf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(eval_budget_frac</w:t>
      </w:r>
      <w:r>
        <w:t xml:space="preserve"> </w:t>
      </w:r>
      <m:oMath>
        <m:r>
          <m:rPr>
            <m:sty m:val="p"/>
          </m:rPr>
          <m:t>⋅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 post-search cooldown, and a post-restart block of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generations, the same at</w:t>
      </w:r>
      <w:r>
        <w:t xml:space="preserve"> </w:t>
      </w:r>
      <w:r>
        <w:t xml:space="preserve">every tier, that is armed only when a budget-safe escape has actually reseeded</w:t>
      </w:r>
      <w:r>
        <w:t xml:space="preserve"> </w:t>
      </w:r>
      <w:r>
        <w:t xml:space="preserve">rows — an escape whose Cauchy rescue cancelled the restart does not arm it.</w:t>
      </w:r>
      <w:r>
        <w:t xml:space="preserve"> </w:t>
      </w:r>
      <w:r>
        <w:t xml:space="preserve">The parameter table’s budget/ROI gate adds one further condition at the highest</w:t>
      </w:r>
      <w:r>
        <w:t xml:space="preserve"> </w:t>
      </w:r>
      <w:r>
        <w:t xml:space="preserve">tier.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288" w:name="ref_sec_repro_release"/>
      <w:r>
        <w:t xml:space="preserve">S5.10.</w:t>
      </w:r>
      <w:bookmarkEnd w:id="288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 — except those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ref_sec_supp_revision \h </w:instrText>
      </w:r>
      <w:r>
        <w:fldChar w:fldCharType="separate"/>
      </w:r>
      <w:r>
        <w:t xml:space="preserve">S9</w:t>
      </w:r>
      <w:r>
        <w:fldChar w:fldCharType="end"/>
      </w:r>
      <w:r>
        <w:t xml:space="preserve">, which carry the compound provenance that</w:t>
      </w:r>
      <w:r>
        <w:t xml:space="preserve"> </w:t>
      </w:r>
      <w:r>
        <w:t xml:space="preserve">section states. That primary release’s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(618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289" w:name="ref_sec_supp_ablation"/>
      <w:r>
        <w:t xml:space="preserve">S6.</w:t>
      </w:r>
      <w:bookmarkEnd w:id="289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290" w:name="ref_sec_supp_ablation_design"/>
      <w:r>
        <w:t xml:space="preserve">S6.1.</w:t>
      </w:r>
      <w:bookmarkEnd w:id="290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291" w:name="ref_sec_supp_ablation_stats"/>
      <w:r>
        <w:t xml:space="preserve">S6.2.</w:t>
      </w:r>
      <w:bookmarkEnd w:id="291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 on the</w:t>
      </w:r>
      <w:r>
        <w:t xml:space="preserve"> </w:t>
      </w:r>
      <w:r>
        <w:t xml:space="preserve">per-function mean final error (lower rank is better). The omnibus</w:t>
      </w:r>
      <w:r>
        <w:t xml:space="preserve"> </w:t>
      </w:r>
      <m:oMath>
        <m:r>
          <m:t>p</m:t>
        </m:r>
      </m:oMath>
      <w:r>
        <w:t xml:space="preserve">-value is reported as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tie-corrected</w:t>
      </w:r>
      <w:r>
        <w:t xml:space="preserve"> </w:t>
      </w:r>
      <w:r>
        <w:t xml:space="preserve">Friedman statistic, matching the convention used for the primary suites in</w:t>
      </w:r>
      <w:r>
        <w:t xml:space="preserve"> </w:t>
      </w:r>
      <w:r>
        <w:t xml:space="preserve">the main text; the exact-value ties created by the success floor are</w:t>
      </w:r>
      <w:r>
        <w:t xml:space="preserve"> </w:t>
      </w:r>
      <w:r>
        <w:t xml:space="preserve">material here, and since the correction 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it can</w:t>
      </w:r>
      <w:r>
        <w:t xml:space="preserve"> </w:t>
      </w:r>
      <w:r>
        <w:t xml:space="preserve">only increase the statistic and leaves every mean rank untouched.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functions, Holm-corrected</w:t>
      </w:r>
      <w:r>
        <w:t xml:space="preserve"> </w:t>
      </w:r>
      <w:r>
        <w:t xml:space="preserve">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2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92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Iman-Davenport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9.8e-09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1.2e-10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2.7e-02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93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293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4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94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 with</w:t>
      </w:r>
      <w:r>
        <w:t xml:space="preserve"> </w:t>
      </w:r>
      <w:r>
        <w:t xml:space="preserve">Holm correction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295" w:name="ref_sec_supp_ablation_findings"/>
      <w:r>
        <w:t xml:space="preserve">S6.3.</w:t>
      </w:r>
      <w:bookmarkEnd w:id="295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omnibus signal is weakest (</w:t>
      </w:r>
      <m:oMath>
        <m:r>
          <m:t>p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296" w:name="ref_sec_supp_ablation_limits"/>
      <w:r>
        <w:t xml:space="preserve">S6.4.</w:t>
      </w:r>
      <w:bookmarkEnd w:id="296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297" w:name="ref_sec_supp_ablation_sgsm"/>
      <w:r>
        <w:t xml:space="preserve">S6.5.</w:t>
      </w:r>
      <w:bookmarkEnd w:id="297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is measured by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computed</w:t>
      </w:r>
      <w:r>
        <w:t xml:space="preserve"> </w:t>
      </w:r>
      <w:r>
        <w:t xml:space="preserve">per function on the raw runs and averaged over functions; the four cells</w:t>
      </w:r>
      <w:r>
        <w:t xml:space="preserve"> </w:t>
      </w:r>
      <w:r>
        <w:t xml:space="preserve">differ overall (Iman–Davenport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5.96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omnibus values use the tie-corrected Friedman</w:t>
      </w:r>
      <w:r>
        <w:t xml:space="preserve"> </w:t>
      </w:r>
      <w:r>
        <w:t xml:space="preserve">statistic with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the same decision criterion the</w:t>
      </w:r>
      <w:r>
        <w:t xml:space="preserve"> </w:t>
      </w:r>
      <w:r>
        <w:t xml:space="preserve">main text applies to the primary suites — so component and primary</w:t>
      </w:r>
      <w:r>
        <w:t xml:space="preserve"> </w:t>
      </w:r>
      <w:r>
        <w:t xml:space="preserve">omnibus figures are now directly comparable. The classical chi-square</w:t>
      </w:r>
      <w:r>
        <w:t xml:space="preserve"> </w:t>
      </w:r>
      <w:r>
        <w:t xml:space="preserve">approximation reported previously (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is retained as an audit</w:t>
      </w:r>
      <w:r>
        <w:t xml:space="preserve"> </w:t>
      </w:r>
      <w:r>
        <w:t xml:space="preserve">companion in the released contrasts files. Because the tie-correction</w:t>
      </w:r>
      <w:r>
        <w:t xml:space="preserve"> </w:t>
      </w:r>
      <w:r>
        <w:t xml:space="preserve">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, the correction can only increase the</w:t>
      </w:r>
      <w:r>
        <w:t xml:space="preserve"> </w:t>
      </w:r>
      <w:r>
        <w:t xml:space="preserve">statistic: every</w:t>
      </w:r>
      <w:r>
        <w:t xml:space="preserve"> </w:t>
      </w:r>
      <m:oMath>
        <m:r>
          <m:t>p</m:t>
        </m:r>
      </m:oMath>
      <w:r>
        <w:t xml:space="preserve">-value decreases and no ranking or Holm decision in</w:t>
      </w:r>
      <w:r>
        <w:t xml:space="preserve"> </w:t>
      </w:r>
      <w:r>
        <w:t xml:space="preserve">this section changes. The findings below are carried by the</w:t>
      </w:r>
      <w:r>
        <w:t xml:space="preserve"> </w:t>
      </w:r>
      <w:r>
        <w:t xml:space="preserve">Holm-corrected paired Wilcoxon tests of 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,</w:t>
      </w:r>
      <w:r>
        <w:t xml:space="preserve"> </w:t>
      </w:r>
      <w:r>
        <w:t xml:space="preserve">which the choice of omnibus statistic does not affect.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8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98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it</w:t>
      </w:r>
      <w:r>
        <w:t xml:space="preserve"> </w:t>
      </w:r>
      <w:r>
        <w:t xml:space="preserve">does not by itself attribute the effect among the phase’s parts—the</w:t>
      </w:r>
      <w:r>
        <w:t xml:space="preserve"> </w:t>
      </w:r>
      <w:r>
        <w:t xml:space="preserve">basis-level attribution is provided by the direct isolation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—while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(the no_sgsm row is itself null, but it</w:t>
      </w:r>
      <w:r>
        <w:t xml:space="preserve"> </w:t>
      </w:r>
      <w:r>
        <w:t xml:space="preserve">disables the memory entirely — removing its linkage channel as well as its</w:t>
      </w:r>
      <w:r>
        <w:t xml:space="preserve"> </w:t>
      </w:r>
      <w:r>
        <w:t xml:space="preserve">eigenbasis — so it cannot separate the basis from the endgame;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does that directly).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299" w:name="ref_sec_supp_ablation_subset"/>
      <w:r>
        <w:t xml:space="preserve">S6.6.</w:t>
      </w:r>
      <w:bookmarkEnd w:id="299"/>
      <w:r>
        <w:tab/>
      </w:r>
      <w:r>
        <w:t xml:space="preserve"> Conditional-Benefit Analysis by Function Class (Post 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0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00"/>
      <w:r>
        <w:rPr>
          <w:b/>
        </w:rPr>
        <w:t xml:space="preserve">. </w:t>
      </w:r>
      <w:r>
        <w:t xml:space="preserve"> Post 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 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ref_tab_ism_subset \h </w:instrText>
      </w:r>
      <w:r>
        <w:fldChar w:fldCharType="separate"/>
      </w:r>
      <w:r>
        <w:t xml:space="preserve">A26</w:t>
      </w:r>
      <w:r>
        <w:fldChar w:fldCharType="end"/>
      </w:r>
      <w:r>
        <w:t xml:space="preserve">; 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01" w:name="ref_sec_supp_ablation_caveats"/>
      <w:r>
        <w:t xml:space="preserve">S6.7.</w:t>
      </w:r>
      <w:bookmarkEnd w:id="301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02" w:name="ref_sec_supp_cec2013lsgo"/>
      <w:r>
        <w:t xml:space="preserve">S7.</w:t>
      </w:r>
      <w:bookmarkEnd w:id="302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03" w:name="ref_sec_supp_lsgo_protocol"/>
      <w:r>
        <w:t xml:space="preserve">S7.1.</w:t>
      </w:r>
      <w:bookmarkEnd w:id="303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(statistical_analysis_plan_addendum_cec2020_lsgo.md), signed</w:t>
      </w:r>
      <w:r>
        <w:t xml:space="preserve"> </w:t>
      </w:r>
      <w:r>
        <w:t xml:space="preserve">before any result existed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 and MOS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p>
      <w:pPr>
        <w:pStyle w:val="BodyText"/>
      </w:pPr>
      <w:r>
        <w:t xml:space="preserve">For completeness: the public repository cited in the Data Availability</w:t>
      </w:r>
      <w:r>
        <w:t xml:space="preserve"> </w:t>
      </w:r>
      <w:r>
        <w:t xml:space="preserve">Statement additionally holds exploratory ports of SHADE-ILS, MOS</w:t>
      </w:r>
      <w:r>
        <w:t xml:space="preserve"> </w:t>
      </w:r>
      <w:r>
        <w:t xml:space="preserve">and DECC-G — the first two vendored byte-faithful copies, DECC-G first-party</w:t>
      </w:r>
      <w:r>
        <w:t xml:space="preserve"> </w:t>
      </w:r>
      <w:r>
        <w:t xml:space="preserve">code written from its source paper, as that statement records — executed on</w:t>
      </w:r>
      <w:r>
        <w:t xml:space="preserve"> </w:t>
      </w:r>
      <w:r>
        <w:t xml:space="preserve">this suite under the same harness and seed schedule.</w:t>
      </w:r>
      <w:r>
        <w:t xml:space="preserve"> </w:t>
      </w:r>
      <w:r>
        <w:t xml:space="preserve">They are retained there as exploratory material outside the registered</w:t>
      </w:r>
      <w:r>
        <w:t xml:space="preserve"> </w:t>
      </w:r>
      <w:r>
        <w:t xml:space="preserve">panel; they are not analyzed in this paper, they enter no ranking or test</w:t>
      </w:r>
      <w:r>
        <w:t xml:space="preserve"> </w:t>
      </w:r>
      <w:r>
        <w:t xml:space="preserve">reported here, and no claim in this paper rests on them.</w:t>
      </w:r>
    </w:p>
    <w:bookmarkEnd w:id="176"/>
    <w:bookmarkStart w:id="177" w:name="lbl_sec_supp_lsgo_config"/>
    <w:p>
      <w:pPr>
        <w:pStyle w:val="Heading2"/>
      </w:pPr>
      <w:bookmarkStart w:id="304" w:name="ref_sec_supp_lsgo_config"/>
      <w:r>
        <w:t xml:space="preserve">S7.2.</w:t>
      </w:r>
      <w:bookmarkEnd w:id="304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A second configuration asymmetry is disclosed here because it is larger on</w:t>
      </w:r>
      <w:r>
        <w:t xml:space="preserve"> </w:t>
      </w:r>
      <w:r>
        <w:t xml:space="preserve">this suite than anywhere else in the paper: DT-GSK’s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rule gives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against the comparators’ reference-implementation value 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— a</w:t>
      </w:r>
      <w:r>
        <w:t xml:space="preserve"> </w:t>
      </w:r>
      <w:r>
        <w:t xml:space="preserve">fifty-fold ratio at initialization, where the corresponding ratio is</w:t>
      </w:r>
      <w:r>
        <w:t xml:space="preserve"> </w:t>
      </w:r>
      <w:r>
        <w:t xml:space="preserve">five-fold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 the bound-constrained suites. The budget is</w:t>
      </w:r>
      <w:r>
        <w:t xml:space="preserve"> </w:t>
      </w:r>
      <w:r>
        <w:t xml:space="preserve">equalized on function evaluations rather than on population size, so the</w:t>
      </w:r>
      <w:r>
        <w:t xml:space="preserve"> </w:t>
      </w:r>
      <w:r>
        <w:t xml:space="preserve">larger initial population buys proportionally fewer generations; the</w:t>
      </w:r>
      <w:r>
        <w:t xml:space="preserve"> </w:t>
      </w:r>
      <w:r>
        <w:t xml:space="preserve">population rule is not a controlled variable on this suite, and the</w:t>
      </w:r>
      <w:r>
        <w:t xml:space="preserve"> </w:t>
      </w:r>
      <w:r>
        <w:t xml:space="preserve">matched-population control of Section </w:t>
      </w:r>
      <w:r>
        <w:fldChar w:fldCharType="begin"/>
      </w:r>
      <w:r>
        <w:instrText xml:space="preserve"> REF ref_sec_supp_rev_np \h </w:instrText>
      </w:r>
      <w:r>
        <w:fldChar w:fldCharType="separate"/>
      </w:r>
      <w:r>
        <w:t xml:space="preserve">S9.2</w:t>
      </w:r>
      <w:r>
        <w:fldChar w:fldCharType="end"/>
      </w:r>
      <w:r>
        <w:t xml:space="preserve"> covers</w:t>
      </w:r>
      <w:r>
        <w:t xml:space="preserve"> </w:t>
      </w:r>
      <w:r>
        <w:t xml:space="preserve">CEC2017 only.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05" w:name="ref_sec_supp_lsgo_ranks"/>
      <w:r>
        <w:t xml:space="preserve">S7.3.</w:t>
      </w:r>
      <w:bookmarkEnd w:id="305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6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06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07" w:name="ref_sec_supp_lsgo_pairwise"/>
      <w:r>
        <w:t xml:space="preserve">S7.4.</w:t>
      </w:r>
      <w:bookmarkEnd w:id="307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8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08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09" w:name="ref_sec_supp_lsgo_runlevel"/>
      <w:r>
        <w:t xml:space="preserve">S7.5.</w:t>
      </w:r>
      <w:bookmarkEnd w:id="309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0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10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11" w:name="ref_sec_supp_lsgo_effects"/>
      <w:r>
        <w:t xml:space="preserve">S7.6.</w:t>
      </w:r>
      <w:bookmarkEnd w:id="311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2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12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13" w:name="ref_sec_supp_lsgo_detail"/>
      <w:r>
        <w:t xml:space="preserve">S7.7.</w:t>
      </w:r>
      <w:bookmarkEnd w:id="313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4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14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5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15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16" w:name="ref_sec_supp_cec2020"/>
      <w:r>
        <w:t xml:space="preserve">S8.</w:t>
      </w:r>
      <w:bookmarkEnd w:id="316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content-bound and auditable: the addendum’s SHA-256 is</w:t>
      </w:r>
      <w:r>
        <w:t xml:space="preserve"> </w:t>
      </w:r>
      <w:r>
        <w:t xml:space="preserve">recorded in the evidence release manifest that carries every CEC2020 datum,</w:t>
      </w:r>
      <w:r>
        <w:t xml:space="preserve"> </w:t>
      </w:r>
      <w:r>
        <w:t xml:space="preserve">so the registered text cannot have been revised after those results existed,</w:t>
      </w:r>
      <w:r>
        <w:t xml:space="preserve"> </w:t>
      </w:r>
      <w:r>
        <w:t xml:space="preserve">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dimension-tiered design,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addendum’s 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17" w:name="ref_sec_supp_cec2020_standing"/>
      <w:r>
        <w:t xml:space="preserve">S8.1.</w:t>
      </w:r>
      <w:bookmarkEnd w:id="317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8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18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19" w:name="ref_sec_supp_cec2020_omnibus"/>
      <w:r>
        <w:t xml:space="preserve">S8.2.</w:t>
      </w:r>
      <w:bookmarkEnd w:id="319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0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20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21" w:name="ref_sec_supp_cec2020_pairwise"/>
      <w:r>
        <w:t xml:space="preserve">S8.3.</w:t>
      </w:r>
      <w:bookmarkEnd w:id="321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2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22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3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23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24" w:name="ref_sec_supp_cec2020_effects"/>
      <w:r>
        <w:t xml:space="preserve">S8.4.</w:t>
      </w:r>
      <w:bookmarkEnd w:id="324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5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25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26" w:name="ref_sec_supp_cec2020_robustness"/>
      <w:r>
        <w:t xml:space="preserve">S8.5.</w:t>
      </w:r>
      <w:bookmarkEnd w:id="326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7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27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28" w:name="ref_sec_supp_cec2020_detail"/>
      <w:r>
        <w:t xml:space="preserve">S8.6.</w:t>
      </w:r>
      <w:bookmarkEnd w:id="328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9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29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0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30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1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31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2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32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14" w:name="lbl_sec_supp_revision"/>
    <w:p>
      <w:pPr>
        <w:pStyle w:val="Heading1"/>
      </w:pPr>
      <w:bookmarkStart w:id="333" w:name="ref_sec_supp_revision"/>
      <w:r>
        <w:t xml:space="preserve">S9.</w:t>
      </w:r>
      <w:bookmarkEnd w:id="333"/>
      <w:r>
        <w:tab/>
      </w:r>
      <w:r>
        <w:t xml:space="preserve"> Mechanism-Isolation and Sensitivity Experiments</w:t>
      </w:r>
    </w:p>
    <w:p>
      <w:pPr>
        <w:pStyle w:val="FirstParagraph"/>
      </w:pPr>
      <w:r>
        <w:t xml:space="preserve">The five experiments in this section isolate design choices that</w:t>
      </w:r>
      <w:r>
        <w:t xml:space="preserve"> </w:t>
      </w:r>
      <w:r>
        <w:t xml:space="preserve">the original design introduced together — the refinement basis, the</w:t>
      </w:r>
      <w:r>
        <w:t xml:space="preserve"> </w:t>
      </w:r>
      <w:r>
        <w:t xml:space="preserve">population rule, the tier profiles, and the sensitivity of the</w:t>
      </w:r>
      <w:r>
        <w:t xml:space="preserve"> </w:t>
      </w:r>
      <w:r>
        <w:t xml:space="preserve">configuration’s constants (Section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) and of</w:t>
      </w:r>
      <w:r>
        <w:t xml:space="preserve"> </w:t>
      </w:r>
      <w:r>
        <w:t xml:space="preserve">its tier boundaries (Section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).</w:t>
      </w:r>
      <w:r>
        <w:t xml:space="preserve"> </w:t>
      </w:r>
      <w:r>
        <w:t xml:space="preserve">Their designs, estimands, statistical conventions and the wording to</w:t>
      </w:r>
      <w:r>
        <w:t xml:space="preserve"> </w:t>
      </w:r>
      <w:r>
        <w:t xml:space="preserve">be used for each unfavorable outcome were registered in a signed addendum</w:t>
      </w:r>
      <w:r>
        <w:t xml:space="preserve"> </w:t>
      </w:r>
      <w:r>
        <w:t xml:space="preserve">before any of them produced a result; the deviations discovered during</w:t>
      </w:r>
      <w:r>
        <w:t xml:space="preserve"> </w:t>
      </w:r>
      <w:r>
        <w:t xml:space="preserve">post hoc verification are recorded there as dated amendments and are</w:t>
      </w:r>
      <w:r>
        <w:t xml:space="preserve"> </w:t>
      </w:r>
      <w:r>
        <w:t xml:space="preserve">disclosed at the point of use below. That addendum is published with the code</w:t>
      </w:r>
      <w:r>
        <w:t xml:space="preserve"> </w:t>
      </w:r>
      <w:r>
        <w:t xml:space="preserve">and data, as revision_experiments_preregistration.md in the repository</w:t>
      </w:r>
      <w:r>
        <w:t xml:space="preserve"> </w:t>
      </w:r>
      <w:r>
        <w:t xml:space="preserve">named in the Data Availability Statement, so the registered adverse wording</w:t>
      </w:r>
      <w:r>
        <w:t xml:space="preserve"> </w:t>
      </w:r>
      <w:r>
        <w:t xml:space="preserve">can be read directly against what is reported here. The later amendments</w:t>
      </w:r>
      <w:r>
        <w:t xml:space="preserve"> </w:t>
      </w:r>
      <w:r>
        <w:t xml:space="preserve">carry commit-level dates in that repository; the earlier registrations are</w:t>
      </w:r>
      <w:r>
        <w:t xml:space="preserve"> </w:t>
      </w:r>
      <w:r>
        <w:t xml:space="preserve">bound instead by the checksums recorded in the evidence release manifests,</w:t>
      </w:r>
      <w:r>
        <w:t xml:space="preserve"> </w:t>
      </w:r>
      <w:r>
        <w:t xml:space="preserve">because the published history is a squashed import and does not preserve the</w:t>
      </w:r>
      <w:r>
        <w:t xml:space="preserve"> </w:t>
      </w:r>
      <w:r>
        <w:t xml:space="preserve">original commit dates.</w:t>
      </w:r>
    </w:p>
    <w:p>
      <w:pPr>
        <w:pStyle w:val="BodyText"/>
      </w:pPr>
      <w:r>
        <w:t xml:space="preserve">The evidence for this section is compound, and is named here because no</w:t>
      </w:r>
      <w:r>
        <w:t xml:space="preserve"> </w:t>
      </w:r>
      <w:r>
        <w:t xml:space="preserve">single release carries it: the arms of the first four experiments come from</w:t>
      </w:r>
      <w:r>
        <w:t xml:space="preserve"> </w:t>
      </w:r>
      <w:r>
        <w:t xml:space="preserve">the separate, non-superseding release rev-rel-2026-08-26-dd42d37eb; the boundary arms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 come from the further additive release</w:t>
      </w:r>
      <w:r>
        <w:t xml:space="preserve"> </w:t>
      </w:r>
      <w:r>
        <w:t xml:space="preserve">rev2-rel-2026-08-28-203c78744; the comparator columns</w:t>
      </w:r>
      <w:r>
        <w:t xml:space="preserve"> </w:t>
      </w:r>
      <w:r>
        <w:t xml:space="preserve">against which they are read come from the primary release; and the</w:t>
      </w:r>
      <w:r>
        <w:t xml:space="preserve"> </w:t>
      </w:r>
      <w:r>
        <w:t xml:space="preserve">no-refinement arm of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comes from the frozen</w:t>
      </w:r>
      <w:r>
        <w:t xml:space="preserve"> </w:t>
      </w:r>
      <w:r>
        <w:t xml:space="preserve">ablation release. Nothing in any of them is re-minted by this section.</w:t>
      </w:r>
      <w:r>
        <w:t xml:space="preserve"> </w:t>
      </w:r>
      <w:r>
        <w:t xml:space="preserve">Across-function Wilcoxon tests in this section apply the manuscript’s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before ranking; the first analysis release of E1-E3 used</w:t>
      </w:r>
      <w:r>
        <w:t xml:space="preserve"> </w:t>
      </w:r>
      <w:r>
        <w:t xml:space="preserve">the exact-zero convention instead, and that deviation, its correction, and its</w:t>
      </w:r>
      <w:r>
        <w:t xml:space="preserve"> </w:t>
      </w:r>
      <w:r>
        <w:t xml:space="preserve">one decision-level consequence are recorded as pre-registration Amendments</w:t>
      </w:r>
      <w:r>
        <w:t xml:space="preserve"> </w:t>
      </w:r>
      <w:r>
        <w:t xml:space="preserve">A5-A6 and restated at the point of use below. A second, earlier departure</w:t>
      </w:r>
      <w:r>
        <w:t xml:space="preserve"> </w:t>
      </w:r>
      <w:r>
        <w:t xml:space="preserve">is recorded as Amendment A3: for Experiments E2 and E3 the executed Holm</w:t>
      </w:r>
      <w:r>
        <w:t xml:space="preserve"> </w:t>
      </w:r>
      <w:r>
        <w:t xml:space="preserve">families correct across dimensions where the registered plan specified</w:t>
      </w:r>
      <w:r>
        <w:t xml:space="preserve"> </w:t>
      </w:r>
      <w:r>
        <w:t xml:space="preserve">within dimension. The amendment records the departure, its direction, and</w:t>
      </w:r>
      <w:r>
        <w:t xml:space="preserve"> </w:t>
      </w:r>
      <w:r>
        <w:t xml:space="preserve">the verification that every decision reported here is unchanged under the</w:t>
      </w:r>
      <w:r>
        <w:t xml:space="preserve"> </w:t>
      </w:r>
      <w:r>
        <w:t xml:space="preserve">registered family; for E2 the registered family would have had one member,</w:t>
      </w:r>
      <w:r>
        <w:t xml:space="preserve"> </w:t>
      </w:r>
      <w:r>
        <w:t xml:space="preserve">so the executed correction is the more conservative of the two.</w:t>
      </w:r>
      <w:r>
        <w:t xml:space="preserve"> </w:t>
      </w:r>
      <w:r>
        <w:t xml:space="preserve">The experiments ran under the same</w:t>
      </w:r>
      <w:r>
        <w:t xml:space="preserve"> </w:t>
      </w:r>
      <w:r>
        <w:t xml:space="preserve">unified Threefry seed schedule, base seed and protocol budget as the primary</w:t>
      </w:r>
      <w:r>
        <w:t xml:space="preserve"> </w:t>
      </w:r>
      <w:r>
        <w:t xml:space="preserve">panel, so every new cell pairs with the frozen evidence at matched</w:t>
      </w:r>
      <w:r>
        <w:t xml:space="preserve"> </w:t>
      </w:r>
      <w:r>
        <w:t xml:space="preserve">(dimension, function, run); pairing was verified by seed identity before any</w:t>
      </w:r>
      <w:r>
        <w:t xml:space="preserve"> </w:t>
      </w:r>
      <w:r>
        <w:t xml:space="preserve">statistic was computed, with no mismatch in any comparison. Nothing in the</w:t>
      </w:r>
      <w:r>
        <w:t xml:space="preserve"> </w:t>
      </w:r>
      <w:r>
        <w:t xml:space="preserve">primary release was re-run or re-minted.</w:t>
      </w:r>
    </w:p>
    <w:bookmarkStart w:id="209" w:name="lbl_sec_supp_rev_basis"/>
    <w:p>
      <w:pPr>
        <w:pStyle w:val="Heading2"/>
      </w:pPr>
      <w:bookmarkStart w:id="334" w:name="ref_sec_supp_rev_basis"/>
      <w:r>
        <w:t xml:space="preserve">S9.1.</w:t>
      </w:r>
      <w:bookmarkEnd w:id="334"/>
      <w:r>
        <w:tab/>
      </w:r>
      <w:r>
        <w:t xml:space="preserve"> Refinement Basis: Eigenframe, Coordinate Axes, or None</w:t>
      </w:r>
    </w:p>
    <w:p>
      <w:pPr>
        <w:pStyle w:val="FirstParagraph"/>
      </w:pPr>
      <w:r>
        <w:t xml:space="preserve">The final polish was previously evaluated only as a whole: the released</w:t>
      </w:r>
      <w:r>
        <w:t xml:space="preserve"> </w:t>
      </w:r>
      <w:r>
        <w:t xml:space="preserve">component study removed the entire final search procedure rather than testing</w:t>
      </w:r>
      <w:r>
        <w:t xml:space="preserve"> </w:t>
      </w:r>
      <w:r>
        <w:t xml:space="preserve">the contribution of the basis it searches along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This experiment separates the two.</w:t>
      </w:r>
      <w:r>
        <w:t xml:space="preserve"> </w:t>
      </w:r>
      <w:r>
        <w:t xml:space="preserve">Three arms differ in the direction set alone — no refinement, the coordinate</w:t>
      </w:r>
      <w:r>
        <w:t xml:space="preserve"> </w:t>
      </w:r>
      <w:r>
        <w:t xml:space="preserve">axes, and the learned eigenframe — at the shipped configuration in every</w:t>
      </w:r>
      <w:r>
        <w:t xml:space="preserve"> </w:t>
      </w:r>
      <w:r>
        <w:t xml:space="preserve">other respect, with the interaction-structure memory and the linkage channel</w:t>
      </w:r>
      <w:r>
        <w:t xml:space="preserve"> </w:t>
      </w:r>
      <w:r>
        <w:t xml:space="preserve">live,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ref_tab_rev_e1 \h </w:instrText>
      </w:r>
      <w:r>
        <w:fldChar w:fldCharType="separate"/>
      </w:r>
      <w:r>
        <w:t xml:space="preserve">A43</w:t>
      </w:r>
      <w:r>
        <w:fldChar w:fldCharType="end"/>
      </w:r>
      <w:r>
        <w:t xml:space="preserve"> reports the contrast.</w:t>
      </w:r>
    </w:p>
    <w:p>
      <w:pPr>
        <w:pStyle w:val="BodyText"/>
      </w:pPr>
      <w:r>
        <w:t xml:space="preserve">The coordinate arm is produced by supplying the identity matrix through a</w:t>
      </w:r>
      <w:r>
        <w:t xml:space="preserve"> </w:t>
      </w:r>
      <w:r>
        <w:t xml:space="preserve">keyword-only research parameter of the optimizer core. That parameter is</w:t>
      </w:r>
      <w:r>
        <w:t xml:space="preserve"> </w:t>
      </w:r>
      <w:r>
        <w:t xml:space="preserve">deliberately unreachable from every configuration, profile, command-line and</w:t>
      </w:r>
      <w:r>
        <w:t xml:space="preserve"> </w:t>
      </w:r>
      <w:r>
        <w:t xml:space="preserve">adapter path in the shipped package, and a regression test asserts as much;</w:t>
      </w:r>
      <w:r>
        <w:t xml:space="preserve"> </w:t>
      </w:r>
      <w:r>
        <w:t xml:space="preserve">it is exercised here from a driver outside that package, with no shipped</w:t>
      </w:r>
      <w:r>
        <w:t xml:space="preserve"> </w:t>
      </w:r>
      <w:r>
        <w:t xml:space="preserve">source modified. The identity basis reproduces exactly the fallback the polish</w:t>
      </w:r>
      <w:r>
        <w:t xml:space="preserve"> </w:t>
      </w:r>
      <w:r>
        <w:t xml:space="preserve">already uses whenever the interaction graph carries no signal, so the contrast</w:t>
      </w:r>
      <w:r>
        <w:t xml:space="preserve"> </w:t>
      </w:r>
      <w:r>
        <w:t xml:space="preserve">isolates the basis and nothing else.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5" w:name="ref_tab_rev_e1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43</w:t>
      </w:r>
      <w:r>
        <w:fldChar w:fldCharType="end"/>
      </w:r>
      <w:bookmarkEnd w:id="335"/>
      <w:r>
        <w:rPr>
          <w:b/>
        </w:rPr>
        <w:t xml:space="preserve">. </w:t>
      </w:r>
      <w:r>
        <w:t xml:space="preserve"> Refinement-basis contrast on CEC2017 at the two dimensions where the</w:t>
      </w:r>
      <w:r>
        <w:t xml:space="preserve"> </w:t>
      </w:r>
      <w:r>
        <w:t xml:space="preserve">polish is active. Paired Wilcoxon signed-rank across the 29 scored functions on</w:t>
      </w:r>
      <w:r>
        <w:t xml:space="preserve"> </w:t>
      </w:r>
      <w:r>
        <w:t xml:space="preserve">per-function mean error, Holm-corrected within dimension over the registered</w:t>
      </w:r>
      <w:r>
        <w:t xml:space="preserve"> </w:t>
      </w:r>
      <w:r>
        <w:t xml:space="preserve">two-contrast family;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over the paired runs of all scored functions</w:t>
      </w:r>
      <w:r>
        <w:t xml:space="preserve"> </w:t>
      </w:r>
      <w:r>
        <w:t xml:space="preserve">pooled — not the per-function-averaged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of Section S6.5 — computed with the first-named</w:t>
      </w:r>
      <w:r>
        <w:t xml:space="preserve"> </w:t>
      </w:r>
      <w:r>
        <w:t xml:space="preserve">arm as reference, so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favors the second; between-function scale</w:t>
      </w:r>
      <w:r>
        <w:t xml:space="preserve"> </w:t>
      </w:r>
      <w:r>
        <w:t xml:space="preserve">dominates the pooled pairs and compresses the statistic toward</w:t>
      </w:r>
      <w:r>
        <w:t xml:space="preserve"> </w:t>
      </w:r>
      <m:oMath>
        <m:r>
          <m:t>0.5</m:t>
        </m:r>
      </m:oMath>
      <w:r>
        <w:t xml:space="preserve">, so a</w:t>
      </w:r>
      <w:r>
        <w:t xml:space="preserve"> </w:t>
      </w:r>
      <w:r>
        <w:t xml:space="preserve">value near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here does not indicate a null contrast. W/T/L counts functions with wins</w:t>
      </w:r>
      <w:r>
        <w:t xml:space="preserve"> </w:t>
      </w:r>
      <w:r>
        <w:t xml:space="preserve">credited to the first-named arm, ties at a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the same</w:t>
      </w:r>
      <w:r>
        <w:t xml:space="preserve"> </w:t>
      </w:r>
      <w:r>
        <w:t xml:space="preserve">band is applied before ranking,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reports the functions remaining in each ranking</w:t>
      </w:r>
      <w:r>
        <w:t xml:space="preserve"> </w:t>
      </w:r>
      <w:r>
        <w:t xml:space="preserve">(Amendments A5-A6).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coordinate-versus-none row is a</w:t>
      </w:r>
      <w:r>
        <w:t xml:space="preserve"> </w:t>
      </w:r>
      <w:r>
        <w:t xml:space="preserve">supplementary single-test contrast added after verification, outside the registered</w:t>
      </w:r>
      <w:r>
        <w:t xml:space="preserve"> </w:t>
      </w:r>
      <w:r>
        <w:t xml:space="preserve">family, so its Holm value equals its raw value; it is reported because the value of</w:t>
      </w:r>
      <w:r>
        <w:t xml:space="preserve"> </w:t>
      </w:r>
      <w:r>
        <w:t xml:space="preserve">the axes endgame would otherwise rest only on a transitive</w:t>
      </w:r>
      <w:r>
        <w:t xml:space="preserve"> </w:t>
      </w:r>
      <w:r>
        <w:t xml:space="preserve">argument.</w:t>
      </w:r>
    </w:p>
    <w:tbl>
      <w:tblPr>
        <w:tblStyle w:val="Table"/>
        <w:tblW w:w="44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Refinement-basis contrast on CEC2017 (E1): eigenframe versus coordinate axes versus no refinement at fixed enablement."/>
        <w:tblDescription w:val="Refinement-basis contrast on CEC2017 (E1): eigenframe versus coordinate axes versus no refinement at fixed enablement."/>
        <w:tblLook w:val="04A0" w:firstRow="1" w:lastRow="0" w:firstColumn="0" w:lastColumn="0" w:noHBand="0" w:noVBand="1"/>
      </w:tblPr>
      <w:tblGrid>
        <w:gridCol w:w="320"/>
        <w:gridCol w:w="936"/>
        <w:gridCol w:w="584"/>
        <w:gridCol w:w="584"/>
        <w:gridCol w:w="408"/>
        <w:gridCol w:w="672"/>
        <w:gridCol w:w="496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Contrast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raw p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6.9e-5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4/0/25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22/2/5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0.511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28/1/0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0.518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11/1/17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0.0035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23/1/5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25/1/3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0.506</w:t>
            </w:r>
          </w:p>
        </w:tc>
      </w:tr>
    </w:tbl>
    <w:p>
      <w:pPr>
        <w:pStyle w:val="BodyText"/>
      </w:pPr>
      <w:r>
        <w:t xml:space="preserve">Two findings follow, and they point in opposite directions. The refinement</w:t>
      </w:r>
      <w:r>
        <w:t xml:space="preserve"> </w:t>
      </w:r>
      <w:r>
        <w:t xml:space="preserve">itself is confirmed: against no refinement it wins on 22 of 29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23 of 29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 the coordinate arm alone wins on 28 of</w:t>
      </w:r>
      <w:r>
        <w:t xml:space="preserve"> </w:t>
      </w:r>
      <w:r>
        <w:t xml:space="preserve">29 and 25 of 29 respectively. The learned basis, however, does not merely fail</w:t>
      </w:r>
      <w:r>
        <w:t xml:space="preserve"> </w:t>
      </w:r>
      <w:r>
        <w:t xml:space="preserve">to add value 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 beaten by the plain coordinate axes on 25 of</w:t>
      </w:r>
      <w:r>
        <w:t xml:space="preserve"> </w:t>
      </w:r>
      <w:r>
        <w:t xml:space="preserve">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single worst</w:t>
      </w:r>
      <w:r>
        <w:t xml:space="preserve"> </w:t>
      </w:r>
      <w:r>
        <w:t xml:space="preserve">function shows the eigenframe arm two orders of magnitude behind.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direction holds and, under the stated tie rule, is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28</m:t>
        </m:r>
      </m:oMath>
      <w:r>
        <w:t xml:space="preserve">; the exact-zero</w:t>
      </w:r>
      <w:r>
        <w:t xml:space="preserve"> </w:t>
      </w:r>
      <w:r>
        <w:t xml:space="preserve">convention of the first analysis release gave</w:t>
      </w:r>
      <w:r>
        <w:t xml:space="preserve"> </w:t>
      </w:r>
      <m:oMath>
        <m:r>
          <m:t>0.054</m:t>
        </m:r>
      </m:oMath>
      <w:r>
        <w:t xml:space="preserve">, and the correction is</w:t>
      </w:r>
      <w:r>
        <w:t xml:space="preserve"> </w:t>
      </w:r>
      <w:r>
        <w:t xml:space="preserve">recorded as Amendments A5-A6). The conclusion the paper draws is</w:t>
      </w:r>
      <w:r>
        <w:t xml:space="preserve"> </w:t>
      </w:r>
      <w:r>
        <w:t xml:space="preserve">restricted to what was tested: at both active dimensions on this suite —</w:t>
      </w:r>
      <w:r>
        <w:t xml:space="preserve"> </w:t>
      </w:r>
      <w:r>
        <w:t xml:space="preserve">sharply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marginally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with this estimator and</w:t>
      </w:r>
      <w:r>
        <w:t xml:space="preserve"> </w:t>
      </w:r>
      <w:r>
        <w:t xml:space="preserve">this exploitation channel, the learned eigenbasis degrades a refinement that</w:t>
      </w:r>
      <w:r>
        <w:t xml:space="preserve"> </w:t>
      </w:r>
      <w:r>
        <w:t xml:space="preserve">works without it. This is consistent with the configuration record noting that</w:t>
      </w:r>
      <w:r>
        <w:t xml:space="preserve"> </w:t>
      </w:r>
      <w:r>
        <w:t xml:space="preserve">the learned basis matches the coordinate axes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— an</w:t>
      </w:r>
      <w:r>
        <w:t xml:space="preserve"> </w:t>
      </w:r>
      <w:r>
        <w:t xml:space="preserve">estimator carrying almost no information, whose residual rotations subtract from</w:t>
      </w:r>
      <w:r>
        <w:t xml:space="preserve"> </w:t>
      </w:r>
      <w:r>
        <w:t xml:space="preserve">a search that the axes serve well. Contribution C1 is accordingly stated in</w:t>
      </w:r>
      <w:r>
        <w:t xml:space="preserve"> </w:t>
      </w:r>
      <w:r>
        <w:t xml:space="preserve">basis-neutral terms throughout: the mechanism that earns its place is the</w:t>
      </w:r>
      <w:r>
        <w:t xml:space="preserve"> </w:t>
      </w:r>
      <w:r>
        <w:t xml:space="preserve">deterministic, budget-exact compass endgame, not the geometry it was given.</w:t>
      </w:r>
    </w:p>
    <w:bookmarkEnd w:id="209"/>
    <w:bookmarkStart w:id="210" w:name="lbl_sec_supp_rev_np"/>
    <w:p>
      <w:pPr>
        <w:pStyle w:val="Heading2"/>
      </w:pPr>
      <w:bookmarkStart w:id="336" w:name="ref_sec_supp_rev_np"/>
      <w:r>
        <w:t xml:space="preserve">S9.2.</w:t>
      </w:r>
      <w:bookmarkEnd w:id="336"/>
      <w:r>
        <w:tab/>
      </w:r>
      <w:r>
        <w:t xml:space="preserve"> Matched Population Size</w:t>
      </w:r>
    </w:p>
    <w:p>
      <w:pPr>
        <w:pStyle w:val="FirstParagraph"/>
      </w:pPr>
      <w:r>
        <w:t xml:space="preserve">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while the six comparators run their</w:t>
      </w:r>
      <w:r>
        <w:t xml:space="preserve"> </w:t>
      </w:r>
      <w:r>
        <w:t xml:space="preserve">reference-implementation value of</w:t>
      </w:r>
      <w:r>
        <w:t xml:space="preserve"> </w:t>
      </w:r>
      <m:oMath>
        <m:r>
          <m:t>100</m:t>
        </m:r>
      </m:oMath>
      <w:r>
        <w:t xml:space="preserve">, a five-fold difference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the main text discloses but the panel evidence does not control.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ref_tab_rev_e2 \h </w:instrText>
      </w:r>
      <w:r>
        <w:fldChar w:fldCharType="separate"/>
      </w:r>
      <w:r>
        <w:t xml:space="preserve">A44</w:t>
      </w:r>
      <w:r>
        <w:fldChar w:fldCharType="end"/>
      </w:r>
      <w:r>
        <w:t xml:space="preserve"> reports the outcome. This experiment</w:t>
      </w:r>
      <w:r>
        <w:t xml:space="preserve"> </w:t>
      </w:r>
      <w:r>
        <w:t xml:space="preserve">controls it: DT-GSK is re-run at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across all four dimensions 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repetitions, and the panel is re-ranked with the six frozen comparator</w:t>
      </w:r>
      <w:r>
        <w:t xml:space="preserve"> </w:t>
      </w:r>
      <w:r>
        <w:t xml:space="preserve">columns reused unchanged.</w:t>
      </w:r>
    </w:p>
    <w:p>
      <w:pPr>
        <w:pStyle w:val="BodyText"/>
      </w:pPr>
      <w:r>
        <w:t xml:space="preserve">The single-factor scope is declared. Only the initial population size changes:</w:t>
      </w:r>
      <w:r>
        <w:t xml:space="preserve"> </w:t>
      </w:r>
      <w:r>
        <w:t xml:space="preserve">the nonlinear reduction floor keeps its tier value, the high-dimension floor</w:t>
      </w:r>
      <w:r>
        <w:t xml:space="preserve"> </w:t>
      </w:r>
      <w:r>
        <w:t xml:space="preserve">governor is untouched, and the diversity archive — contrary to a statement in the</w:t>
      </w:r>
      <w:r>
        <w:t xml:space="preserve"> </w:t>
      </w:r>
      <w:r>
        <w:t xml:space="preserve">registration, corrected there by amendment — is capped at a fixed size in both</w:t>
      </w:r>
      <w:r>
        <w:t xml:space="preserve"> </w:t>
      </w:r>
      <w:r>
        <w:t xml:space="preserve">arms rather than scaling with</w:t>
      </w:r>
      <w:r>
        <w:t xml:space="preserve"> </w:t>
      </w:r>
      <m:oMath>
        <m:r>
          <m:t>N</m:t>
        </m:r>
        <m:r>
          <m:t>P</m:t>
        </m:r>
      </m:oMath>
      <w:r>
        <w:t xml:space="preserve">, which makes the contrast cleaner than</w:t>
      </w:r>
      <w:r>
        <w:t xml:space="preserve"> </w:t>
      </w:r>
      <w:r>
        <w:t xml:space="preserve">registered rather than wider. Because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is a declared component of the</w:t>
      </w:r>
      <w:r>
        <w:t xml:space="preserve"> </w:t>
      </w:r>
      <w:r>
        <w:t xml:space="preserve">dimension-tiered method and not an incidental setting, this experiment is an</w:t>
      </w:r>
      <w:r>
        <w:t xml:space="preserve"> </w:t>
      </w:r>
      <w:r>
        <w:t xml:space="preserve">ablation of that component; it is not a correction to a mis-specified baseline.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7" w:name="ref_tab_rev_e2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44</w:t>
      </w:r>
      <w:r>
        <w:fldChar w:fldCharType="end"/>
      </w:r>
      <w:bookmarkEnd w:id="337"/>
      <w:r>
        <w:rPr>
          <w:b/>
        </w:rPr>
        <w:t xml:space="preserve">. </w:t>
      </w:r>
      <w:r>
        <w:t xml:space="preserve"> DT-GSK at the comparators’ population value. Mean ranks and ordinal</w:t>
      </w:r>
      <w:r>
        <w:t xml:space="preserve"> </w:t>
      </w:r>
      <w:r>
        <w:t xml:space="preserve">positions are computed over the seven-algorithm panel with only the DT-GSK</w:t>
      </w:r>
      <w:r>
        <w:t xml:space="preserve"> </w:t>
      </w:r>
      <w:r>
        <w:t xml:space="preserve">column substituted. The paired test compares DT-GSK against itself across the</w:t>
      </w:r>
      <w:r>
        <w:t xml:space="preserve"> </w:t>
      </w:r>
      <w:r>
        <w:t xml:space="preserve">29 functions, Holm-corrected across the four dimensions;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the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arm as reference.</w:t>
      </w:r>
    </w:p>
    <w:tbl>
      <w:tblPr>
        <w:tblStyle w:val="Table"/>
        <w:tblW w:w="490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T-GSK at the comparators' population value (E2): the panel re-ranked with only the DT-GSK column substituted."/>
        <w:tblDescription w:val="DT-GSK at the comparators' population value (E2): the panel re-ranked with only the DT-GSK column substituted."/>
        <w:tblLook w:val="04A0" w:firstRow="1" w:lastRow="0" w:firstColumn="0" w:lastColumn="0" w:noHBand="0" w:noVBand="1"/>
      </w:tblPr>
      <w:tblGrid>
        <w:gridCol w:w="320"/>
        <w:gridCol w:w="496"/>
        <w:gridCol w:w="584"/>
        <w:gridCol w:w="672"/>
        <w:gridCol w:w="672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NP=5D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NP=100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5D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100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10/4/15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0.495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16/4/9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0.504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0.0064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3.069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0.566</w:t>
            </w:r>
          </w:p>
        </w:tc>
      </w:tr>
    </w:tbl>
    <w:p>
      <w:pPr>
        <w:pStyle w:val="BodyText"/>
      </w:pPr>
      <w:r>
        <w:t xml:space="preserve">The matched-initial-population control shows the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rule does not wholly</w:t>
      </w:r>
      <w:r>
        <w:t xml:space="preserve"> </w:t>
      </w:r>
      <w:r>
        <w:t xml:space="preserve">explain the reported standing, but contributes materially to part of it. At the</w:t>
      </w:r>
      <w:r>
        <w:t xml:space="preserve"> </w:t>
      </w:r>
      <w:r>
        <w:t xml:space="preserve">comparators’ value DT-GSK still places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 the</w:t>
      </w:r>
      <w:r>
        <w:t xml:space="preserve"> </w:t>
      </w:r>
      <w:r>
        <w:t xml:space="preserve">three remaining dimensions, so it remains within the top two of the panel at</w:t>
      </w:r>
      <w:r>
        <w:t xml:space="preserve"> </w:t>
      </w:r>
      <w:r>
        <w:t xml:space="preserve">every dimension tested. The rule does contribute, and it does so exactly where</w:t>
      </w:r>
      <w:r>
        <w:t xml:space="preserve"> </w:t>
      </w:r>
      <w:r>
        <w:t xml:space="preserve">a dimension-dependent rule should: the paired difference is indistinguishable</w:t>
      </w:r>
      <w:r>
        <w:t xml:space="preserve"> </w:t>
      </w:r>
      <w:r>
        <w:t xml:space="preserve">from zero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where holding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at the panel constant costs DT-GSK first place. The rank</w:t>
      </w:r>
      <w:r>
        <w:t xml:space="preserve"> </w:t>
      </w:r>
      <w:r>
        <w:t xml:space="preserve">claims for those two dimensions are therefore configuration-dependent in the</w:t>
      </w:r>
      <w:r>
        <w:t xml:space="preserve"> </w:t>
      </w:r>
      <w:r>
        <w:t xml:space="preserve">sense that they rest in part on a component of the method, and the main text</w:t>
      </w:r>
      <w:r>
        <w:t xml:space="preserve"> </w:t>
      </w:r>
      <w:r>
        <w:t xml:space="preserve">records this where the asymmetry is introduced and again in its discussion.</w:t>
      </w:r>
      <w:r>
        <w:t xml:space="preserve"> </w:t>
      </w:r>
      <w:r>
        <w:t xml:space="preserve">Friedman ranks are relative:</w:t>
      </w:r>
      <w:r>
        <w:t xml:space="preserve"> </w:t>
      </w:r>
      <w:r>
        <w:t xml:space="preserve">substituting the DT-GSK column re-ranks the whole panel, so the six</w:t>
      </w:r>
      <w:r>
        <w:t xml:space="preserve"> </w:t>
      </w:r>
      <w:r>
        <w:t xml:space="preserve">comparator columns move as well. No entry here may be differenced against the</w:t>
      </w:r>
      <w:r>
        <w:t xml:space="preserve"> </w:t>
      </w:r>
      <w:r>
        <w:t xml:space="preserve">corresponding entry in the main-text rank table, and no descriptive aggregate</w:t>
      </w:r>
      <w:r>
        <w:t xml:space="preserve"> </w:t>
      </w:r>
      <w:r>
        <w:t xml:space="preserve">formed from this table is comparable with the one reported there.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also the one dimension at which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falls below the panel constant, so</w:t>
      </w:r>
      <w:r>
        <w:t xml:space="preserve"> </w:t>
      </w:r>
      <w:r>
        <w:t xml:space="preserve">the control raises rather than lowers DT-GSK’s initial population there; the</w:t>
      </w:r>
      <w:r>
        <w:t xml:space="preserve"> </w:t>
      </w:r>
      <w:r>
        <w:t xml:space="preserve">paired difference at that dimension is nonetheless indistinguishable from zero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0.517</m:t>
        </m:r>
      </m:oMath>
      <w:r>
        <w:t xml:space="preserve">).</w:t>
      </w:r>
    </w:p>
    <w:bookmarkEnd w:id="210"/>
    <w:bookmarkStart w:id="211" w:name="lbl_sec_supp_rev_tiering"/>
    <w:p>
      <w:pPr>
        <w:pStyle w:val="Heading2"/>
      </w:pPr>
      <w:bookmarkStart w:id="338" w:name="ref_sec_supp_rev_tiering"/>
      <w:r>
        <w:t xml:space="preserve">S9.3.</w:t>
      </w:r>
      <w:bookmarkEnd w:id="338"/>
      <w:r>
        <w:tab/>
      </w:r>
      <w:r>
        <w:t xml:space="preserve"> Tiered Versus Tier-Constant Configuration</w:t>
      </w:r>
    </w:p>
    <w:p>
      <w:pPr>
        <w:pStyle w:val="FirstParagraph"/>
      </w:pPr>
      <w:r>
        <w:t xml:space="preserve">The manuscript attributes its standing to resolving configuration by dimension,</w:t>
      </w:r>
      <w:r>
        <w:t xml:space="preserve"> </w:t>
      </w:r>
      <w:r>
        <w:t xml:space="preserve">but the panel evidence does not compare the tiered configuration against an</w:t>
      </w:r>
      <w:r>
        <w:t xml:space="preserve"> </w:t>
      </w:r>
      <w:r>
        <w:t xml:space="preserve">otherwise identical one that does not vary. This experiment supplies that</w:t>
      </w:r>
      <w:r>
        <w:t xml:space="preserve"> </w:t>
      </w:r>
      <w:r>
        <w:t xml:space="preserve">comparison by transplant: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tier’s parameter dictionary, and separately</w:t>
      </w:r>
      <w:r>
        <w:t xml:space="preserve"> 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tier’s dictionary, are applied unchanged at every dimension and</w:t>
      </w:r>
      <w:r>
        <w:t xml:space="preserve"> </w:t>
      </w:r>
      <w:r>
        <w:t xml:space="preserve">compared against the frozen tiered leg. Both dictionaries are generated</w:t>
      </w:r>
      <w:r>
        <w:t xml:space="preserve"> </w:t>
      </w:r>
      <w:r>
        <w:t xml:space="preserve">programmatically from the shipped profile rather than transcribed; 88 keys</w:t>
      </w:r>
      <w:r>
        <w:t xml:space="preserve"> </w:t>
      </w:r>
      <w:r>
        <w:t xml:space="preserve">differ between them.</w:t>
      </w:r>
    </w:p>
    <w:p>
      <w:pPr>
        <w:pStyle w:val="BodyText"/>
      </w:pPr>
      <w:r>
        <w:t xml:space="preserve">A transplant is not a component removal, and the reading is bounded accordingly.</w:t>
      </w:r>
      <w:r>
        <w:t xml:space="preserve"> </w:t>
      </w:r>
      <w:r>
        <w:t xml:space="preserve">Carrying a tier’s dictionary verbatim also carries the dimension-keyed gates</w:t>
      </w:r>
      <w:r>
        <w:t xml:space="preserve"> </w:t>
      </w:r>
      <w:r>
        <w:t xml:space="preserve">inside it, so an arm may have mechanisms switched on or off relative to the</w:t>
      </w:r>
      <w:r>
        <w:t xml:space="preserve"> </w:t>
      </w:r>
      <w:r>
        <w:t xml:space="preserve">tiered baseline at a given dimension — that change in activation is the</w:t>
      </w:r>
      <w:r>
        <w:t xml:space="preserve"> </w:t>
      </w:r>
      <w:r>
        <w:t xml:space="preserve">treatment, not a confound. The experiment therefore licenses exactly one class</w:t>
      </w:r>
      <w:r>
        <w:t xml:space="preserve"> </w:t>
      </w:r>
      <w:r>
        <w:t xml:space="preserve">of statement, that the tiered configuration does or does not outperform a</w:t>
      </w:r>
      <w:r>
        <w:t xml:space="preserve"> </w:t>
      </w:r>
      <w:r>
        <w:t xml:space="preserve">tier-constant one at a given dimension. No difference reported here may be</w:t>
      </w:r>
      <w:r>
        <w:t xml:space="preserve"> </w:t>
      </w:r>
      <w:r>
        <w:t xml:space="preserve">attributed to any individual subsystem; the component studies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 and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exist for</w:t>
      </w:r>
      <w:r>
        <w:t xml:space="preserve"> </w:t>
      </w:r>
      <w:r>
        <w:t xml:space="preserve">that purpose. No arm is described as dimension-independent, since some scaling</w:t>
      </w:r>
      <w:r>
        <w:t xml:space="preserve"> </w:t>
      </w:r>
      <w:r>
        <w:t xml:space="preserve">is irreducible: the population rule, the junior–senior split and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scaling vary with dimension in every arm.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9" w:name="ref_tab_rev_e3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45</w:t>
      </w:r>
      <w:r>
        <w:fldChar w:fldCharType="end"/>
      </w:r>
      <w:bookmarkEnd w:id="339"/>
      <w:r>
        <w:rPr>
          <w:b/>
        </w:rPr>
        <w:t xml:space="preserve">. </w:t>
      </w:r>
      <w:r>
        <w:t xml:space="preserve"> Tiered configuration versus the two tier-constant transplants on</w:t>
      </w:r>
      <w:r>
        <w:t xml:space="preserve"> </w:t>
      </w:r>
      <w:r>
        <w:t xml:space="preserve">CEC2017. Paired Wilcoxon across the 29 functions, Holm-corrected across the four</w:t>
      </w:r>
      <w:r>
        <w:t xml:space="preserve"> </w:t>
      </w:r>
      <w:r>
        <w:t xml:space="preserve">dimensions within each arm; W/T/L is counted from the tiered arm, and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it as reference.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U-low arm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U-high arm carry the tiered configuration by construction and serve as the</w:t>
      </w:r>
      <w:r>
        <w:t xml:space="preserve"> </w:t>
      </w:r>
      <w:r>
        <w:t xml:space="preserve">design’s internal control. Below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arm ties</w:t>
      </w:r>
      <w:r>
        <w:t xml:space="preserve"> </w:t>
      </w:r>
      <w:r>
        <w:t xml:space="preserve">throughout;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does not. A promoted re-execution (release</w:t>
      </w:r>
      <w:r>
        <w:t xml:space="preserve"> </w:t>
      </w:r>
      <w:r>
        <w:t xml:space="preserve">g1-rel-2026-08-28-65b3d39e6) resolves that residual as a build difference:</w:t>
      </w:r>
      <w:r>
        <w:t xml:space="preserve"> </w:t>
      </w:r>
      <w:r>
        <w:t xml:space="preserve">the current build reproduces the transplant arm on all 26 divergent cells and</w:t>
      </w:r>
      <w:r>
        <w:t xml:space="preserve"> </w:t>
      </w:r>
      <w:r>
        <w:t xml:space="preserve">the archived values on none, and reproduces both wherever the two legs agree</w:t>
      </w:r>
      <w:r>
        <w:t xml:space="preserve"> </w:t>
      </w:r>
      <w:r>
        <w:t xml:space="preserve">(26 divergent and 229 agreeing of the 255 (function, run) cells re-executed,</w:t>
      </w:r>
      <w:r>
        <w:t xml:space="preserve"> </w:t>
      </w:r>
      <w:r>
        <w:t xml:space="preserve">with zero seed mismatches).</w:t>
      </w:r>
    </w:p>
    <w:tbl>
      <w:tblPr>
        <w:tblStyle w:val="Table"/>
        <w:tblW w:w="42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Tiered configuration versus the two tier-constant transplants (E3) on CEC2017."/>
        <w:tblDescription w:val="Tiered configuration versus the two tier-constant transplants (E3) on CEC2017."/>
        <w:tblLook w:val="04A0" w:firstRow="1" w:lastRow="0" w:firstColumn="0" w:lastColumn="0" w:noHBand="0" w:noVBand="1"/>
      </w:tblPr>
      <w:tblGrid>
        <w:gridCol w:w="650"/>
        <w:gridCol w:w="353"/>
        <w:gridCol w:w="650"/>
        <w:gridCol w:w="749"/>
        <w:gridCol w:w="551"/>
        <w:gridCol w:w="1343"/>
      </w:tblGrid>
      <w:tr>
        <w:trPr>
          <w:cantSplit/>
          <w:tblHeader/>
        </w:trPr>
        <w:tc>
          <w:tcPr>
            <w:tcW w:w="65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Arm</w:t>
            </w:r>
          </w:p>
        </w:tc>
        <w:tc>
          <w:tcPr>
            <w:tcW w:w="35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Tiered W/T/L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A12</w:t>
            </w:r>
          </w:p>
        </w:tc>
        <w:tc>
          <w:tcPr>
            <w:tcW w:w="134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Reading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0/29/0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6/3/20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tier-constant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17/0/12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0.505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14/0/15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0.513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22/4/3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0.534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13/2/14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0.497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0.0284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19/0/10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0.524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2/25/2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</w:tbl>
    <w:p>
      <w:pPr>
        <w:pStyle w:val="BodyText"/>
      </w:pPr>
      <w:r>
        <w:t xml:space="preserve">The result is mixed and is reported as such. Tiering is demonstrated against</w:t>
      </w:r>
      <w:r>
        <w:t xml:space="preserve"> </w:t>
      </w:r>
      <w:r>
        <w:t xml:space="preserve">the high-dimension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where the tiered</w:t>
      </w:r>
      <w:r>
        <w:t xml:space="preserve"> </w:t>
      </w:r>
      <w:r>
        <w:t xml:space="preserve">configuration wins on 22 and 19 of 29 functions respectively. Against the</w:t>
      </w:r>
      <w:r>
        <w:t xml:space="preserve"> </w:t>
      </w:r>
      <w:r>
        <w:t xml:space="preserve">low-dimension transplant it is not separated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carries the tiered configuration by construction, so that tie is</w:t>
      </w:r>
      <w:r>
        <w:t xml:space="preserve"> </w:t>
      </w:r>
      <w:r>
        <w:t xml:space="preserve">the design’s internal control, not evidence —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beaten: the parameter set that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actually ships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20 of 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. Contribution C2 is narrowed to match:</w:t>
      </w:r>
      <w:r>
        <w:t xml:space="preserve"> </w:t>
      </w:r>
      <w:r>
        <w:t xml:space="preserve">the evidence supports resolving configuration by dimension at the dimensions</w:t>
      </w:r>
      <w:r>
        <w:t xml:space="preserve"> </w:t>
      </w:r>
      <w:r>
        <w:t xml:space="preserve">where it was demonstrated, and it identifies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as inferior to the tested transplant at that dimension — a</w:t>
      </w:r>
      <w:r>
        <w:t xml:space="preserve"> </w:t>
      </w:r>
      <w:r>
        <w:t xml:space="preserve">configuration-level weakness, claimed neither for nor against the tiering</w:t>
      </w:r>
      <w:r>
        <w:t xml:space="preserve"> </w:t>
      </w:r>
      <w:r>
        <w:t xml:space="preserve">principle itself. This localizes a</w:t>
      </w:r>
      <w:r>
        <w:t xml:space="preserve"> </w:t>
      </w:r>
      <w:r>
        <w:t xml:space="preserve">weakness the main text already discloses descriptively 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weakest tier on both general suites — and attributes it to that</w:t>
      </w:r>
      <w:r>
        <w:t xml:space="preserve"> </w:t>
      </w:r>
      <w:r>
        <w:t xml:space="preserve">tier’s values. Which of the 88 differing keys carries the effect is not</w:t>
      </w:r>
      <w:r>
        <w:t xml:space="preserve"> </w:t>
      </w:r>
      <w:r>
        <w:t xml:space="preserve">resolved by this design and is stated as open.</w:t>
      </w:r>
    </w:p>
    <w:bookmarkEnd w:id="211"/>
    <w:bookmarkStart w:id="212" w:name="lbl_sec_supp_rev_sensitivity"/>
    <w:p>
      <w:pPr>
        <w:pStyle w:val="Heading2"/>
      </w:pPr>
      <w:bookmarkStart w:id="340" w:name="ref_sec_supp_rev_sensitivity"/>
      <w:r>
        <w:t xml:space="preserve">S9.4.</w:t>
      </w:r>
      <w:bookmarkEnd w:id="340"/>
      <w:r>
        <w:tab/>
      </w:r>
      <w:r>
        <w:t xml:space="preserve"> Selected-Constant Sensitivity (Exploratory)</w:t>
      </w:r>
    </w:p>
    <w:p>
      <w:pPr>
        <w:pStyle w:val="FirstParagraph"/>
      </w:pPr>
      <w:r>
        <w:t xml:space="preserve">This study is exploratory by registration. It is reported descriptively; no</w:t>
      </w:r>
      <w:r>
        <w:t xml:space="preserve"> </w:t>
      </w:r>
      <w:r>
        <w:t xml:space="preserve">hypothesis test is performed on it, no corrected</w:t>
      </w:r>
      <w:r>
        <w:t xml:space="preserve"> </w:t>
      </w:r>
      <m:oMath>
        <m:r>
          <m:t>p</m:t>
        </m:r>
      </m:oMath>
      <w:r>
        <w:t xml:space="preserve">-value is computed from it,</w:t>
      </w:r>
      <w:r>
        <w:t xml:space="preserve"> </w:t>
      </w:r>
      <w:r>
        <w:t xml:space="preserve">and it is deliberately kept apart from the component-contribution material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, whose conclusions it neither supports nor</w:t>
      </w:r>
      <w:r>
        <w:t xml:space="preserve"> </w:t>
      </w:r>
      <w:r>
        <w:t xml:space="preserve">qualifies. Seven constants spanning the adaptive selector, its pruning gate,</w:t>
      </w:r>
      <w:r>
        <w:t xml:space="preserve"> </w:t>
      </w:r>
      <w:r>
        <w:t xml:space="preserve">the interaction-memory update cadence,</w:t>
      </w:r>
      <w:r>
        <w:t xml:space="preserve"> </w:t>
      </w:r>
      <w:r>
        <w:t xml:space="preserve">the escape trigger, the population floor, and the local-search budget and elite</w:t>
      </w:r>
      <w:r>
        <w:t xml:space="preserve"> </w:t>
      </w:r>
      <w:r>
        <w:t xml:space="preserve">count were perturbed one at a time at two levels each,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over all 29 functions with 15 repetitions per cell: 27 cells in all,</w:t>
      </w:r>
      <w:r>
        <w:t xml:space="preserve"> </w:t>
      </w:r>
      <w:r>
        <w:t xml:space="preserve">one of the 28 combinations being unreachable because its perturbation coincides</w:t>
      </w:r>
      <w:r>
        <w:t xml:space="preserve"> </w:t>
      </w:r>
      <w:r>
        <w:t xml:space="preserve">with the shipped value. Runs were reduced rather than functions, so every cell</w:t>
      </w:r>
      <w:r>
        <w:t xml:space="preserve"> </w:t>
      </w:r>
      <w:r>
        <w:t xml:space="preserve">spans the full scored set. Table </w:t>
      </w:r>
      <w:r>
        <w:fldChar w:fldCharType="begin"/>
      </w:r>
      <w:r>
        <w:instrText xml:space="preserve"> REF ref_tab_rev_e4 \h </w:instrText>
      </w:r>
      <w:r>
        <w:fldChar w:fldCharType="separate"/>
      </w:r>
      <w:r>
        <w:t xml:space="preserve">A46</w:t>
      </w:r>
      <w:r>
        <w:fldChar w:fldCharType="end"/>
      </w:r>
      <w:r>
        <w:t xml:space="preserve"> reports every executed cell.</w:t>
      </w:r>
    </w:p>
    <w:p>
      <w:pPr>
        <w:pStyle w:val="BodyText"/>
      </w:pPr>
      <w:r>
        <w:t xml:space="preserve">One deviation from the registered design was found after execution and is</w:t>
      </w:r>
      <w:r>
        <w:t xml:space="preserve"> </w:t>
      </w:r>
      <w:r>
        <w:t xml:space="preserve">disclosed rather than smoothed. The driver derived one perturbation pair per</w:t>
      </w:r>
      <w:r>
        <w:t xml:space="preserve"> </w:t>
      </w:r>
      <w:r>
        <w:t xml:space="preserve">real-valued constant from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tier values and applied that same pair at</w:t>
      </w:r>
      <w:r>
        <w:t xml:space="preserve"> </w:t>
      </w:r>
      <w:r>
        <w:t xml:space="preserve">both dimensions. For three constants whose shipped value differs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the executed levels are consequently larger than the registered twenty percent</w:t>
      </w:r>
      <w:r>
        <w:t xml:space="preserve"> </w:t>
      </w:r>
      <w:r>
        <w:t xml:space="preserve">and lie on one side of the shipped value only. Those rows are marked in the</w:t>
      </w:r>
      <w:r>
        <w:t xml:space="preserve"> </w:t>
      </w:r>
      <w:r>
        <w:t xml:space="preserve">table, which prints the levels actually executed rather than the registered</w:t>
      </w:r>
      <w:r>
        <w:t xml:space="preserve"> </w:t>
      </w:r>
      <w:r>
        <w:t xml:space="preserve">formula. The executed levels bound what was tested: the robustness reading for those</w:t>
      </w:r>
      <w:r>
        <w:t xml:space="preserve"> </w:t>
      </w:r>
      <w:r>
        <w:t xml:space="preserve">cells attaches to the larger perturbations actually run — no monotonicity in</w:t>
      </w:r>
      <w:r>
        <w:t xml:space="preserve"> </w:t>
      </w:r>
      <w:r>
        <w:t xml:space="preserve">perturbation size is assumed — so the registered magnitude on the tested</w:t>
      </w:r>
      <w:r>
        <w:t xml:space="preserve"> </w:t>
      </w:r>
      <w:r>
        <w:t xml:space="preserve">side, like the whole of the untested side, carries no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1" w:name="ref_tab_rev_e4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46</w:t>
      </w:r>
      <w:r>
        <w:fldChar w:fldCharType="end"/>
      </w:r>
      <w:bookmarkEnd w:id="341"/>
      <w:r>
        <w:rPr>
          <w:b/>
        </w:rPr>
        <w:t xml:space="preserve">. </w:t>
      </w:r>
      <w:r>
        <w:t xml:space="preserve"> Exploratory one-factor sensitivity of DT-GSK’s panel standing.</w:t>
      </w:r>
      <w:r>
        <w:t xml:space="preserve"> </w:t>
      </w:r>
      <w:r>
        <w:t xml:space="preserve">Descriptive only: no test is performed and no</w:t>
      </w:r>
      <w:r>
        <w:t xml:space="preserve"> </w:t>
      </w:r>
      <m:oMath>
        <m:r>
          <m:t>p</m:t>
        </m:r>
      </m:oMath>
      <w:r>
        <w:t xml:space="preserve">-value is reported. Rank and</w:t>
      </w:r>
      <w:r>
        <w:t xml:space="preserve"> </w:t>
      </w:r>
      <w:r>
        <w:t xml:space="preserve">ordinal are recomputed over the seven-algorithm panel with only the DT-GSK</w:t>
      </w:r>
      <w:r>
        <w:t xml:space="preserve"> </w:t>
      </w:r>
      <w:r>
        <w:t xml:space="preserve">column substituted, so the whole panel re-ranks and no rank here may be</w:t>
      </w:r>
      <w:r>
        <w:t xml:space="preserve"> </w:t>
      </w:r>
      <w:r>
        <w:t xml:space="preserve">differenced against the main-text rank table; W/T/L counts functions where the</w:t>
      </w:r>
      <w:r>
        <w:t xml:space="preserve"> </w:t>
      </w:r>
      <w:r>
        <w:t xml:space="preserve">shipped configuration beats the perturbed one; Ratio is the median across</w:t>
      </w:r>
      <w:r>
        <w:t xml:space="preserve"> </w:t>
      </w:r>
      <w:r>
        <w:t xml:space="preserve">functions of perturbed over</w:t>
      </w:r>
      <w:r>
        <w:t xml:space="preserve"> </w:t>
      </w:r>
      <w:r>
        <w:t xml:space="preserve">shipped mean error. Perturbed cells use 15 repetitions against the frozen</w:t>
      </w:r>
      <w:r>
        <w:t xml:space="preserve"> </w:t>
      </w:r>
      <w:r>
        <w:t xml:space="preserve">panel’s 51. Real-valued constants are perturbed by</w:t>
      </w:r>
      <w:r>
        <w:t xml:space="preserve"> </w:t>
      </w:r>
      <m:oMath>
        <m:r>
          <m:rPr>
            <m:sty m:val="p"/>
          </m:rPr>
          <m:t>±</m:t>
        </m:r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and integer-valued</w:t>
      </w:r>
      <w:r>
        <w:t xml:space="preserve"> </w:t>
      </w:r>
      <w:r>
        <w:t xml:space="preserve">constants to the nearest different integer, as registered; the table prints the</w:t>
      </w:r>
      <w:r>
        <w:t xml:space="preserve"> </w:t>
      </w:r>
      <w:r>
        <w:t xml:space="preserve">levels actually executed.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Executed levels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exceed the registered</w:t>
      </w:r>
      <w:r>
        <w:t xml:space="preserve"> </w:t>
      </w:r>
      <w:r>
        <w:t xml:space="preserve">twenty percent and are one-sided (registration amendment</w:t>
      </w:r>
      <w:r>
        <w:t xml:space="preserve"> </w:t>
      </w:r>
      <w:r>
        <w:t xml:space="preserve">A1).</w:t>
      </w:r>
    </w:p>
    <w:tbl>
      <w:tblPr>
        <w:tblStyle w:val="Table"/>
        <w:tblW w:w="652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EXPLORATORY one-factor parameter sensitivity (E4). Descriptive only: no test is performed and no p-value is reported."/>
        <w:tblDescription w:val="EXPLORATORY one-factor parameter sensitivity (E4). Descriptive only: no test is performed and no p-value is reported."/>
        <w:tblLook w:val="04A0" w:firstRow="1" w:lastRow="0" w:firstColumn="0" w:lastColumn="0" w:noHBand="0" w:noVBand="1"/>
      </w:tblPr>
      <w:tblGrid>
        <w:gridCol w:w="2696"/>
        <w:gridCol w:w="320"/>
        <w:gridCol w:w="496"/>
        <w:gridCol w:w="496"/>
        <w:gridCol w:w="496"/>
        <w:gridCol w:w="848"/>
        <w:gridCol w:w="672"/>
        <w:gridCol w:w="496"/>
      </w:tblGrid>
      <w:tr>
        <w:trPr>
          <w:cantSplit/>
          <w:tblHeader/>
        </w:trPr>
        <w:tc>
          <w:tcPr>
            <w:tcW w:w="269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Parameter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Level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Value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Ratio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0.993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8/4/17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19/0/10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20/0/9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18/0/11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0.995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1.001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9/0/20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21/0/8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13/3/13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18/3/8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11/2/16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15/0/14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</w:tbl>
    <w:p>
      <w:pPr>
        <w:pStyle w:val="BodyText"/>
      </w:pPr>
      <w:r>
        <w:t xml:space="preserve">The registered headline form is an ordinal statement, and it holds: DT-GSK’s</w:t>
      </w:r>
      <w:r>
        <w:t xml:space="preserve"> </w:t>
      </w:r>
      <w:r>
        <w:t xml:space="preserve">position within the family panel is unchanged in 26 of the 27 cells, with median</w:t>
      </w:r>
      <w:r>
        <w:t xml:space="preserve"> </w:t>
      </w:r>
      <w:r>
        <w:t xml:space="preserve">error ratios within roughly two percent of unity throughout. The single</w:t>
      </w:r>
      <w:r>
        <w:t xml:space="preserve"> </w:t>
      </w:r>
      <w:r>
        <w:t xml:space="preserve">exception is favorable and instructive — raising the population floor by one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moves DT-GSK from second to first at that dimension — and it</w:t>
      </w:r>
      <w:r>
        <w:t xml:space="preserve"> </w:t>
      </w:r>
      <w:r>
        <w:t xml:space="preserve">falls on the same tier that the transplant experiment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identifies as mis-specified. The two</w:t>
      </w:r>
      <w:r>
        <w:t xml:space="preserve"> </w:t>
      </w:r>
      <w:r>
        <w:t xml:space="preserve">observations are consistent, and neither is a test of the other. No constant</w:t>
      </w:r>
      <w:r>
        <w:t xml:space="preserve"> </w:t>
      </w:r>
      <w:r>
        <w:t xml:space="preserve">tested here is knife-edge in magnitude under the levels executed; that</w:t>
      </w:r>
      <w:r>
        <w:t xml:space="preserve"> </w:t>
      </w:r>
      <w:r>
        <w:t xml:space="preserve">includes the one constant the project’s own configuration record had</w:t>
      </w:r>
      <w:r>
        <w:t xml:space="preserve"> </w:t>
      </w:r>
      <w:r>
        <w:t xml:space="preserve">previously flagged as sensitive on a different suite.</w:t>
      </w:r>
    </w:p>
    <w:bookmarkEnd w:id="212"/>
    <w:bookmarkStart w:id="213" w:name="lbl_sec_supp_rev_boundary"/>
    <w:p>
      <w:pPr>
        <w:pStyle w:val="Heading2"/>
      </w:pPr>
      <w:bookmarkStart w:id="342" w:name="ref_sec_supp_rev_boundary"/>
      <w:r>
        <w:t xml:space="preserve">S9.5.</w:t>
      </w:r>
      <w:bookmarkEnd w:id="342"/>
      <w:r>
        <w:tab/>
      </w:r>
      <w:r>
        <w:t xml:space="preserve"> Dimension-Boundary Sensitivity</w:t>
      </w:r>
    </w:p>
    <w:p>
      <w:pPr>
        <w:pStyle w:val="FirstParagraph"/>
      </w:pPr>
      <w:r>
        <w:t xml:space="preserve">Registered before execution as pre-registration Amendment A4: the study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varies constants within tiers; this</w:t>
      </w:r>
      <w:r>
        <w:t xml:space="preserve"> </w:t>
      </w:r>
      <w:r>
        <w:t xml:space="preserve">one varies the tier boundaries themselves. Each cell shifts one boundary of the frozen</w:t>
      </w:r>
      <w:r>
        <w:t xml:space="preserve"> </w:t>
      </w:r>
      <w:r>
        <w:t xml:space="preserve">profile just far enough to change the profile assigned to the nearest official</w:t>
      </w:r>
      <w:r>
        <w:t xml:space="preserve"> </w:t>
      </w:r>
      <w:r>
        <w:t xml:space="preserve">CEC2017 dimension, and re-runs DT-GSK at that dimension under the</w:t>
      </w:r>
      <w:r>
        <w:t xml:space="preserve"> </w:t>
      </w:r>
      <w:r>
        <w:t xml:space="preserve">transplanted profile — mechanically a single-dimension transplant of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kind, so a shift changes the complete</w:t>
      </w:r>
      <w:r>
        <w:t xml:space="preserve"> </w:t>
      </w:r>
      <w:r>
        <w:t xml:space="preserve">resolved profile and, by the registered rule, no difference is attributed to</w:t>
      </w:r>
      <w:r>
        <w:t xml:space="preserve"> </w:t>
      </w:r>
      <w:r>
        <w:t xml:space="preserve">any individual mechanism. Four cells were executed at 15 paired runs on the</w:t>
      </w:r>
      <w:r>
        <w:t xml:space="preserve"> </w:t>
      </w:r>
      <w:r>
        <w:t xml:space="preserve">unified schedule, against the frozen tiered leg restricted to the same runs;</w:t>
      </w:r>
      <w:r>
        <w:t xml:space="preserve"> </w:t>
      </w:r>
      <w:r>
        <w:t xml:space="preserve">the fifth registered cell (boundary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) coincides by</w:t>
      </w:r>
      <w:r>
        <w:t xml:space="preserve"> </w:t>
      </w:r>
      <w:r>
        <w:t xml:space="preserve">construction with the U-low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reuses those 51 runs</w:t>
      </w:r>
      <w:r>
        <w:t xml:space="preserve"> </w:t>
      </w:r>
      <w:r>
        <w:t xml:space="preserve">rather than re-executing them. The T2/T3 boundary admits only the upper-side</w:t>
      </w:r>
      <w:r>
        <w:t xml:space="preserve"> </w:t>
      </w:r>
      <w:r>
        <w:t xml:space="preserve">shift: no official dimension lies between 50 and 100. The new arms are</w:t>
      </w:r>
      <w:r>
        <w:t xml:space="preserve"> </w:t>
      </w:r>
      <w:r>
        <w:t xml:space="preserve">carried by the separate additive release rev2-rel-2026-08-28-203c78744;</w:t>
      </w:r>
      <w:r>
        <w:t xml:space="preserve"> </w:t>
      </w:r>
      <w:r>
        <w:t xml:space="preserve">nothing earlier is re-minted. Table </w:t>
      </w:r>
      <w:r>
        <w:fldChar w:fldCharType="begin"/>
      </w:r>
      <w:r>
        <w:instrText xml:space="preserve"> REF ref_tab_rev_e5 \h </w:instrText>
      </w:r>
      <w:r>
        <w:fldChar w:fldCharType="separate"/>
      </w:r>
      <w:r>
        <w:t xml:space="preserve">A47</w:t>
      </w:r>
      <w:r>
        <w:fldChar w:fldCharType="end"/>
      </w:r>
      <w:r>
        <w:t xml:space="preserve"> reports the five</w:t>
      </w:r>
      <w:r>
        <w:t xml:space="preserve"> </w:t>
      </w:r>
      <w:r>
        <w:t xml:space="preserve">registered contrasts.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3" w:name="ref_tab_rev_e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47</w:t>
      </w:r>
      <w:r>
        <w:fldChar w:fldCharType="end"/>
      </w:r>
      <w:bookmarkEnd w:id="343"/>
      <w:r>
        <w:rPr>
          <w:b/>
        </w:rPr>
        <w:t xml:space="preserve">. </w:t>
      </w:r>
      <w:r>
        <w:t xml:space="preserve"> Dimension-boundary sensitivity on CEC2017 (E5). One Holm family</w:t>
      </w:r>
      <w:r>
        <w:t xml:space="preserve"> </w:t>
      </w:r>
      <w:r>
        <w:t xml:space="preserve">across the five registered boundary contrasts; four cells use 15 paired runs</w:t>
      </w:r>
      <w:r>
        <w:t xml:space="preserve"> </w:t>
      </w:r>
      <w:r>
        <w:t xml:space="preserve">against the frozen tiered leg restricted to the same runs, and 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reuses the 51 runs of the corresponding transplant; paired</w:t>
      </w:r>
      <w:r>
        <w:t xml:space="preserve"> </w:t>
      </w:r>
      <w:r>
        <w:t xml:space="preserve">Wilcoxon on</w:t>
      </w:r>
      <w:r>
        <w:t xml:space="preserve"> </w:t>
      </w:r>
      <w:r>
        <w:t xml:space="preserve">per-function means under the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rule, against the frozen</w:t>
      </w:r>
      <w:r>
        <w:t xml:space="preserve"> </w:t>
      </w:r>
      <w:r>
        <w:t xml:space="preserve">tiered leg restricted to the same runs; W/T/L counted from the tiered side;</w:t>
      </w:r>
      <w:r>
        <w:t xml:space="preserve"> </w:t>
      </w:r>
      <w:r>
        <w:t xml:space="preserve">the ordinal column re-ranks the panel with only the DT-GSK column</w:t>
      </w:r>
      <w:r>
        <w:t xml:space="preserve"> </w:t>
      </w:r>
      <w:r>
        <w:t xml:space="preserve">substituted.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reuses the U-low arm (51</w:t>
      </w:r>
      <w:r>
        <w:t xml:space="preserve"> </w:t>
      </w:r>
      <w:r>
        <w:t xml:space="preserve">runs).</w:t>
      </w:r>
    </w:p>
    <w:tbl>
      <w:tblPr>
        <w:tblStyle w:val="Table"/>
        <w:tblW w:w="57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imension-boundary sensitivity (E5, boundary half): each cell shifts one tier boundary far enough to change the profile assigned to the nearest official CEC2017 dimension."/>
        <w:tblDescription w:val="Dimension-boundary sensitivity (E5, boundary half): each cell shifts one tier boundary far enough to change the profile assigned to the nearest official CEC2017 dimension."/>
        <w:tblLook w:val="04A0" w:firstRow="1" w:lastRow="0" w:firstColumn="0" w:lastColumn="0" w:noHBand="0" w:noVBand="1"/>
      </w:tblPr>
      <w:tblGrid>
        <w:gridCol w:w="760"/>
        <w:gridCol w:w="320"/>
        <w:gridCol w:w="408"/>
        <w:gridCol w:w="584"/>
        <w:gridCol w:w="408"/>
        <w:gridCol w:w="672"/>
        <w:gridCol w:w="496"/>
        <w:gridCol w:w="496"/>
        <w:gridCol w:w="672"/>
        <w:gridCol w:w="936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Boundary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Runs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Tiered 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Reading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20-&gt;10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0.112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20/4/5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1-&gt;4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20-&gt;31 ‡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6/3/20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0.490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50-&gt;30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0.0022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5/2/22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0.478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50-&gt;51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0.411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16/0/13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T2/T3 100-&gt;101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0.0148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7/0/22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0.483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</w:tbl>
    <w:p>
      <w:pPr>
        <w:pStyle w:val="BodyText"/>
      </w:pPr>
      <w:r>
        <w:t xml:space="preserve">The result is mixed in an informative way, and the adverse cells are reported</w:t>
      </w:r>
      <w:r>
        <w:t xml:space="preserve"> </w:t>
      </w:r>
      <w:r>
        <w:t xml:space="preserve">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shipped middle profile is beaten from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sides — by the low-tier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finding restated in boundary terms) and by</w:t>
      </w:r>
      <w:r>
        <w:t xml:space="preserve"> </w:t>
      </w:r>
      <w:r>
        <w:t xml:space="preserve">the structure-tier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22 of 29</w:t>
      </w:r>
      <w:r>
        <w:t xml:space="preserve"> </w:t>
      </w:r>
      <w:r>
        <w:t xml:space="preserve">functions), each lifting the descriptive ordinal from second to 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</w:t>
      </w:r>
      <w:r>
        <w:t xml:space="preserve"> </w:t>
      </w:r>
      <w:r>
        <w:t xml:space="preserve">means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22 of 29) and moves the</w:t>
      </w:r>
      <w:r>
        <w:t xml:space="preserve"> </w:t>
      </w:r>
      <w:r>
        <w:t xml:space="preserve">descriptive mean rank from</w:t>
      </w:r>
      <w:r>
        <w:t xml:space="preserve"> </w:t>
      </w:r>
      <m:oMath>
        <m:r>
          <m:t>2.34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1.97</m:t>
        </m:r>
      </m:oMath>
      <w:r>
        <w:t xml:space="preserve">, while the family</w:t>
      </w:r>
      <w:r>
        <w:t xml:space="preserve"> </w:t>
      </w:r>
      <w:r>
        <w:t xml:space="preserve">ordinal is unchanged at first. The boundaries are insensitive where the</w:t>
      </w:r>
      <w:r>
        <w:t xml:space="preserve"> </w:t>
      </w:r>
      <w:r>
        <w:t xml:space="preserve">narrowed contribution claims them: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shift is not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0.11</m:t>
        </m:r>
      </m:oMath>
      <w:r>
        <w:t xml:space="preserve">, the tiered arm ahead on 20 of 29 and the</w:t>
      </w:r>
      <w:r>
        <w:t xml:space="preserve"> </w:t>
      </w:r>
      <w:r>
        <w:t xml:space="preserve">transplant dropping the descriptive ordinal to fourth),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</w:t>
      </w:r>
      <w:r>
        <w:t xml:space="preserve"> </w:t>
      </w:r>
      <w:r>
        <w:t xml:space="preserve">not separated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0.41</m:t>
        </m:r>
      </m:oMath>
      <w:r>
        <w:t xml:space="preserve">). Contribution C2, as narrowed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is therefore untouched by every cell;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findings extend the disclosed profile mis-specification and enter</w:t>
      </w:r>
      <w:r>
        <w:t xml:space="preserve"> </w:t>
      </w:r>
      <w:r>
        <w:t xml:space="preserve">the limitations, not the claims.</w:t>
      </w:r>
    </w:p>
    <w:bookmarkEnd w:id="213"/>
    <w:bookmarkEnd w:id="214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/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Configuration Selection and Deterministic Refinement for Gaining-Sharing Knowledge-Based Optimization Algorithm</dc:title>
  <dc:creator>Mostafa Elsayed Ahmed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Ahmed Masoud; Heba Sayed Mohamed Roshdy; Ali Wagdy Mohamed</cp:lastModifiedBy>
  <dc:subject>Supplementary Material: 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S8), and the mechanism-isolation and sensitivity experiments (Section S9). Every empirical value in Sections S1–S5 derives from the promoted, read-only evidence release accompanying this article; the Section S6 scaffold and isolation results derive from a separate, immutable ablation release; the Section S7, Section S8 and Section S9 values derive from further separate, non-superseding evidence releases named where they are used; no primary result is altered by any of it. All comparative wording is scoped to the seven-algorithm GSK-family panel.</vt:lpwstr>
  </property>
  <property fmtid="{D5CDD505-2E9C-101B-9397-08002B2CF9AE}" pid="3" name="date">
    <vt:lpwstr/>
  </property>
</Properties>
</file>