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Zewail City of Science and</w:t>
      </w:r>
      <w:r>
        <w:t xml:space="preserve"> </w:t>
      </w:r>
      <w:r>
        <w:t xml:space="preserve">Technology, 6th of October City, Giza 12588, Egypt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 with Holm’s step-down</w:t>
      </w:r>
      <w:r>
        <w:t xml:space="preserve"> </w:t>
      </w:r>
      <w:r>
        <w:t xml:space="preserve">correction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15" w:name="ref_sec_supp_cec2017_tables"/>
      <w:r>
        <w:t xml:space="preserve">S1.</w:t>
      </w:r>
      <w:bookmarkEnd w:id="215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6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16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8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1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9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1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0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2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21" w:name="ref_sec_supp_pairwise"/>
      <w:r>
        <w:t xml:space="preserve">S2.</w:t>
      </w:r>
      <w:bookmarkEnd w:id="221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22" w:name="ref_sec_supp_h2h"/>
      <w:r>
        <w:t xml:space="preserve">S2.1.</w:t>
      </w:r>
      <w:bookmarkEnd w:id="222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3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23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4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2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5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2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6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2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27" w:name="ref_sec_supp_cec2011"/>
      <w:r>
        <w:t xml:space="preserve">S2.2.</w:t>
      </w:r>
      <w:bookmarkEnd w:id="227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30" w:name="ref_sec_supp_cec2013"/>
      <w:r>
        <w:t xml:space="preserve">S2.3.</w:t>
      </w:r>
      <w:bookmarkEnd w:id="230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dimension, and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ref_tab_cec2013_pairwise \h </w:instrText>
      </w:r>
      <w:r>
        <w:fldChar w:fldCharType="separate"/>
      </w:r>
      <w:r>
        <w:t xml:space="preserve">A16</w:t>
      </w:r>
      <w:r>
        <w:fldChar w:fldCharType="end"/>
      </w:r>
      <w:r>
        <w:t xml:space="preserve"> the complete Wilcoxon–Holm matrix</w:t>
      </w:r>
      <w:r>
        <w:t xml:space="preserve"> </w:t>
      </w:r>
      <w:r>
        <w:t xml:space="preserve">against all six comparators.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3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3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36" w:name="ref_sec_supp_bca"/>
      <w:r>
        <w:t xml:space="preserve">S2.4.</w:t>
      </w:r>
      <w:bookmarkEnd w:id="236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37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38" w:name="ref_sec_supp_posthoc"/>
      <w:r>
        <w:t xml:space="preserve">S2.5.</w:t>
      </w:r>
      <w:bookmarkEnd w:id="238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39" w:name="ref_sec_supp_rankviews"/>
      <w:r>
        <w:t xml:space="preserve">S2.6.</w:t>
      </w:r>
      <w:bookmarkEnd w:id="239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0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1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42" w:name="ref_sec_supp_convergence"/>
      <w:r>
        <w:t xml:space="preserve">S3.</w:t>
      </w:r>
      <w:bookmarkEnd w:id="242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43" w:name="ref_sec_supp_conv2017"/>
      <w:r>
        <w:t xml:space="preserve">S3.1.</w:t>
      </w:r>
      <w:bookmarkEnd w:id="243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4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5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6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7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8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4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9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4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0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5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4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5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60" w:name="ref_sec_supp_conv2011"/>
      <w:r>
        <w:t xml:space="preserve">S3.2.</w:t>
      </w:r>
      <w:bookmarkEnd w:id="260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64" w:name="ref_sec_supp_conv2013"/>
      <w:r>
        <w:t xml:space="preserve">S3.3.</w:t>
      </w:r>
      <w:bookmarkEnd w:id="264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69" w:name="ref_sec_supp_diagnostics"/>
      <w:r>
        <w:t xml:space="preserve">S4.</w:t>
      </w:r>
      <w:bookmarkEnd w:id="269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71" w:name="ref_sec_repro"/>
      <w:r>
        <w:t xml:space="preserve">S5.</w:t>
      </w:r>
      <w:bookmarkEnd w:id="271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72" w:name="ref_sec_repro_seeds"/>
      <w:r>
        <w:t xml:space="preserve">S5.1.</w:t>
      </w:r>
      <w:bookmarkEnd w:id="272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73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73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4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75" w:name="ref_sec_repro_freeze"/>
      <w:r>
        <w:t xml:space="preserve">S5.2.</w:t>
      </w:r>
      <w:bookmarkEnd w:id="275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GSK, AGSK,</w:t>
      </w:r>
      <w:r>
        <w:t xml:space="preserve"> </w:t>
      </w:r>
      <w:r>
        <w:t xml:space="preserve">APGSK, FDB-AGSK,</w:t>
      </w:r>
      <w:r>
        <w:t xml:space="preserve"> </w:t>
      </w:r>
      <w:r>
        <w:t xml:space="preserve">ATMALS-GSK and eGSK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6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77" w:name="ref_sec_repro_tuning"/>
      <w:r>
        <w:t xml:space="preserve">S5.3.</w:t>
      </w:r>
      <w:bookmarkEnd w:id="277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78" w:name="ref_sec_repro_limitations"/>
      <w:r>
        <w:t xml:space="preserve">S5.4.</w:t>
      </w:r>
      <w:bookmarkEnd w:id="278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stated there,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enters any panel, table, figure or</w:t>
      </w:r>
      <w:r>
        <w:t xml:space="preserve"> </w:t>
      </w:r>
      <w:r>
        <w:t xml:space="preserve">claim here to calibrate the family against the broader state of the art; the</w:t>
      </w:r>
      <w:r>
        <w:t xml:space="preserve"> </w:t>
      </w:r>
      <w:r>
        <w:t xml:space="preserve">repository does contain runnable non-GSK implementations and, for three</w:t>
      </w:r>
      <w:r>
        <w:t xml:space="preserve"> </w:t>
      </w:r>
      <w:r>
        <w:t xml:space="preserve">large-scale specialists, CEC2013LSGO result banks produced under this paper’s</w:t>
      </w:r>
      <w:r>
        <w:t xml:space="preserve"> </w:t>
      </w:r>
      <w:r>
        <w:t xml:space="preserve">protocol, none of them analysed here (Section S7.1).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asymmetry. It is bounded by the</w:t>
      </w:r>
      <w:r>
        <w:t xml:space="preserve"> </w:t>
      </w:r>
      <w:r>
        <w:t xml:space="preserve">matched-initial-population control of Section S9.2: held to the comparators’</w:t>
      </w:r>
      <w:r>
        <w:t xml:space="preserve"> </w:t>
      </w:r>
      <w:r>
        <w:t xml:space="preserve">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stays within the panel’s top two at every</w:t>
      </w:r>
      <w:r>
        <w:t xml:space="preserve"> </w:t>
      </w:r>
      <w:r>
        <w:t xml:space="preserve">CEC2017 dimension, but its first 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</w:t>
      </w:r>
      <w:r>
        <w:t xml:space="preserve"> </w:t>
      </w:r>
      <w:r>
        <w:t xml:space="preserve">survive, so those two rank claims rest in part on the population rule. The</w:t>
      </w:r>
      <w:r>
        <w:t xml:space="preserve"> </w:t>
      </w:r>
      <w:r>
        <w:t xml:space="preserve">asymmetry is most consequential at low dimension, where DT-GSK runs</w:t>
      </w:r>
      <w:r>
        <w:t xml:space="preserve"> </w:t>
      </w:r>
      <w:r>
        <w:t xml:space="preserve">essentially the 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51. The tier boundaries themselves are varied separately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, where the shipped middle profile is beaten</w:t>
      </w:r>
      <w:r>
        <w:t xml:space="preserve"> </w:t>
      </w:r>
      <w:r>
        <w:t xml:space="preserve">from both neighbouring tiers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</w:t>
      </w:r>
      <w:r>
        <w:t xml:space="preserve"> </w:t>
      </w:r>
      <w:r>
        <w:t xml:space="preserve">shipped upper profile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while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boundaries are</w:t>
      </w:r>
      <w:r>
        <w:t xml:space="preserve"> </w:t>
      </w:r>
      <w:r>
        <w:t xml:space="preserve">insensitive to the tested shifts.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79" w:name="ref_sec_repro_tieband"/>
      <w:r>
        <w:t xml:space="preserve">S5.5.</w:t>
      </w:r>
      <w:bookmarkEnd w:id="279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80" w:name="ref_sec_repro_aliases"/>
      <w:r>
        <w:t xml:space="preserve">S5.6.</w:t>
      </w:r>
      <w:bookmarkEnd w:id="280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1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82" w:name="ref_sec_repro_acronyms"/>
      <w:r>
        <w:t xml:space="preserve">S5.7.</w:t>
      </w:r>
      <w:bookmarkEnd w:id="282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ref_tab_acronyms \h </w:instrText>
      </w:r>
      <w:r>
        <w:fldChar w:fldCharType="separate"/>
      </w:r>
      <w:r>
        <w:t xml:space="preserve">A21</w:t>
      </w:r>
      <w:r>
        <w:fldChar w:fldCharType="end"/>
      </w:r>
      <w:r>
        <w:t xml:space="preserve"> covers the acronyms that appear in prose but carry no</w:t>
      </w:r>
      <w:r>
        <w:t xml:space="preserve"> </w:t>
      </w:r>
      <w:r>
        <w:t xml:space="preserve">symbol, so a reader meeting one out of order does not have to search for its</w:t>
      </w:r>
      <w:r>
        <w:t xml:space="preserve"> </w:t>
      </w:r>
      <w:r>
        <w:t xml:space="preserve">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3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83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84" w:name="ref_sec_repro_params_detail"/>
      <w:r>
        <w:t xml:space="preserve">S5.8.</w:t>
      </w:r>
      <w:bookmarkEnd w:id="284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86" w:name="ref_sec_repro_opspec"/>
      <w:r>
        <w:t xml:space="preserve">S5.9.</w:t>
      </w:r>
      <w:bookmarkEnd w:id="286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(</w:t>
      </w:r>
      <w:r>
        <w:fldChar w:fldCharType="begin"/>
      </w:r>
      <w:r>
        <w:instrText xml:space="preserve"> REF ref_eq_opspec_conf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87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87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b46a021d6eddd447cad30164db7fdab8b251125"/>
    <w:p>
      <w:pPr>
        <w:pStyle w:val="Heading4"/>
      </w:pPr>
      <w:r>
        <w:t xml:space="preserve">Deterministic final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(</w:t>
      </w:r>
      <w:r>
        <w:fldChar w:fldCharType="begin"/>
      </w:r>
      <w:r>
        <w:instrText xml:space="preserve"> REF ref_eq_opspec_conf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(eval_budget_frac</w:t>
      </w:r>
      <w:r>
        <w:t xml:space="preserve"> </w:t>
      </w:r>
      <m:oMath>
        <m:r>
          <m:rPr>
            <m:sty m:val="p"/>
          </m:rPr>
          <m:t>⋅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88" w:name="ref_sec_repro_release"/>
      <w:r>
        <w:t xml:space="preserve">S5.10.</w:t>
      </w:r>
      <w:bookmarkEnd w:id="288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 —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which carry the compound provenance that</w:t>
      </w:r>
      <w:r>
        <w:t xml:space="preserve"> </w:t>
      </w:r>
      <w:r>
        <w:t xml:space="preserve">section states. That primary release’s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289" w:name="ref_sec_supp_ablation"/>
      <w:r>
        <w:t xml:space="preserve">S6.</w:t>
      </w:r>
      <w:bookmarkEnd w:id="289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290" w:name="ref_sec_supp_ablation_design"/>
      <w:r>
        <w:t xml:space="preserve">S6.1.</w:t>
      </w:r>
      <w:bookmarkEnd w:id="290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291" w:name="ref_sec_supp_ablation_stats"/>
      <w:r>
        <w:t xml:space="preserve">S6.2.</w:t>
      </w:r>
      <w:bookmarkEnd w:id="291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functions, Holm-corrected</w:t>
      </w:r>
      <w:r>
        <w:t xml:space="preserve"> </w:t>
      </w:r>
      <w:r>
        <w:t xml:space="preserve">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93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 with</w:t>
      </w:r>
      <w:r>
        <w:t xml:space="preserve"> </w:t>
      </w:r>
      <w:r>
        <w:t xml:space="preserve">Holm correction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295" w:name="ref_sec_supp_ablation_findings"/>
      <w:r>
        <w:t xml:space="preserve">S6.3.</w:t>
      </w:r>
      <w:bookmarkEnd w:id="295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296" w:name="ref_sec_supp_ablation_limits"/>
      <w:r>
        <w:t xml:space="preserve">S6.4.</w:t>
      </w:r>
      <w:bookmarkEnd w:id="296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297" w:name="ref_sec_supp_ablation_sgsm"/>
      <w:r>
        <w:t xml:space="preserve">S6.5.</w:t>
      </w:r>
      <w:bookmarkEnd w:id="297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8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98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parts—the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—while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299" w:name="ref_sec_supp_ablation_subset"/>
      <w:r>
        <w:t xml:space="preserve">S6.6.</w:t>
      </w:r>
      <w:bookmarkEnd w:id="299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0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00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ref_tab_ism_subset \h </w:instrText>
      </w:r>
      <w:r>
        <w:fldChar w:fldCharType="separate"/>
      </w:r>
      <w:r>
        <w:t xml:space="preserve">A26</w:t>
      </w:r>
      <w:r>
        <w:fldChar w:fldCharType="end"/>
      </w:r>
      <w:r>
        <w:t xml:space="preserve">; 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01" w:name="ref_sec_supp_ablation_caveats"/>
      <w:r>
        <w:t xml:space="preserve">S6.7.</w:t>
      </w:r>
      <w:bookmarkEnd w:id="301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02" w:name="ref_sec_supp_cec2013lsgo"/>
      <w:r>
        <w:t xml:space="preserve">S7.</w:t>
      </w:r>
      <w:bookmarkEnd w:id="302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03" w:name="ref_sec_supp_lsgo_protocol"/>
      <w:r>
        <w:t xml:space="preserve">S7.1.</w:t>
      </w:r>
      <w:bookmarkEnd w:id="303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 and MOS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ports of SHADE-ILS, MOS</w:t>
      </w:r>
      <w:r>
        <w:t xml:space="preserve"> </w:t>
      </w:r>
      <w:r>
        <w:t xml:space="preserve">and DECC-G — the first two vendored byte-faithful copies, DECC-G first-party</w:t>
      </w:r>
      <w:r>
        <w:t xml:space="preserve"> </w:t>
      </w:r>
      <w:r>
        <w:t xml:space="preserve">code written from its source paper, as that statement records — executed on</w:t>
      </w:r>
      <w:r>
        <w:t xml:space="preserve"> </w:t>
      </w:r>
      <w:r>
        <w:t xml:space="preserve">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04" w:name="ref_sec_supp_lsgo_config"/>
      <w:r>
        <w:t xml:space="preserve">S7.2.</w:t>
      </w:r>
      <w:bookmarkEnd w:id="304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05" w:name="ref_sec_supp_lsgo_ranks"/>
      <w:r>
        <w:t xml:space="preserve">S7.3.</w:t>
      </w:r>
      <w:bookmarkEnd w:id="305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07" w:name="ref_sec_supp_lsgo_pairwise"/>
      <w:r>
        <w:t xml:space="preserve">S7.4.</w:t>
      </w:r>
      <w:bookmarkEnd w:id="307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8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08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09" w:name="ref_sec_supp_lsgo_runlevel"/>
      <w:r>
        <w:t xml:space="preserve">S7.5.</w:t>
      </w:r>
      <w:bookmarkEnd w:id="309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11" w:name="ref_sec_supp_lsgo_effects"/>
      <w:r>
        <w:t xml:space="preserve">S7.6.</w:t>
      </w:r>
      <w:bookmarkEnd w:id="311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13" w:name="ref_sec_supp_lsgo_detail"/>
      <w:r>
        <w:t xml:space="preserve">S7.7.</w:t>
      </w:r>
      <w:bookmarkEnd w:id="313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4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14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5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15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16" w:name="ref_sec_supp_cec2020"/>
      <w:r>
        <w:t xml:space="preserve">S8.</w:t>
      </w:r>
      <w:bookmarkEnd w:id="316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content-bound and auditable: the addendum’s SHA-256 is</w:t>
      </w:r>
      <w:r>
        <w:t xml:space="preserve"> </w:t>
      </w:r>
      <w:r>
        <w:t xml:space="preserve">recorded in the evidence release manifest that carries every CEC2020 datum,</w:t>
      </w:r>
      <w:r>
        <w:t xml:space="preserve"> </w:t>
      </w:r>
      <w:r>
        <w:t xml:space="preserve">so the registered text cannot have been revised after those results existed,</w:t>
      </w:r>
      <w:r>
        <w:t xml:space="preserve"> </w:t>
      </w:r>
      <w:r>
        <w:t xml:space="preserve">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addendum’s 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17" w:name="ref_sec_supp_cec2020_standing"/>
      <w:r>
        <w:t xml:space="preserve">S8.1.</w:t>
      </w:r>
      <w:bookmarkEnd w:id="317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19" w:name="ref_sec_supp_cec2020_omnibus"/>
      <w:r>
        <w:t xml:space="preserve">S8.2.</w:t>
      </w:r>
      <w:bookmarkEnd w:id="319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21" w:name="ref_sec_supp_cec2020_pairwise"/>
      <w:r>
        <w:t xml:space="preserve">S8.3.</w:t>
      </w:r>
      <w:bookmarkEnd w:id="321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24" w:name="ref_sec_supp_cec2020_effects"/>
      <w:r>
        <w:t xml:space="preserve">S8.4.</w:t>
      </w:r>
      <w:bookmarkEnd w:id="324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26" w:name="ref_sec_supp_cec2020_robustness"/>
      <w:r>
        <w:t xml:space="preserve">S8.5.</w:t>
      </w:r>
      <w:bookmarkEnd w:id="326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28" w:name="ref_sec_supp_cec2020_detail"/>
      <w:r>
        <w:t xml:space="preserve">S8.6.</w:t>
      </w:r>
      <w:bookmarkEnd w:id="328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33" w:name="ref_sec_supp_revision"/>
      <w:r>
        <w:t xml:space="preserve">S9.</w:t>
      </w:r>
      <w:bookmarkEnd w:id="333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 —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the registered adverse wording</w:t>
      </w:r>
      <w:r>
        <w:t xml:space="preserve"> </w:t>
      </w:r>
      <w:r>
        <w:t xml:space="preserve">can be read directly against what is reported here. The later amendments</w:t>
      </w:r>
      <w:r>
        <w:t xml:space="preserve"> </w:t>
      </w:r>
      <w:r>
        <w:t xml:space="preserve">carry commit-level dates in that repository; the earlier registrations are</w:t>
      </w:r>
      <w:r>
        <w:t xml:space="preserve"> </w:t>
      </w:r>
      <w:r>
        <w:t xml:space="preserve">bound instead by the checksums recorded in the evidence release manifests,</w:t>
      </w:r>
      <w:r>
        <w:t xml:space="preserve"> </w:t>
      </w:r>
      <w:r>
        <w:t xml:space="preserve">because the published history is a squashed import and does not preserve the</w:t>
      </w:r>
      <w:r>
        <w:t xml:space="preserve"> </w:t>
      </w:r>
      <w:r>
        <w:t xml:space="preserve">original commit dates.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 A second, earlier departure</w:t>
      </w:r>
      <w:r>
        <w:t xml:space="preserve"> </w:t>
      </w:r>
      <w:r>
        <w:t xml:space="preserve">is recorded as Amendment A3: for Experiments E2 and E3 the executed Holm</w:t>
      </w:r>
      <w:r>
        <w:t xml:space="preserve"> </w:t>
      </w:r>
      <w:r>
        <w:t xml:space="preserve">families correct across dimensions where the registered plan specified</w:t>
      </w:r>
      <w:r>
        <w:t xml:space="preserve"> </w:t>
      </w:r>
      <w:r>
        <w:t xml:space="preserve">within dimension. The amendment records the departure, its direction, and</w:t>
      </w:r>
      <w:r>
        <w:t xml:space="preserve"> </w:t>
      </w:r>
      <w:r>
        <w:t xml:space="preserve">the verification that every decision reported here is unchanged under the</w:t>
      </w:r>
      <w:r>
        <w:t xml:space="preserve"> </w:t>
      </w:r>
      <w:r>
        <w:t xml:space="preserve">registered family; for E2 the registered family would have had one member,</w:t>
      </w:r>
      <w:r>
        <w:t xml:space="preserve"> </w:t>
      </w:r>
      <w:r>
        <w:t xml:space="preserve">so the executed correction is the more conservative of the two.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34" w:name="ref_sec_supp_rev_basis"/>
      <w:r>
        <w:t xml:space="preserve">S9.1.</w:t>
      </w:r>
      <w:bookmarkEnd w:id="334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ref_tab_rev_e1 \h </w:instrText>
      </w:r>
      <w:r>
        <w:fldChar w:fldCharType="separate"/>
      </w:r>
      <w:r>
        <w:t xml:space="preserve">A43</w:t>
      </w:r>
      <w:r>
        <w:fldChar w:fldCharType="end"/>
      </w:r>
      <w:r>
        <w:t xml:space="preserve"> reports the contrast.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second; between-function scale</w:t>
      </w:r>
      <w:r>
        <w:t xml:space="preserve"> </w:t>
      </w:r>
      <w:r>
        <w:t xml:space="preserve">dominates the pooled pairs and compresses the statistic toward</w:t>
      </w:r>
      <w:r>
        <w:t xml:space="preserve"> </w:t>
      </w:r>
      <m:oMath>
        <m:r>
          <m:t>0.5</m:t>
        </m:r>
      </m:oMath>
      <w:r>
        <w:t xml:space="preserve">, so a</w:t>
      </w:r>
      <w:r>
        <w:t xml:space="preserve"> </w:t>
      </w:r>
      <w:r>
        <w:t xml:space="preserve">value near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here does not indicate a null contrast. W/T/L counts functions with wins</w:t>
      </w:r>
      <w:r>
        <w:t xml:space="preserve"> </w:t>
      </w:r>
      <w:r>
        <w:t xml:space="preserve">credited to the first-named arm, 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</w:t>
      </w:r>
      <w:r>
        <w:t xml:space="preserve"> </w:t>
      </w:r>
      <w:r>
        <w:t xml:space="preserve">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36" w:name="ref_sec_supp_rev_np"/>
      <w:r>
        <w:t xml:space="preserve">S9.2.</w:t>
      </w:r>
      <w:bookmarkEnd w:id="336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main text discloses but the panel evidence does not control.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ref_tab_rev_e2 \h </w:instrText>
      </w:r>
      <w:r>
        <w:fldChar w:fldCharType="separate"/>
      </w:r>
      <w:r>
        <w:t xml:space="preserve">A44</w:t>
      </w:r>
      <w:r>
        <w:fldChar w:fldCharType="end"/>
      </w:r>
      <w:r>
        <w:t xml:space="preserve"> reports the outcome.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38" w:name="ref_sec_supp_rev_tiering"/>
      <w:r>
        <w:t xml:space="preserve">S9.3.</w:t>
      </w:r>
      <w:bookmarkEnd w:id="338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panel evidence does not compare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 agree</w:t>
      </w:r>
      <w:r>
        <w:t xml:space="preserve"> </w:t>
      </w:r>
      <w:r>
        <w:t xml:space="preserve">(26 divergent and 229 agreeing of the 255 (function, run) cells re-executed,</w:t>
      </w:r>
      <w:r>
        <w:t xml:space="preserve"> </w:t>
      </w:r>
      <w:r>
        <w:t xml:space="preserve">with zero seed mismatches).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carries the tiered configuration by construction, so that tie is</w:t>
      </w:r>
      <w:r>
        <w:t xml:space="preserve"> </w:t>
      </w:r>
      <w:r>
        <w:t xml:space="preserve">the design’s internal control, not evidence —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 —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main text already discloses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40" w:name="ref_sec_supp_rev_sensitivity"/>
      <w:r>
        <w:t xml:space="preserve">S9.4.</w:t>
      </w:r>
      <w:bookmarkEnd w:id="340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interaction-memory update cadence,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 Table </w:t>
      </w:r>
      <w:r>
        <w:fldChar w:fldCharType="begin"/>
      </w:r>
      <w:r>
        <w:instrText xml:space="preserve"> REF ref_tab_rev_e4 \h </w:instrText>
      </w:r>
      <w:r>
        <w:fldChar w:fldCharType="separate"/>
      </w:r>
      <w:r>
        <w:t xml:space="preserve">A46</w:t>
      </w:r>
      <w:r>
        <w:fldChar w:fldCharType="end"/>
      </w:r>
      <w:r>
        <w:t xml:space="preserve"> reports every executed cell.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The executed levels bound what was tested: the robustness reading for those</w:t>
      </w:r>
      <w:r>
        <w:t xml:space="preserve"> </w:t>
      </w:r>
      <w:r>
        <w:t xml:space="preserve">cells attaches to the larger perturbations actually run — no monotonicity in</w:t>
      </w:r>
      <w:r>
        <w:t xml:space="preserve"> </w:t>
      </w:r>
      <w:r>
        <w:t xml:space="preserve">perturbation size is assumed — so the registered magnitude on the tested</w:t>
      </w:r>
      <w:r>
        <w:t xml:space="preserve"> </w:t>
      </w:r>
      <w:r>
        <w:t xml:space="preserve">side, like the whole of the untested side, carries no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 Real-valued constants are perturbed by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and integer-valued</w:t>
      </w:r>
      <w:r>
        <w:t xml:space="preserve"> </w:t>
      </w:r>
      <w:r>
        <w:t xml:space="preserve">constants to the nearest different integer, as registered; the table prints the</w:t>
      </w:r>
      <w:r>
        <w:t xml:space="preserve"> </w:t>
      </w:r>
      <w:r>
        <w:t xml:space="preserve">levels actually executed.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42" w:name="ref_sec_supp_rev_boundary"/>
      <w:r>
        <w:t xml:space="preserve">S9.5.</w:t>
      </w:r>
      <w:bookmarkEnd w:id="342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 Table </w:t>
      </w:r>
      <w:r>
        <w:fldChar w:fldCharType="begin"/>
      </w:r>
      <w:r>
        <w:instrText xml:space="preserve"> REF ref_tab_rev_e5 \h </w:instrText>
      </w:r>
      <w:r>
        <w:fldChar w:fldCharType="separate"/>
      </w:r>
      <w:r>
        <w:t xml:space="preserve">A47</w:t>
      </w:r>
      <w:r>
        <w:fldChar w:fldCharType="end"/>
      </w:r>
      <w:r>
        <w:t xml:space="preserve"> reports the five</w:t>
      </w:r>
      <w:r>
        <w:t xml:space="preserve"> </w:t>
      </w:r>
      <w:r>
        <w:t xml:space="preserve">registered contrasts.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four cells use 15 paired runs</w:t>
      </w:r>
      <w:r>
        <w:t xml:space="preserve"> </w:t>
      </w:r>
      <w:r>
        <w:t xml:space="preserve">against the frozen tiered leg restricted to the same runs, and 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reuses the 51 runs of the corresponding transplant; paired</w:t>
      </w:r>
      <w:r>
        <w:t xml:space="preserve"> </w:t>
      </w:r>
      <w:r>
        <w:t xml:space="preserve">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and moves the</w:t>
      </w:r>
      <w:r>
        <w:t xml:space="preserve"> </w:t>
      </w:r>
      <w:r>
        <w:t xml:space="preserve">descriptive mean rank from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1.97</m:t>
        </m:r>
      </m:oMath>
      <w:r>
        <w:t xml:space="preserve">,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/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Ahmed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Ahmed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