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 that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v2.26,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Table A45 residual is carried by a further 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 that suite only at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