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</w:t>
      </w:r>
      <w:r>
        <w:t xml:space="preserve"> </w:t>
      </w:r>
      <w:r>
        <w:t xml:space="preserve">Holm-corrected tests separate it from eGSK on either suite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CEC2011/CEC2013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</w:t>
      </w:r>
      <w:r>
        <w:t xml:space="preserve"> </w:t>
      </w:r>
      <w:r>
        <w:t xml:space="preserve">coordinate axes outperform its basis—controlled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at the dimensions</w:t>
      </w:r>
      <w:r>
        <w:t xml:space="preserve"> </w:t>
      </w:r>
      <w:r>
        <w:t xml:space="preserve">where tiering was demonstrated, and report the second as a controlled negative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 C2 is claimed for the dimensions where</w:t>
      </w:r>
      <w:r>
        <w:t xml:space="preserve"> </w:t>
      </w:r>
      <w:r>
        <w:t xml:space="preserve">tiering was demonstrated,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is</w:t>
      </w:r>
      <w:r>
        <w:t xml:space="preserve"> </w:t>
      </w:r>
      <w:r>
        <w:t xml:space="preserve">disclosed as mis-specified (Section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deterministic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Both</w:t>
      </w:r>
      <w:r>
        <w:t xml:space="preserve"> </w:t>
      </w:r>
      <w:r>
        <w:t xml:space="preserve">settings are protocol-conformant: each suite’s protocol fixes its evaluation</w:t>
      </w:r>
      <w:r>
        <w:t xml:space="preserve"> </w:t>
      </w:r>
      <w:r>
        <w:t xml:space="preserve">budget and run count (Table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and prescribes no population</w:t>
      </w:r>
      <w:r>
        <w:t xml:space="preserve"> </w:t>
      </w:r>
      <w:r>
        <w:t xml:space="preserve">size.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common-initial-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 on CEC2017, with DT-GSK’s own reduction law and</w:t>
      </w:r>
      <w:r>
        <w:t xml:space="preserve"> </w:t>
      </w:r>
      <w:r>
        <w:t xml:space="preserve">tier floors retained: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 On CEC2013LSGO the corresponding ratio at initialization is</w:t>
      </w:r>
      <w:r>
        <w:t xml:space="preserve"> </w:t>
      </w:r>
      <w:r>
        <w:t xml:space="preserve">fifty-fold; it is disclosed but not controlled (Supplementary Materials,</w:t>
      </w:r>
      <w:r>
        <w:t xml:space="preserve"> </w:t>
      </w:r>
      <w:r>
        <w:t xml:space="preserve">Section S7).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(suite-dependent;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), seed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(allocated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</w:t>
      </w:r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a tier-dependent fraction of rows take a linkage block (learned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random otherwise, and only when the confidence gate passes); the remaining rows take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trial’s binomially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remaining budget   </w:t>
      </w:r>
      <m:oMath>
        <m:r>
          <m:rPr>
            <m:sty m:val="p"/>
          </m:rPr>
          <m:t>⊳</m:t>
        </m:r>
      </m:oMath>
      <w:r>
        <w:t xml:space="preserve"> unevaluated rows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slice, under the evaluation cap and past cooldown: charged coordinate local search on the elite rows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≥</m:t>
        </m:r>
        <m:r>
          <m:t>0.80</m:t>
        </m:r>
      </m:oMath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≥</m:t>
        </m:r>
        <m:r>
          <m:t>0.70</m:t>
        </m:r>
      </m:oMath>
      <w:r>
        <w:t xml:space="preserve"> </w:t>
      </w:r>
      <w:r>
        <w:t xml:space="preserve">above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cross-cutting, not a stage after the local search: they act at population reduction (subspace-sampling floor), trial construction (frozen-streak broaden and late linkage random-mix), acceptance (late-acceptance clip and basin-memory update), and escape (basin-novelty reseed); a budget/ROI gate additionally gates the local search (a matching hook exists on the escape but never blocks it in the frozen configuration).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budget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deterministic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deterministic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deterministic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This cross-function scale heterogeneity is a</w:t>
      </w:r>
      <w:r>
        <w:t xml:space="preserve"> </w:t>
      </w:r>
      <w:r>
        <w:t xml:space="preserve">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study’s only</w:t>
      </w:r>
      <w:r>
        <w:t xml:space="preserve"> </w:t>
      </w:r>
      <w:r>
        <w:t xml:space="preserve">Holm-significant unfavorable cell on the three bound-constrained comparison</w:t>
      </w:r>
      <w:r>
        <w:t xml:space="preserve"> </w:t>
      </w:r>
      <w:r>
        <w:t xml:space="preserve">suites; the pre-registered CEC2020 leg adds 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“Inactive”</w:t>
      </w:r>
      <w:r>
        <w:t xml:space="preserve"> </w:t>
      </w:r>
      <w:r>
        <w:t xml:space="preserve">here follows the gating taxonomy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at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cells the always-on scaffold</w:t>
      </w:r>
      <w:r>
        <w:t xml:space="preserve"> </w:t>
      </w:r>
      <w:r>
        <w:t xml:space="preserve">does cross into its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tier — the optional</w:t>
      </w:r>
      <w:r>
        <w:t xml:space="preserve"> </w:t>
      </w:r>
      <w:r>
        <w:t xml:space="preserve">differential-evolution arm joins the ACE pool, the credit assignment</w:t>
      </w:r>
      <w:r>
        <w:t xml:space="preserve"> </w:t>
      </w:r>
      <w:r>
        <w:t xml:space="preserve">splits into a top/bottom improvement memory, and several tier constants</w:t>
      </w:r>
      <w:r>
        <w:t xml:space="preserve"> </w:t>
      </w:r>
      <w:r>
        <w:t xml:space="preserve">change — while the gated subsystems themselves (the</w:t>
      </w:r>
      <w:r>
        <w:t xml:space="preserve"> </w:t>
      </w:r>
      <w:r>
        <w:t xml:space="preserve">interaction-structure memory, the deterministic final polish, and the</w:t>
      </w:r>
      <w:r>
        <w:t xml:space="preserve"> </w:t>
      </w:r>
      <w:r>
        <w:t xml:space="preserve">upper-tier controllers) remain off.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The three-arm isolation of Supplementary</w:t>
      </w:r>
      <w:r>
        <w:t xml:space="preserve"> </w:t>
      </w:r>
      <w:r>
        <w:t xml:space="preserve">Materials Section S9.1 bears on this explanation and supports it: the coordinate</w:t>
      </w:r>
      <w:r>
        <w:t xml:space="preserve"> </w:t>
      </w:r>
      <w:r>
        <w:t xml:space="preserve">arm alone beats no refinement at both active dimensions.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 was signed, and its</w:t>
      </w:r>
      <w:r>
        <w:t xml:space="preserve"> </w:t>
      </w:r>
      <w:r>
        <w:t xml:space="preserve">checksum bound into the evidence release, before the first CEC2020 result;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which is why contribution C2 is claimed for those</w:t>
      </w:r>
      <w:r>
        <w:t xml:space="preserve"> </w:t>
      </w:r>
      <w:r>
        <w:t xml:space="preserve">two dimensions only.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 That departure is bounded rather than</w:t>
      </w:r>
      <w:r>
        <w:t xml:space="preserve"> </w:t>
      </w:r>
      <w:r>
        <w:t xml:space="preserve">merely disclosed: held to the comparators’ 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</w:t>
      </w:r>
      <w:r>
        <w:t xml:space="preserve"> </w:t>
      </w:r>
      <w:r>
        <w:t xml:space="preserve">stays within the panel’s top two at every CEC2017 dimension, but its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 survive, so those two rank claims</w:t>
      </w:r>
      <w:r>
        <w:t xml:space="preserve"> </w:t>
      </w:r>
      <w:r>
        <w:t xml:space="preserve">rest in part on the population rule (Supplementary Materials,</w:t>
      </w:r>
      <w:r>
        <w:t xml:space="preserve"> </w:t>
      </w:r>
      <w:r>
        <w:t xml:space="preserve">Section S9.2).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 and, under</w:t>
      </w:r>
      <w:r>
        <w:t xml:space="preserve"> </w:t>
      </w:r>
      <w:r>
        <w:t xml:space="preserve">the manuscript’s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both active dimensions,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  <w:r>
        <w:t xml:space="preserve"> </w:t>
      </w:r>
      <w:r>
        <w:t xml:space="preserve">Both mechanisms are retained unchanged. The configuration evaluated here was</w:t>
      </w:r>
      <w:r>
        <w:t xml:space="preserve"> </w:t>
      </w:r>
      <w:r>
        <w:t xml:space="preserve">fixed and checksum-locked before these isolations were run, so replacing a</w:t>
      </w:r>
      <w:r>
        <w:t xml:space="preserve"> </w:t>
      </w:r>
      <w:r>
        <w:t xml:space="preserve">component in response to the experiment that measured it would define a</w:t>
      </w:r>
      <w:r>
        <w:t xml:space="preserve"> </w:t>
      </w:r>
      <w:r>
        <w:t xml:space="preserve">different algorithm, and every number reported here is bound to the one that</w:t>
      </w:r>
      <w:r>
        <w:t xml:space="preserve"> </w:t>
      </w:r>
      <w:r>
        <w:t xml:space="preserve">was evaluated. The isolations therefore correct the claims rather than the</w:t>
      </w:r>
      <w:r>
        <w:t xml:space="preserve"> </w:t>
      </w:r>
      <w:r>
        <w:t xml:space="preserve">method, and the mechanisms remain in the shipped configuration so that both</w:t>
      </w:r>
      <w:r>
        <w:t xml:space="preserve"> </w:t>
      </w:r>
      <w:r>
        <w:t xml:space="preserve">negative results are reproducible from it.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M.E.M.;</w:t>
      </w:r>
      <w:r>
        <w:t xml:space="preserve"> </w:t>
      </w:r>
      <w:r>
        <w:t xml:space="preserve">methodology, M.E.M. and A.W.M.; software, M.E.M.;</w:t>
      </w:r>
      <w:r>
        <w:t xml:space="preserve"> </w:t>
      </w:r>
      <w:r>
        <w:t xml:space="preserve">formal analysis, M.E.M. and A.W.M.; investigation, M.E.M. and A.W.M.;</w:t>
      </w:r>
      <w:r>
        <w:t xml:space="preserve"> </w:t>
      </w:r>
      <w:r>
        <w:t xml:space="preserve">data curation, M.E.M. and A.W.M.;</w:t>
      </w:r>
      <w:r>
        <w:t xml:space="preserve"> </w:t>
      </w:r>
      <w:r>
        <w:t xml:space="preserve">writing—original draft preparation, M.E.M.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v2.30,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file; the two suites added after</w:t>
      </w:r>
      <w:r>
        <w:t xml:space="preserve"> </w:t>
      </w:r>
      <w:r>
        <w:t xml:space="preserve">that release was minted are carried by their own separate,</w:t>
      </w:r>
      <w:r>
        <w:t xml:space="preserve"> </w:t>
      </w:r>
      <w:r>
        <w:t xml:space="preserve">non-superseding releases, lsgo-rel-2026-07-28-ff1a046ef (CEC2013LSGO)</w:t>
      </w:r>
      <w:r>
        <w:t xml:space="preserve"> </w:t>
      </w:r>
      <w:r>
        <w:t xml:space="preserve">and cec2020-rel-2026-07-29-5867abe1e (CEC2020), each with its own</w:t>
      </w:r>
      <w:r>
        <w:t xml:space="preserve"> </w:t>
      </w:r>
      <w:r>
        <w:t xml:space="preserve">checksummed manifest; four of the mechanism-isolation experiments (E1–E4)</w:t>
      </w:r>
      <w:r>
        <w:t xml:space="preserve"> </w:t>
      </w:r>
      <w:r>
        <w:t xml:space="preserve">are carried by a fourth additive, non-superseding release,</w:t>
      </w:r>
      <w:r>
        <w:t xml:space="preserve"> </w:t>
      </w:r>
      <w:r>
        <w:t xml:space="preserve">rev-rel-2026-08-26-dd42d37eb, which</w:t>
      </w:r>
      <w:r>
        <w:t xml:space="preserve"> </w:t>
      </w:r>
      <w:r>
        <w:t xml:space="preserve">leaves every primary value unchanged; the dimension-boundary experiment (E5)</w:t>
      </w:r>
      <w:r>
        <w:t xml:space="preserve"> </w:t>
      </w:r>
      <w:r>
        <w:t xml:space="preserve">is carried by a fifth additive release,</w:t>
      </w:r>
      <w:r>
        <w:t xml:space="preserve"> </w:t>
      </w:r>
      <w:r>
        <w:t xml:space="preserve">rev2-rel-2026-08-28-203c78744, on the same terms; the identity re-execution</w:t>
      </w:r>
      <w:r>
        <w:t xml:space="preserve"> </w:t>
      </w:r>
      <w:r>
        <w:t xml:space="preserve">behind the Supplementary Materials Table A45 residual is carried by a further</w:t>
      </w:r>
      <w:r>
        <w:t xml:space="preserve"> </w:t>
      </w:r>
      <w:r>
        <w:t xml:space="preserve">additive release,</w:t>
      </w:r>
      <w:r>
        <w:t xml:space="preserve"> </w:t>
      </w:r>
      <w:r>
        <w:t xml:space="preserve">g1-rel-2026-08-28-65b3d39e6; and the derived statistical artifacts</w:t>
      </w:r>
      <w:r>
        <w:t xml:space="preserve"> </w:t>
      </w:r>
      <w:r>
        <w:t xml:space="preserve">behind every table and figure are versioned as checksummed analysis</w:t>
      </w:r>
      <w:r>
        <w:t xml:space="preserve"> </w:t>
      </w:r>
      <w:r>
        <w:t xml:space="preserve">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Holm-corrected tests separate it from eGSK on either suite only at D = 10; it is second behind eGSK at CEC2017 D = 30 and on CEC2011 (Holm-significant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CEC2011/CEC2013 corroborative; CEC2020 pre-registered confirmatory; CEC2013LSGO post-hoc. Direct isolations find no standalone benefit from that memory; coordinate axes outperform its basis—controlled negative results. All findings are scoped to the GSK-family panel.</vt:lpwstr>
  </property>
  <property fmtid="{D5CDD505-2E9C-101B-9397-08002B2CF9AE}" pid="3" name="date">
    <vt:lpwstr/>
  </property>
</Properties>
</file>