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, seed   </w:t>
      </w:r>
      <m:oMath>
        <m:r>
          <m:rPr>
            <m:sty m:val="p"/>
          </m:rPr>
          <m:t>⊳</m:t>
        </m:r>
      </m:oMath>
      <w:r>
        <w:t xml:space="preserve"> budgets: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  </w:t>
      </w:r>
      <m:oMath>
        <m:r>
          <m:rPr>
            <m:sty m:val="p"/>
          </m:rPr>
          <m:t>⊳</m:t>
        </m:r>
      </m:oMath>
      <w:r>
        <w:t xml:space="preserve"> 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linkage block on some rows,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on the rest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budget   </w:t>
      </w:r>
      <m:oMath>
        <m:r>
          <m:rPr>
            <m:sty m:val="p"/>
          </m:rPr>
          <m:t>⊳</m:t>
        </m:r>
      </m:oMath>
      <w:r>
        <w:t xml:space="preserve"> the rest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slice: charged coordinate local search on the elites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 linkage block is 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(random otherwise) and confidence-gated; the local search enters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of the budget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above, under its evaluation cap and cooldown; and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cross-cutting—they act inside the reduction, trial-construction, acceptance and escape steps above and gate the local search—as detailed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M.E.A.M.;</w:t>
      </w:r>
      <w:r>
        <w:t xml:space="preserve"> </w:t>
      </w:r>
      <w:r>
        <w:t xml:space="preserve">methodology, M.E.A.M. and A.W.M.; software, M.E.A.M.;</w:t>
      </w:r>
      <w:r>
        <w:t xml:space="preserve"> </w:t>
      </w:r>
      <w:r>
        <w:t xml:space="preserve">formal analysis, M.E.A.M. and A.W.M.; investigation, M.E.A.M. and A.W.M.;</w:t>
      </w:r>
      <w:r>
        <w:t xml:space="preserve"> </w:t>
      </w:r>
      <w:r>
        <w:t xml:space="preserve">data curation, M.E.A.M. and A.W.M.;</w:t>
      </w:r>
      <w:r>
        <w:t xml:space="preserve"> </w:t>
      </w:r>
      <w:r>
        <w:t xml:space="preserve">writing—original draft preparation, M.E.A.M.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v2.35,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file. The CEC2013LSGO and CEC2020</w:t>
      </w:r>
      <w:r>
        <w:t xml:space="preserve"> </w:t>
      </w:r>
      <w:r>
        <w:t xml:space="preserve">suites, the five revision experiments (E1–E5), and the identity</w:t>
      </w:r>
      <w:r>
        <w:t xml:space="preserve"> </w:t>
      </w:r>
      <w:r>
        <w:t xml:space="preserve">re-execution behind the Supplementary Materials Table A45 residual are</w:t>
      </w:r>
      <w:r>
        <w:t xml:space="preserve"> </w:t>
      </w:r>
      <w:r>
        <w:t xml:space="preserve">carried by five further additive, non-superseding releases on the same</w:t>
      </w:r>
      <w:r>
        <w:t xml:space="preserve"> </w:t>
      </w:r>
      <w:r>
        <w:t xml:space="preserve">terms, each with its own checksummed manifest and none changing any</w:t>
      </w:r>
      <w:r>
        <w:t xml:space="preserve"> </w:t>
      </w:r>
      <w:r>
        <w:t xml:space="preserve">primary value; their identifiers are recorded in the Supplementary</w:t>
      </w:r>
      <w:r>
        <w:t xml:space="preserve"> </w:t>
      </w:r>
      <w:r>
        <w:t xml:space="preserve">Materials and in the repository’s release manifests. The derived</w:t>
      </w:r>
      <w:r>
        <w:t xml:space="preserve"> </w:t>
      </w:r>
      <w:r>
        <w:t xml:space="preserve">statistical artifacts behind every table and figure are versioned as</w:t>
      </w:r>
      <w:r>
        <w:t xml:space="preserve"> </w:t>
      </w:r>
      <w:r>
        <w:t xml:space="preserve">checksummed analysis 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M.E.A.M.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