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four round-one revision</w:t>
      </w:r>
      <w:r>
        <w:t xml:space="preserve"> </w:t>
      </w:r>
      <w:r>
        <w:t xml:space="preserve">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 three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6" w:name="ref_sec_supp_cec2017_tables"/>
      <w:r>
        <w:t xml:space="preserve">S1.</w:t>
      </w:r>
      <w:bookmarkEnd w:id="226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7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7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2" w:name="ref_sec_supp_pairwise"/>
      <w:r>
        <w:t xml:space="preserve">S2.</w:t>
      </w:r>
      <w:bookmarkEnd w:id="232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3" w:name="ref_sec_supp_h2h"/>
      <w:r>
        <w:t xml:space="preserve">S2.1.</w:t>
      </w:r>
      <w:bookmarkEnd w:id="233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8" w:name="ref_sec_supp_cec2011"/>
      <w:r>
        <w:t xml:space="preserve">S2.2.</w:t>
      </w:r>
      <w:bookmarkEnd w:id="238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1" w:name="ref_sec_supp_cec2013"/>
      <w:r>
        <w:t xml:space="preserve">S2.3.</w:t>
      </w:r>
      <w:bookmarkEnd w:id="241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2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7" w:name="ref_sec_supp_bca"/>
      <w:r>
        <w:t xml:space="preserve">S2.4.</w:t>
      </w:r>
      <w:bookmarkEnd w:id="247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8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8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9" w:name="ref_sec_supp_posthoc"/>
      <w:r>
        <w:t xml:space="preserve">S2.5.</w:t>
      </w:r>
      <w:bookmarkEnd w:id="249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0" w:name="ref_sec_supp_rankviews"/>
      <w:r>
        <w:t xml:space="preserve">S2.6.</w:t>
      </w:r>
      <w:bookmarkEnd w:id="250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3" w:name="ref_sec_supp_convergence"/>
      <w:r>
        <w:t xml:space="preserve">S3.</w:t>
      </w:r>
      <w:bookmarkEnd w:id="253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4" w:name="ref_sec_supp_conv2017"/>
      <w:r>
        <w:t xml:space="preserve">S3.1.</w:t>
      </w:r>
      <w:bookmarkEnd w:id="254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1" w:name="ref_sec_supp_conv2011"/>
      <w:r>
        <w:t xml:space="preserve">S3.2.</w:t>
      </w:r>
      <w:bookmarkEnd w:id="271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5" w:name="ref_sec_supp_conv2013"/>
      <w:r>
        <w:t xml:space="preserve">S3.3.</w:t>
      </w:r>
      <w:bookmarkEnd w:id="275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0" w:name="ref_sec_supp_diagnostics"/>
      <w:r>
        <w:t xml:space="preserve">S4.</w:t>
      </w:r>
      <w:bookmarkEnd w:id="280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1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2" w:name="ref_sec_repro"/>
      <w:r>
        <w:t xml:space="preserve">S5.</w:t>
      </w:r>
      <w:bookmarkEnd w:id="282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3" w:name="ref_sec_repro_seeds"/>
      <w:r>
        <w:t xml:space="preserve">S5.1.</w:t>
      </w:r>
      <w:bookmarkEnd w:id="283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4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4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6" w:name="ref_sec_repro_freeze"/>
      <w:r>
        <w:t xml:space="preserve">S5.2.</w:t>
      </w:r>
      <w:bookmarkEnd w:id="286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residual, which that table’s caption</w:t>
      </w:r>
      <w:r>
        <w:t xml:space="preserve"> </w:t>
      </w:r>
      <w:r>
        <w:t xml:space="preserve">reports as unresolved.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8" w:name="ref_sec_repro_tuning"/>
      <w:r>
        <w:t xml:space="preserve">S5.3.</w:t>
      </w:r>
      <w:bookmarkEnd w:id="288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9" w:name="ref_sec_repro_limitations"/>
      <w:r>
        <w:t xml:space="preserve">S5.4.</w:t>
      </w:r>
      <w:bookmarkEnd w:id="289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leaves the dimension-tier boundaries</w:t>
      </w:r>
      <w:r>
        <w:t xml:space="preserve"> </w:t>
      </w:r>
      <w:r>
        <w:t xml:space="preserve">themselves unvaried, so their sensitivity is untested.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0" w:name="ref_sec_repro_tieband"/>
      <w:r>
        <w:t xml:space="preserve">S5.5.</w:t>
      </w:r>
      <w:bookmarkEnd w:id="290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1" w:name="ref_sec_repro_aliases"/>
      <w:r>
        <w:t xml:space="preserve">S5.6.</w:t>
      </w:r>
      <w:bookmarkEnd w:id="291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3" w:name="ref_sec_repro_acronyms"/>
      <w:r>
        <w:t xml:space="preserve">S5.7.</w:t>
      </w:r>
      <w:bookmarkEnd w:id="293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5" w:name="ref_sec_repro_params_detail"/>
      <w:r>
        <w:t xml:space="preserve">S5.8.</w:t>
      </w:r>
      <w:bookmarkEnd w:id="295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6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6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7" w:name="ref_sec_repro_opspec"/>
      <w:r>
        <w:t xml:space="preserve">S5.9.</w:t>
      </w:r>
      <w:bookmarkEnd w:id="297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non-positive)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8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8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99" w:name="ref_sec_repro_release"/>
      <w:r>
        <w:t xml:space="preserve">S5.10.</w:t>
      </w:r>
      <w:bookmarkEnd w:id="299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(603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0" w:name="ref_sec_supp_ablation"/>
      <w:r>
        <w:t xml:space="preserve">S6.</w:t>
      </w:r>
      <w:bookmarkEnd w:id="300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1" w:name="ref_sec_supp_ablation_design"/>
      <w:r>
        <w:t xml:space="preserve">S6.1.</w:t>
      </w:r>
      <w:bookmarkEnd w:id="301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2" w:name="ref_sec_supp_ablation_stats"/>
      <w:r>
        <w:t xml:space="preserve">S6.2.</w:t>
      </w:r>
      <w:bookmarkEnd w:id="302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3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3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4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5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6" w:name="ref_sec_supp_ablation_findings"/>
      <w:r>
        <w:t xml:space="preserve">S6.3.</w:t>
      </w:r>
      <w:bookmarkEnd w:id="306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7" w:name="ref_sec_supp_ablation_limits"/>
      <w:r>
        <w:t xml:space="preserve">S6.4.</w:t>
      </w:r>
      <w:bookmarkEnd w:id="307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8" w:name="ref_sec_supp_ablation_sgsm"/>
      <w:r>
        <w:t xml:space="preserve">S6.5.</w:t>
      </w:r>
      <w:bookmarkEnd w:id="308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on the raw</w:t>
      </w:r>
      <w:r>
        <w:t xml:space="preserve"> </w:t>
      </w:r>
      <w:r>
        <w:t xml:space="preserve">runs; the four cells 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9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9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0" w:name="ref_sec_supp_ablation_subset"/>
      <w:r>
        <w:t xml:space="preserve">S6.6.</w:t>
      </w:r>
      <w:bookmarkEnd w:id="310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1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1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2" w:name="ref_sec_supp_ablation_caveats"/>
      <w:r>
        <w:t xml:space="preserve">S6.7.</w:t>
      </w:r>
      <w:bookmarkEnd w:id="312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3" w:name="ref_sec_supp_cec2013lsgo"/>
      <w:r>
        <w:t xml:space="preserve">S7.</w:t>
      </w:r>
      <w:bookmarkEnd w:id="313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4" w:name="ref_sec_supp_lsgo_protocol"/>
      <w:r>
        <w:t xml:space="preserve">S7.1.</w:t>
      </w:r>
      <w:bookmarkEnd w:id="314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(statistical_analysis_plan_addendum_cec2020_lsgo.md,</w:t>
      </w:r>
      <w:r>
        <w:t xml:space="preserve"> </w:t>
      </w:r>
      <w:r>
        <w:t xml:space="preserve">signing commit 5c9bfae82)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5" w:name="ref_sec_supp_lsgo_config"/>
      <w:r>
        <w:t xml:space="preserve">S7.2.</w:t>
      </w:r>
      <w:bookmarkEnd w:id="315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6" w:name="ref_sec_supp_lsgo_ranks"/>
      <w:r>
        <w:t xml:space="preserve">S7.3.</w:t>
      </w:r>
      <w:bookmarkEnd w:id="316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7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7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8" w:name="ref_sec_supp_lsgo_pairwise"/>
      <w:r>
        <w:t xml:space="preserve">S7.4.</w:t>
      </w:r>
      <w:bookmarkEnd w:id="318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9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9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0" w:name="ref_sec_supp_lsgo_runlevel"/>
      <w:r>
        <w:t xml:space="preserve">S7.5.</w:t>
      </w:r>
      <w:bookmarkEnd w:id="320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2" w:name="ref_sec_supp_lsgo_effects"/>
      <w:r>
        <w:t xml:space="preserve">S7.6.</w:t>
      </w:r>
      <w:bookmarkEnd w:id="322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4" w:name="ref_sec_supp_lsgo_detail"/>
      <w:r>
        <w:t xml:space="preserve">S7.7.</w:t>
      </w:r>
      <w:bookmarkEnd w:id="32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7" w:name="ref_sec_supp_cec2020"/>
      <w:r>
        <w:t xml:space="preserve">S8.</w:t>
      </w:r>
      <w:bookmarkEnd w:id="327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8" w:name="ref_sec_supp_cec2020_standing"/>
      <w:r>
        <w:t xml:space="preserve">S8.1.</w:t>
      </w:r>
      <w:bookmarkEnd w:id="328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0" w:name="ref_sec_supp_cec2020_omnibus"/>
      <w:r>
        <w:t xml:space="preserve">S8.2.</w:t>
      </w:r>
      <w:bookmarkEnd w:id="330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2" w:name="ref_sec_supp_cec2020_pairwise"/>
      <w:r>
        <w:t xml:space="preserve">S8.3.</w:t>
      </w:r>
      <w:bookmarkEnd w:id="332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5" w:name="ref_sec_supp_cec2020_effects"/>
      <w:r>
        <w:t xml:space="preserve">S8.4.</w:t>
      </w:r>
      <w:bookmarkEnd w:id="335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7" w:name="ref_sec_supp_cec2020_robustness"/>
      <w:r>
        <w:t xml:space="preserve">S8.5.</w:t>
      </w:r>
      <w:bookmarkEnd w:id="337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9" w:name="ref_sec_supp_cec2020_detail"/>
      <w:r>
        <w:t xml:space="preserve">S8.6.</w:t>
      </w:r>
      <w:bookmarkEnd w:id="33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0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3" w:name="lbl_sec_supp_revision"/>
    <w:p>
      <w:pPr>
        <w:pStyle w:val="Heading1"/>
      </w:pPr>
      <w:bookmarkStart w:id="344" w:name="ref_sec_supp_revision"/>
      <w:r>
        <w:t xml:space="preserve">S9.</w:t>
      </w:r>
      <w:bookmarkEnd w:id="344"/>
      <w:r>
        <w:tab/>
      </w:r>
      <w:r>
        <w:t xml:space="preserve"> Round-One Revision Experiments</w:t>
      </w:r>
    </w:p>
    <w:p>
      <w:pPr>
        <w:pStyle w:val="FirstParagraph"/>
      </w:pPr>
      <w:r>
        <w:t xml:space="preserve">The four experiments in this section were requested by the round-one</w:t>
      </w:r>
      <w:r>
        <w:t xml:space="preserve"> </w:t>
      </w:r>
      <w:r>
        <w:t xml:space="preserve">reviewers to isolate mechanisms that the submitted manuscript had introduced</w:t>
      </w:r>
      <w:r>
        <w:t xml:space="preserve"> </w:t>
      </w:r>
      <w:r>
        <w:t xml:space="preserve">together. 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two subsequent deviations discovered</w:t>
      </w:r>
      <w:r>
        <w:t xml:space="preserve"> </w:t>
      </w:r>
      <w:r>
        <w:t xml:space="preserve">during 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under the review folder</w:t>
      </w:r>
      <w:r>
        <w:t xml:space="preserve"> </w:t>
      </w:r>
      <w:r>
        <w:t xml:space="preserve">of the repository 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5" w:name="ref_sec_supp_rev_basis"/>
      <w:r>
        <w:t xml:space="preserve">S9.1.</w:t>
      </w:r>
      <w:bookmarkEnd w:id="345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6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6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on the raw paired runs,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00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, reviewer point R2.3): eigenframe versus coordinate axes versus no refinement at fixed enablement."/>
        <w:tblDescription w:val="Refinement-basis contrast on CEC2017 (E1, reviewer point R2.3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appears without reaching significance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0.054</m:t>
        </m:r>
      </m:oMath>
      <w:r>
        <w:t xml:space="preserve">). The conclusion the paper draws is therefore</w:t>
      </w:r>
      <w:r>
        <w:t xml:space="preserve"> </w:t>
      </w:r>
      <w:r>
        <w:t xml:space="preserve">restricted to what was tested: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on this suite,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7" w:name="ref_sec_supp_rev_np"/>
      <w:r>
        <w:t xml:space="preserve">S9.2.</w:t>
      </w:r>
      <w:bookmarkEnd w:id="347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elite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8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8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, reviewer points R1.3/R2.2): the panel re-ranked with only the DT-GSK column substituted."/>
        <w:tblDescription w:val="DT-GSK at the comparators' population value (E2, reviewer points R1.3/R2.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population rule is not the source of the reported standing.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49" w:name="ref_sec_supp_rev_tiering"/>
      <w:r>
        <w:t xml:space="preserve">S9.3.</w:t>
      </w:r>
      <w:bookmarkEnd w:id="349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0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0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not, and that residual is not resolved</w:t>
      </w:r>
      <w:r>
        <w:t xml:space="preserve"> </w:t>
      </w:r>
      <w:r>
        <w:t xml:space="preserve">here.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, reviewer point R2.1) on CEC2017."/>
        <w:tblDescription w:val="Tiered configuration versus the two tier-constant transplants (E3, reviewer point R2.1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as</w:t>
      </w:r>
      <w:r>
        <w:t xml:space="preserve"> </w:t>
      </w:r>
      <w:r>
        <w:t xml:space="preserve">mis-specified rather than the tiering principle as unsound.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1" w:name="ref_sec_supp_rev_sensitivity"/>
      <w:r>
        <w:t xml:space="preserve">S9.4.</w:t>
      </w:r>
      <w:bookmarkEnd w:id="351"/>
      <w:r>
        <w:tab/>
      </w:r>
      <w:r>
        <w:t xml:space="preserve"> Parameter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2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2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substituted; W/T/L counts functions where the shipped configuration beats</w:t>
      </w:r>
      <w:r>
        <w:t xml:space="preserve"> </w:t>
      </w:r>
      <w:r>
        <w:t xml:space="preserve">the perturbed one; Ratio is the median across 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, reviewer point R2.7). Descriptive only: no test is performed and no p-value is reported."/>
        <w:tblDescription w:val="EXPLORATORY one-factor parameter sensitivity (E4, reviewer point R2.7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under the levels executed; that includes the one</w:t>
      </w:r>
      <w:r>
        <w:t xml:space="preserve"> </w:t>
      </w:r>
      <w:r>
        <w:t xml:space="preserve">constant the project’s own configuration record had previously flagged as</w:t>
      </w:r>
      <w:r>
        <w:t xml:space="preserve"> </w:t>
      </w:r>
      <w:r>
        <w:t xml:space="preserve">sensitive on a different suite.</w:t>
      </w:r>
    </w:p>
    <w:bookmarkEnd w:id="212"/>
    <w:bookmarkEnd w:id="213"/>
    <w:bookmarkStart w:id="225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4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5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7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8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9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0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1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2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5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0" Target="https://doi.org/10.1007/s00202-023-01803-9" TargetMode="External"/><Relationship Type="http://schemas.openxmlformats.org/officeDocument/2006/relationships/hyperlink" Id="rId217" Target="https://doi.org/10.1007/s13042-019-01053-x" TargetMode="External"/><Relationship Type="http://schemas.openxmlformats.org/officeDocument/2006/relationships/hyperlink" Id="rId222" Target="https://doi.org/10.1016/j.rico.2025.100542" TargetMode="External"/><Relationship Type="http://schemas.openxmlformats.org/officeDocument/2006/relationships/hyperlink" Id="rId215" Target="https://doi.org/10.1080/01621459.1937.10503522" TargetMode="External"/><Relationship Type="http://schemas.openxmlformats.org/officeDocument/2006/relationships/hyperlink" Id="rId219" Target="https://doi.org/10.1109/ACCESS.2021.3076091" TargetMode="External"/><Relationship Type="http://schemas.openxmlformats.org/officeDocument/2006/relationships/hyperlink" Id="rId224" Target="https://doi.org/10.1109/CEC.2013.6557901" TargetMode="External"/><Relationship Type="http://schemas.openxmlformats.org/officeDocument/2006/relationships/hyperlink" Id="rId223" Target="https://doi.org/10.1109/CEC.2018.8477755" TargetMode="External"/><Relationship Type="http://schemas.openxmlformats.org/officeDocument/2006/relationships/hyperlink" Id="rId218" Target="https://doi.org/10.1109/CEC48606.2020.9185901" TargetMode="External"/><Relationship Type="http://schemas.openxmlformats.org/officeDocument/2006/relationships/hyperlink" Id="rId216" Target="https://doi.org/10.1201/9780429246593" TargetMode="External"/><Relationship Type="http://schemas.openxmlformats.org/officeDocument/2006/relationships/hyperlink" Id="rId214" Target="https://doi.org/10.2307/3001968" TargetMode="External"/><Relationship Type="http://schemas.openxmlformats.org/officeDocument/2006/relationships/hyperlink" Id="rId221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007/s00202-023-01803-9" TargetMode="External" /><Relationship Type="http://schemas.openxmlformats.org/officeDocument/2006/relationships/hyperlink" Id="rId217" Target="https://doi.org/10.1007/s13042-019-01053-x" TargetMode="External" /><Relationship Type="http://schemas.openxmlformats.org/officeDocument/2006/relationships/hyperlink" Id="rId222" Target="https://doi.org/10.1016/j.rico.2025.100542" TargetMode="External" /><Relationship Type="http://schemas.openxmlformats.org/officeDocument/2006/relationships/hyperlink" Id="rId215" Target="https://doi.org/10.1080/01621459.1937.10503522" TargetMode="External" /><Relationship Type="http://schemas.openxmlformats.org/officeDocument/2006/relationships/hyperlink" Id="rId219" Target="https://doi.org/10.1109/ACCESS.2021.3076091" TargetMode="External" /><Relationship Type="http://schemas.openxmlformats.org/officeDocument/2006/relationships/hyperlink" Id="rId224" Target="https://doi.org/10.1109/CEC.2013.6557901" TargetMode="External" /><Relationship Type="http://schemas.openxmlformats.org/officeDocument/2006/relationships/hyperlink" Id="rId223" Target="https://doi.org/10.1109/CEC.2018.8477755" TargetMode="External" /><Relationship Type="http://schemas.openxmlformats.org/officeDocument/2006/relationships/hyperlink" Id="rId218" Target="https://doi.org/10.1109/CEC48606.2020.9185901" TargetMode="External" /><Relationship Type="http://schemas.openxmlformats.org/officeDocument/2006/relationships/hyperlink" Id="rId216" Target="https://doi.org/10.1201/9780429246593" TargetMode="External" /><Relationship Type="http://schemas.openxmlformats.org/officeDocument/2006/relationships/hyperlink" Id="rId214" Target="https://doi.org/10.2307/3001968" TargetMode="External" /><Relationship Type="http://schemas.openxmlformats.org/officeDocument/2006/relationships/hyperlink" Id="rId221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four round-one revision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three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