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 the</w:t>
      </w:r>
      <w:r>
        <w:t xml:space="preserve"> </w:t>
      </w:r>
      <w:r>
        <w:t xml:space="preserve">Holm-corrected tests separate it from eGSK only at CEC2017’s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(a 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 and 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 its</w:t>
      </w:r>
      <w:r>
        <w:t xml:space="preserve"> </w:t>
      </w:r>
      <w:r>
        <w:t xml:space="preserve">basis is outperformed by coordinate axes—controlled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and report the</w:t>
      </w:r>
      <w:r>
        <w:t xml:space="preserve"> </w:t>
      </w:r>
      <w:r>
        <w:t xml:space="preserve">second as a controlled negative 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eigenframe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eigenframe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eigenframe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eigenframe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Eigenframe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eigenframe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The tie band itself affects no significance</w:t>
      </w:r>
      <w:r>
        <w:t xml:space="preserve"> </w:t>
      </w:r>
      <w:r>
        <w:t xml:space="preserve">decision, but this cross-function scale heterogeneity is a 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single</w:t>
      </w:r>
      <w:r>
        <w:t xml:space="preserve"> </w:t>
      </w:r>
      <w:r>
        <w:t xml:space="preserve">Holm-significant unfavorable headline cell in this study, and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addendum’s signing commit</w:t>
      </w:r>
      <w:r>
        <w:t xml:space="preserve"> </w:t>
      </w:r>
      <w:r>
        <w:t xml:space="preserve">precedes the first CEC2020 result;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that dimension,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v2.25,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Table A45 residual is carried by a further 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the Holm-corrected tests separate it from eGSK only at CEC2017’s D = 10; it is second behind eGSK at D = 30 and on CEC2011 (a 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 and CEC2013 corroborative; CEC2020 pre-registered confirmatory; CEC2013LSGO post-hoc. Direct isolations find no standalone benefit from that memory; its basis is outperformed by coordinate axes—controlled negative results. All findings are scoped to the GSK-family panel.</vt:lpwstr>
  </property>
  <property fmtid="{D5CDD505-2E9C-101B-9397-08002B2CF9AE}" pid="3" name="date">
    <vt:lpwstr/>
  </property>
</Properties>
</file>