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 the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(a 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 and 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 its</w:t>
      </w:r>
      <w:r>
        <w:t xml:space="preserve"> </w:t>
      </w:r>
      <w:r>
        <w:t xml:space="preserve">basis is outperformed by coordinate axes—controlled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v2.27,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four of the mechanism-isolation experiments (E1–E4)</w:t>
      </w:r>
      <w:r>
        <w:t xml:space="preserve"> </w:t>
      </w:r>
      <w:r>
        <w:t xml:space="preserve">are carried by a fourth additive, non-superseding release,</w:t>
      </w:r>
      <w:r>
        <w:t xml:space="preserve"> </w:t>
      </w:r>
      <w:r>
        <w:t xml:space="preserve">rev-rel-2026-08-26-dd42d37eb, which</w:t>
      </w:r>
      <w:r>
        <w:t xml:space="preserve"> </w:t>
      </w:r>
      <w:r>
        <w:t xml:space="preserve">leaves every primary value unchanged; the dimension-boundary experiment (E5)</w:t>
      </w:r>
      <w:r>
        <w:t xml:space="preserve"> </w:t>
      </w:r>
      <w:r>
        <w:t xml:space="preserve">is carried by a fifth additive release,</w:t>
      </w:r>
      <w:r>
        <w:t xml:space="preserve"> </w:t>
      </w:r>
      <w:r>
        <w:t xml:space="preserve">rev2-rel-2026-08-28-203c78744, on the same terms; the identity re-execution</w:t>
      </w:r>
      <w:r>
        <w:t xml:space="preserve"> </w:t>
      </w:r>
      <w:r>
        <w:t xml:space="preserve">behind the Supplementary Materials Table A45 residual is carried by a further</w:t>
      </w:r>
      <w:r>
        <w:t xml:space="preserve"> </w:t>
      </w:r>
      <w:r>
        <w:t xml:space="preserve">additive release,</w:t>
      </w:r>
      <w:r>
        <w:t xml:space="preserve"> </w:t>
      </w:r>
      <w:r>
        <w:t xml:space="preserve">g1-rel-2026-08-28-65b3d39e6;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the Holm-corrected tests separate it from eGSK on either suite only at D = 10; it is second behind eGSK at CEC2017 D = 30 and on CEC2011 (a 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 and CEC2013 corroborative; CEC2020 pre-registered confirmatory; CEC2013LSGO post-hoc. Direct isolations find no standalone benefit from that memory; its basis is outperformed by coordinate axes—controlled negative results. All findings are scoped to the GSK-family panel.</vt:lpwstr>
  </property>
  <property fmtid="{D5CDD505-2E9C-101B-9397-08002B2CF9AE}" pid="3" name="date">
    <vt:lpwstr/>
  </property>
</Properties>
</file>