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only at CEC2017’s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and report the</w:t>
      </w:r>
      <w:r>
        <w:t xml:space="preserve"> </w:t>
      </w:r>
      <w:r>
        <w:t xml:space="preserve">second as a controlled negative 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The direct basis isolation added in revision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eigenframe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That replication was</w:t>
      </w:r>
      <w:r>
        <w:t xml:space="preserve"> </w:t>
      </w:r>
      <w:r>
        <w:t xml:space="preserve">carried out in revision: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eigenframe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eigenframe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eigenframe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at submission. A controlled tiered-versus-tier-constant contrast</w:t>
      </w:r>
      <w:r>
        <w:t xml:space="preserve"> </w:t>
      </w:r>
      <w:r>
        <w:t xml:space="preserve">was added in revision (Supplementary Materials, Section S9.3): it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revision’s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revision’s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eigenframe final polish is a one-shot deterministic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added in revision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mean-rank</w:t>
      </w:r>
      <w:r>
        <w:t xml:space="preserve"> </w:t>
      </w:r>
      <w:r>
        <w:t xml:space="preserve">plots with CD span (one panel per dimension),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Nemenyi mean-rank plots with critical-difference (CD) span for the CEC2017 GSK-family Friedman mean ranks (lower is better), one panel per dimension (; , , ,  rank units, ); emitted only because the Friedman omnibus is significant at every dimension. The within-one-CD-of-best cohort (the algorithms not separated from the best by more than one CD) is {DT-GSK, AGSK, FDB-AGSK, APGSK, eGSK} at ; {eGSK, DT-GSK} at  (best rank eGSK); {DT-GSK, eGSK} at ; and {DT-GSK, eGSK, ATMALS-GSK} at . Rank-robustne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Nemenyi mean-rank plots with critical-difference (CD) span for the</w:t>
      </w:r>
      <w:r>
        <w:t xml:space="preserve"> </w:t>
      </w:r>
      <w:r>
        <w:t xml:space="preserve">CEC2017 GSK-family Friedman mean ranks (lower is better), one panel per</w:t>
      </w:r>
      <w:r>
        <w:t xml:space="preserve"> </w:t>
      </w:r>
      <w:r>
        <w:t xml:space="preserve">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units,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); emitted only because the</w:t>
      </w:r>
      <w:r>
        <w:t xml:space="preserve"> </w:t>
      </w:r>
      <w:r>
        <w:t xml:space="preserve">Friedman omnibus is significant at every dimension. The within-one-CD-of-best</w:t>
      </w:r>
      <w:r>
        <w:t xml:space="preserve"> </w:t>
      </w:r>
      <w:r>
        <w:t xml:space="preserve">cohort (the algorithms not separated from the best by more than one CD) is</w:t>
      </w:r>
      <w:r>
        <w:t xml:space="preserve"> </w:t>
      </w:r>
      <w:r>
        <w:t xml:space="preserve">{DT-GSK, AGSK, FDB-AGSK, APGSK, eGSK}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</w:t>
      </w:r>
      <w:r>
        <w:t xml:space="preserve"> </w:t>
      </w:r>
      <w:r>
        <w:t xml:space="preserve">{eGSK, DT-GSK}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(best rank eGSK); {DT-GSK, eGSK}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and {DT-GSK, eGSK, ATMALS-GSK}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Rank-robustness</w:t>
      </w:r>
      <w:r>
        <w:t xml:space="preserve"> </w:t>
      </w:r>
      <w:r>
        <w:t xml:space="preserve">and APGSK-gap qualifications as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for the four functions selected by a fixed, prespecified rule and frozen before rendering: F3 (unimodal; easy/strong), F10 (simple multimodal; hard/comparable), F12 (hybrid; hard/comparable), F26 (composition; hard/weak — the mandated unfavorable case). Each panel overlays all 7 panel algorithms; every curve is the per-checkpoint mean error across 51 runs (identical basis; no smoothing); log-error -axis with a display-only floor of  for exact zeros (never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four functions selected by a fixed, prespecified rule and frozen before rendering:</w:t>
      </w:r>
      <w:r>
        <w:t xml:space="preserve"> </w:t>
      </w:r>
      <w:r>
        <w:t xml:space="preserve">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 — the mandated unfavorable case). Each panel overlays all</w:t>
      </w:r>
      <w:r>
        <w:t xml:space="preserve"> </w:t>
      </w:r>
      <w:r>
        <w:t xml:space="preserve">7 panel algorithms; every curve is the per-checkpoint mean error</w:t>
      </w:r>
      <w:r>
        <w:t xml:space="preserve"> </w:t>
      </w:r>
      <w:r>
        <w:t xml:space="preserve">across 51 runs (identical basis; no smoothing); log-error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w:r>
        <w:t xml:space="preserve">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 (never enters</w:t>
      </w:r>
      <w:r>
        <w:t xml:space="preserve"> </w:t>
      </w:r>
      <w:r>
        <w:t xml:space="preserve">any statistic); one shared legend.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known-weak</w:t>
      </w:r>
      <w:r>
        <w:t xml:space="preserve"> </w:t>
      </w:r>
      <w:r>
        <w:t xml:space="preserve">tier: rank #2 behind eGSK.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 (tier where the structure-memory and polish subsystems are active) for the four prespecified functions: F1 (unimodal; easy/strong), F5 (simple multimodal; easy/strong), F12 (hybrid; hard/comparable), F26 (composition; hard/comparable). Per-checkpoint mean error across 51 runs per algorithm, 7-curve overlay, log-error -axis (display floor ), one shared legend. 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(tier</w:t>
      </w:r>
      <w:r>
        <w:t xml:space="preserve"> </w:t>
      </w:r>
      <w:r>
        <w:t xml:space="preserve">where the structure-memory and polish subsystems are active) for the</w:t>
      </w:r>
      <w:r>
        <w:t xml:space="preserve"> </w:t>
      </w:r>
      <w:r>
        <w:t xml:space="preserve">four prespecified functions: F1 (unimodal; easy/strong), F5 (simple</w:t>
      </w:r>
      <w:r>
        <w:t xml:space="preserve"> </w:t>
      </w:r>
      <w:r>
        <w:t xml:space="preserve">multimodal; easy/strong), F12 (hybrid; hard/comparable), F26</w:t>
      </w:r>
      <w:r>
        <w:t xml:space="preserve"> </w:t>
      </w:r>
      <w:r>
        <w:t xml:space="preserve">(composition; hard/comparable). Per-checkpoint mean error across 51</w:t>
      </w:r>
      <w:r>
        <w:t xml:space="preserve"> </w:t>
      </w:r>
      <w:r>
        <w:t xml:space="preserve">runs per algorithm, 7-curve overlay, log-error</w:t>
      </w:r>
      <w:r>
        <w:t xml:space="preserve"> </w:t>
      </w:r>
      <m:oMath>
        <m:r>
          <m:t>y</m:t>
        </m:r>
      </m:oMath>
      <w:r>
        <w:t xml:space="preserve">-axis (display</w:t>
      </w:r>
      <w:r>
        <w:t xml:space="preserve"> </w:t>
      </w:r>
      <w:r>
        <w:t xml:space="preserve">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</w:t>
      </w:r>
      <w:r>
        <w:t xml:space="preserve"> 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The asymmetry was not a controlled variable</w:t>
      </w:r>
      <w:r>
        <w:t xml:space="preserve"> </w:t>
      </w:r>
      <w:r>
        <w:t xml:space="preserve">at submission; it was controlled in revision (Supplementary Materials,</w:t>
      </w:r>
      <w:r>
        <w:t xml:space="preserve"> </w:t>
      </w:r>
      <w:r>
        <w:t xml:space="preserve">Section S9.2), and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 added in</w:t>
      </w:r>
      <w:r>
        <w:t xml:space="preserve"> </w:t>
      </w:r>
      <w:r>
        <w:t xml:space="preserve">revision 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The</w:t>
      </w:r>
      <w:r>
        <w:t xml:space="preserve"> </w:t>
      </w:r>
      <w:r>
        <w:t xml:space="preserve">boundary study registered ahead of resubmission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The configuration-transplant experiment added in revision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the</w:t>
      </w:r>
      <w:r>
        <w:t xml:space="preserve"> </w:t>
      </w:r>
      <w:r>
        <w:t xml:space="preserve">revision’s three-arm isolation, which 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The basis isolation added in revision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four round-one revision experiments — the refinement-basis isolation, the matched-population-size control, the tiered-versus-tier-constant transplant, and the exploratory parameter-sensitivity screen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v2.22,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the four round-one revision experiments are carried by a</w:t>
      </w:r>
      <w:r>
        <w:t xml:space="preserve"> </w:t>
      </w:r>
      <w:r>
        <w:t xml:space="preserve">fourth additive, non-superseding release, rev-rel-2026-08-26-dd42d37eb, which</w:t>
      </w:r>
      <w:r>
        <w:t xml:space="preserve"> </w:t>
      </w:r>
      <w:r>
        <w:t xml:space="preserve">leaves every primary value unchanged; the boundary-sensitivity experiment</w:t>
      </w:r>
      <w:r>
        <w:t xml:space="preserve"> </w:t>
      </w:r>
      <w:r>
        <w:t xml:space="preserve">added ahead of resubmission is carried by a fifth additive release,</w:t>
      </w:r>
      <w:r>
        <w:t xml:space="preserve"> </w:t>
      </w:r>
      <w:r>
        <w:t xml:space="preserve">rev2-rel-2026-08-28-203c78744, on the same terms;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only at CEC2017’s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