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four round-one revision</w:t>
      </w:r>
      <w:r>
        <w:t xml:space="preserve"> </w:t>
      </w:r>
      <w:r>
        <w:t xml:space="preserve">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7" w:name="ref_sec_supp_cec2017_tables"/>
      <w:r>
        <w:t xml:space="preserve">S1.</w:t>
      </w:r>
      <w:bookmarkEnd w:id="227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3" w:name="ref_sec_supp_pairwise"/>
      <w:r>
        <w:t xml:space="preserve">S2.</w:t>
      </w:r>
      <w:bookmarkEnd w:id="233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4" w:name="ref_sec_supp_h2h"/>
      <w:r>
        <w:t xml:space="preserve">S2.1.</w:t>
      </w:r>
      <w:bookmarkEnd w:id="234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9" w:name="ref_sec_supp_cec2011"/>
      <w:r>
        <w:t xml:space="preserve">S2.2.</w:t>
      </w:r>
      <w:bookmarkEnd w:id="239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2" w:name="ref_sec_supp_cec2013"/>
      <w:r>
        <w:t xml:space="preserve">S2.3.</w:t>
      </w:r>
      <w:bookmarkEnd w:id="242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7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8" w:name="ref_sec_supp_bca"/>
      <w:r>
        <w:t xml:space="preserve">S2.4.</w:t>
      </w:r>
      <w:bookmarkEnd w:id="248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9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9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50" w:name="ref_sec_supp_posthoc"/>
      <w:r>
        <w:t xml:space="preserve">S2.5.</w:t>
      </w:r>
      <w:bookmarkEnd w:id="250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1" w:name="ref_sec_supp_rankviews"/>
      <w:r>
        <w:t xml:space="preserve">S2.6.</w:t>
      </w:r>
      <w:bookmarkEnd w:id="251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4" w:name="ref_sec_supp_convergence"/>
      <w:r>
        <w:t xml:space="preserve">S3.</w:t>
      </w:r>
      <w:bookmarkEnd w:id="254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5" w:name="ref_sec_supp_conv2017"/>
      <w:r>
        <w:t xml:space="preserve">S3.1.</w:t>
      </w:r>
      <w:bookmarkEnd w:id="255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2" w:name="ref_sec_supp_conv2011"/>
      <w:r>
        <w:t xml:space="preserve">S3.2.</w:t>
      </w:r>
      <w:bookmarkEnd w:id="272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5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5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6" w:name="ref_sec_supp_conv2013"/>
      <w:r>
        <w:t xml:space="preserve">S3.3.</w:t>
      </w:r>
      <w:bookmarkEnd w:id="276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0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1" w:name="ref_sec_supp_diagnostics"/>
      <w:r>
        <w:t xml:space="preserve">S4.</w:t>
      </w:r>
      <w:bookmarkEnd w:id="281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2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3" w:name="ref_sec_repro"/>
      <w:r>
        <w:t xml:space="preserve">S5.</w:t>
      </w:r>
      <w:bookmarkEnd w:id="283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4" w:name="ref_sec_repro_seeds"/>
      <w:r>
        <w:t xml:space="preserve">S5.1.</w:t>
      </w:r>
      <w:bookmarkEnd w:id="284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5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5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6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6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7" w:name="ref_sec_repro_freeze"/>
      <w:r>
        <w:t xml:space="preserve">S5.2.</w:t>
      </w:r>
      <w:bookmarkEnd w:id="287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8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8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residual, which that table’s caption</w:t>
      </w:r>
      <w:r>
        <w:t xml:space="preserve"> </w:t>
      </w:r>
      <w:r>
        <w:t xml:space="preserve">reports as unresolved.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9" w:name="ref_sec_repro_tuning"/>
      <w:r>
        <w:t xml:space="preserve">S5.3.</w:t>
      </w:r>
      <w:bookmarkEnd w:id="289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90" w:name="ref_sec_repro_limitations"/>
      <w:r>
        <w:t xml:space="preserve">S5.4.</w:t>
      </w:r>
      <w:bookmarkEnd w:id="290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51, and it leaves the dimension-tier boundaries</w:t>
      </w:r>
      <w:r>
        <w:t xml:space="preserve"> </w:t>
      </w:r>
      <w:r>
        <w:t xml:space="preserve">themselves unvaried, so their sensitivity is untested.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1" w:name="ref_sec_repro_tieband"/>
      <w:r>
        <w:t xml:space="preserve">S5.5.</w:t>
      </w:r>
      <w:bookmarkEnd w:id="291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2" w:name="ref_sec_repro_aliases"/>
      <w:r>
        <w:t xml:space="preserve">S5.6.</w:t>
      </w:r>
      <w:bookmarkEnd w:id="292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3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4" w:name="ref_sec_repro_acronyms"/>
      <w:r>
        <w:t xml:space="preserve">S5.7.</w:t>
      </w:r>
      <w:bookmarkEnd w:id="294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5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5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6" w:name="ref_sec_repro_params_detail"/>
      <w:r>
        <w:t xml:space="preserve">S5.8.</w:t>
      </w:r>
      <w:bookmarkEnd w:id="296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7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7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8" w:name="ref_sec_repro_opspec"/>
      <w:r>
        <w:t xml:space="preserve">S5.9.</w:t>
      </w:r>
      <w:bookmarkEnd w:id="298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9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9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300" w:name="ref_sec_repro_release"/>
      <w:r>
        <w:t xml:space="preserve">S5.10.</w:t>
      </w:r>
      <w:bookmarkEnd w:id="300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article,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whose compound provenance that section</w:t>
      </w:r>
      <w:r>
        <w:t xml:space="preserve"> </w:t>
      </w:r>
      <w:r>
        <w:t xml:space="preserve">states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1" w:name="ref_sec_supp_ablation"/>
      <w:r>
        <w:t xml:space="preserve">S6.</w:t>
      </w:r>
      <w:bookmarkEnd w:id="301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2" w:name="ref_sec_supp_ablation_design"/>
      <w:r>
        <w:t xml:space="preserve">S6.1.</w:t>
      </w:r>
      <w:bookmarkEnd w:id="302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3" w:name="ref_sec_supp_ablation_stats"/>
      <w:r>
        <w:t xml:space="preserve">S6.2.</w:t>
      </w:r>
      <w:bookmarkEnd w:id="303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5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7" w:name="ref_sec_supp_ablation_findings"/>
      <w:r>
        <w:t xml:space="preserve">S6.3.</w:t>
      </w:r>
      <w:bookmarkEnd w:id="307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8" w:name="ref_sec_supp_ablation_limits"/>
      <w:r>
        <w:t xml:space="preserve">S6.4.</w:t>
      </w:r>
      <w:bookmarkEnd w:id="308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9" w:name="ref_sec_supp_ablation_sgsm"/>
      <w:r>
        <w:t xml:space="preserve">S6.5.</w:t>
      </w:r>
      <w:bookmarkEnd w:id="309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1" w:name="ref_sec_supp_ablation_subset"/>
      <w:r>
        <w:t xml:space="preserve">S6.6.</w:t>
      </w:r>
      <w:bookmarkEnd w:id="311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3" w:name="ref_sec_supp_ablation_caveats"/>
      <w:r>
        <w:t xml:space="preserve">S6.7.</w:t>
      </w:r>
      <w:bookmarkEnd w:id="313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4" w:name="ref_sec_supp_cec2013lsgo"/>
      <w:r>
        <w:t xml:space="preserve">S7.</w:t>
      </w:r>
      <w:bookmarkEnd w:id="314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5" w:name="ref_sec_supp_lsgo_protocol"/>
      <w:r>
        <w:t xml:space="preserve">S7.1.</w:t>
      </w:r>
      <w:bookmarkEnd w:id="315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6" w:name="ref_sec_supp_lsgo_config"/>
      <w:r>
        <w:t xml:space="preserve">S7.2.</w:t>
      </w:r>
      <w:bookmarkEnd w:id="316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7" w:name="ref_sec_supp_lsgo_ranks"/>
      <w:r>
        <w:t xml:space="preserve">S7.3.</w:t>
      </w:r>
      <w:bookmarkEnd w:id="317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9" w:name="ref_sec_supp_lsgo_pairwise"/>
      <w:r>
        <w:t xml:space="preserve">S7.4.</w:t>
      </w:r>
      <w:bookmarkEnd w:id="319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1" w:name="ref_sec_supp_lsgo_runlevel"/>
      <w:r>
        <w:t xml:space="preserve">S7.5.</w:t>
      </w:r>
      <w:bookmarkEnd w:id="321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3" w:name="ref_sec_supp_lsgo_effects"/>
      <w:r>
        <w:t xml:space="preserve">S7.6.</w:t>
      </w:r>
      <w:bookmarkEnd w:id="323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5" w:name="ref_sec_supp_lsgo_detail"/>
      <w:r>
        <w:t xml:space="preserve">S7.7.</w:t>
      </w:r>
      <w:bookmarkEnd w:id="325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8" w:name="ref_sec_supp_cec2020"/>
      <w:r>
        <w:t xml:space="preserve">S8.</w:t>
      </w:r>
      <w:bookmarkEnd w:id="328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9" w:name="ref_sec_supp_cec2020_standing"/>
      <w:r>
        <w:t xml:space="preserve">S8.1.</w:t>
      </w:r>
      <w:bookmarkEnd w:id="329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1" w:name="ref_sec_supp_cec2020_omnibus"/>
      <w:r>
        <w:t xml:space="preserve">S8.2.</w:t>
      </w:r>
      <w:bookmarkEnd w:id="331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3" w:name="ref_sec_supp_cec2020_pairwise"/>
      <w:r>
        <w:t xml:space="preserve">S8.3.</w:t>
      </w:r>
      <w:bookmarkEnd w:id="333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6" w:name="ref_sec_supp_cec2020_effects"/>
      <w:r>
        <w:t xml:space="preserve">S8.4.</w:t>
      </w:r>
      <w:bookmarkEnd w:id="336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8" w:name="ref_sec_supp_cec2020_robustness"/>
      <w:r>
        <w:t xml:space="preserve">S8.5.</w:t>
      </w:r>
      <w:bookmarkEnd w:id="338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40" w:name="ref_sec_supp_cec2020_detail"/>
      <w:r>
        <w:t xml:space="preserve">S8.6.</w:t>
      </w:r>
      <w:bookmarkEnd w:id="340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4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4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45" w:name="ref_sec_supp_revision"/>
      <w:r>
        <w:t xml:space="preserve">S9.</w:t>
      </w:r>
      <w:bookmarkEnd w:id="345"/>
      <w:r>
        <w:tab/>
      </w:r>
      <w:r>
        <w:t xml:space="preserve"> Round-One Revision Experiments</w:t>
      </w:r>
    </w:p>
    <w:p>
      <w:pPr>
        <w:pStyle w:val="FirstParagraph"/>
      </w:pPr>
      <w:r>
        <w:t xml:space="preserve">Four of the five experiments in this section were requested by the</w:t>
      </w:r>
      <w:r>
        <w:t xml:space="preserve"> </w:t>
      </w:r>
      <w:r>
        <w:t xml:space="preserve">round-one reviewers to isolate mechanisms that the submitted manuscript had</w:t>
      </w:r>
      <w:r>
        <w:t xml:space="preserve"> </w:t>
      </w:r>
      <w:r>
        <w:t xml:space="preserve">introduced together; the fifth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 answers</w:t>
      </w:r>
      <w:r>
        <w:t xml:space="preserve"> </w:t>
      </w:r>
      <w:r>
        <w:t xml:space="preserve">the boundary half of the same sensitivity request and was added ahead of</w:t>
      </w:r>
      <w:r>
        <w:t xml:space="preserve"> </w:t>
      </w:r>
      <w:r>
        <w:t xml:space="preserve">resubmission. 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under the review folder</w:t>
      </w:r>
      <w:r>
        <w:t xml:space="preserve"> </w:t>
      </w:r>
      <w:r>
        <w:t xml:space="preserve">of the repository 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added in round one come from the separate,</w:t>
      </w:r>
      <w:r>
        <w:t xml:space="preserve"> </w:t>
      </w:r>
      <w:r>
        <w:t xml:space="preserve">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6" w:name="ref_sec_supp_rev_basis"/>
      <w:r>
        <w:t xml:space="preserve">S9.1.</w:t>
      </w:r>
      <w:bookmarkEnd w:id="346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7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7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 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, reviewer point R2.3): eigenframe versus coordinate axes versus no refinement at fixed enablement."/>
        <w:tblDescription w:val="Refinement-basis contrast on CEC2017 (E1, reviewer point R2.3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8" w:name="ref_sec_supp_rev_np"/>
      <w:r>
        <w:t xml:space="preserve">S9.2.</w:t>
      </w:r>
      <w:bookmarkEnd w:id="348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submitted manuscript disclosed but did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9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9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, reviewer points R1.3/R2.2): the panel re-ranked with only the DT-GSK column substituted."/>
        <w:tblDescription w:val="DT-GSK at the comparators' population value (E2, reviewer points R1.3/R2.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50" w:name="ref_sec_supp_rev_tiering"/>
      <w:r>
        <w:t xml:space="preserve">S9.3.</w:t>
      </w:r>
      <w:bookmarkEnd w:id="350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submitted evidence never compared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1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1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not, and that residual is not resolved</w:t>
      </w:r>
      <w:r>
        <w:t xml:space="preserve"> </w:t>
      </w:r>
      <w:r>
        <w:t xml:space="preserve">here.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, reviewer point R2.1) on CEC2017."/>
        <w:tblDescription w:val="Tiered configuration versus the two tier-constant transplants (E3, reviewer point R2.1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as</w:t>
      </w:r>
      <w:r>
        <w:t xml:space="preserve"> </w:t>
      </w:r>
      <w:r>
        <w:t xml:space="preserve">mis-specified rather than the tiering principle as unsound. This localizes a</w:t>
      </w:r>
      <w:r>
        <w:t xml:space="preserve"> </w:t>
      </w:r>
      <w:r>
        <w:t xml:space="preserve">weakness the submitted manuscript already disclosed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2" w:name="ref_sec_supp_rev_sensitivity"/>
      <w:r>
        <w:t xml:space="preserve">S9.4.</w:t>
      </w:r>
      <w:bookmarkEnd w:id="352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3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3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, reviewer point R2.7). Descriptive only: no test is performed and no p-value is reported."/>
        <w:tblDescription w:val="EXPLORATORY one-factor parameter sensitivity (E4, reviewer point R2.7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54" w:name="ref_sec_supp_rev_boundary"/>
      <w:r>
        <w:t xml:space="preserve">S9.5.</w:t>
      </w:r>
      <w:bookmarkEnd w:id="354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Added ahead of resubmission and registered before execution (pre-registration</w:t>
      </w:r>
      <w:r>
        <w:t xml:space="preserve"> </w:t>
      </w:r>
      <w:r>
        <w:t xml:space="preserve">Amendment A4): the study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</w:t>
      </w:r>
      <w:r>
        <w:t xml:space="preserve"> </w:t>
      </w:r>
      <w:r>
        <w:t xml:space="preserve">constants within tiers, and the reviewer request it answers also names the</w:t>
      </w:r>
      <w:r>
        <w:t xml:space="preserve"> </w:t>
      </w:r>
      <w:r>
        <w:t xml:space="preserve">tier boundaries themselves. Each cell here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5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55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paired 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reviewer point R2.7, threshold half): each cell shifts one tier boundary far enough to change the profile assigned to the nearest official CEC2017 dimension."/>
        <w:tblDescription w:val="Dimension-boundary sensitivity (E5, reviewer point R2.7, threshold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bookmarkStart w:id="22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5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6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8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9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20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1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2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3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4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5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1" Target="https://doi.org/10.1007/s00202-023-01803-9" TargetMode="External"/><Relationship Type="http://schemas.openxmlformats.org/officeDocument/2006/relationships/hyperlink" Id="rId218" Target="https://doi.org/10.1007/s13042-019-01053-x" TargetMode="External"/><Relationship Type="http://schemas.openxmlformats.org/officeDocument/2006/relationships/hyperlink" Id="rId223" Target="https://doi.org/10.1016/j.rico.2025.100542" TargetMode="External"/><Relationship Type="http://schemas.openxmlformats.org/officeDocument/2006/relationships/hyperlink" Id="rId216" Target="https://doi.org/10.1080/01621459.1937.10503522" TargetMode="External"/><Relationship Type="http://schemas.openxmlformats.org/officeDocument/2006/relationships/hyperlink" Id="rId220" Target="https://doi.org/10.1109/ACCESS.2021.3076091" TargetMode="External"/><Relationship Type="http://schemas.openxmlformats.org/officeDocument/2006/relationships/hyperlink" Id="rId225" Target="https://doi.org/10.1109/CEC.2013.6557901" TargetMode="External"/><Relationship Type="http://schemas.openxmlformats.org/officeDocument/2006/relationships/hyperlink" Id="rId224" Target="https://doi.org/10.1109/CEC.2018.8477755" TargetMode="External"/><Relationship Type="http://schemas.openxmlformats.org/officeDocument/2006/relationships/hyperlink" Id="rId219" Target="https://doi.org/10.1109/CEC48606.2020.9185901" TargetMode="External"/><Relationship Type="http://schemas.openxmlformats.org/officeDocument/2006/relationships/hyperlink" Id="rId217" Target="https://doi.org/10.1201/9780429246593" TargetMode="External"/><Relationship Type="http://schemas.openxmlformats.org/officeDocument/2006/relationships/hyperlink" Id="rId215" Target="https://doi.org/10.2307/3001968" TargetMode="External"/><Relationship Type="http://schemas.openxmlformats.org/officeDocument/2006/relationships/hyperlink" Id="rId222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https://doi.org/10.1007/s00202-023-01803-9" TargetMode="External" /><Relationship Type="http://schemas.openxmlformats.org/officeDocument/2006/relationships/hyperlink" Id="rId218" Target="https://doi.org/10.1007/s13042-019-01053-x" TargetMode="External" /><Relationship Type="http://schemas.openxmlformats.org/officeDocument/2006/relationships/hyperlink" Id="rId223" Target="https://doi.org/10.1016/j.rico.2025.100542" TargetMode="External" /><Relationship Type="http://schemas.openxmlformats.org/officeDocument/2006/relationships/hyperlink" Id="rId216" Target="https://doi.org/10.1080/01621459.1937.10503522" TargetMode="External" /><Relationship Type="http://schemas.openxmlformats.org/officeDocument/2006/relationships/hyperlink" Id="rId220" Target="https://doi.org/10.1109/ACCESS.2021.3076091" TargetMode="External" /><Relationship Type="http://schemas.openxmlformats.org/officeDocument/2006/relationships/hyperlink" Id="rId225" Target="https://doi.org/10.1109/CEC.2013.6557901" TargetMode="External" /><Relationship Type="http://schemas.openxmlformats.org/officeDocument/2006/relationships/hyperlink" Id="rId224" Target="https://doi.org/10.1109/CEC.2018.8477755" TargetMode="External" /><Relationship Type="http://schemas.openxmlformats.org/officeDocument/2006/relationships/hyperlink" Id="rId219" Target="https://doi.org/10.1109/CEC48606.2020.9185901" TargetMode="External" /><Relationship Type="http://schemas.openxmlformats.org/officeDocument/2006/relationships/hyperlink" Id="rId217" Target="https://doi.org/10.1201/9780429246593" TargetMode="External" /><Relationship Type="http://schemas.openxmlformats.org/officeDocument/2006/relationships/hyperlink" Id="rId215" Target="https://doi.org/10.2307/3001968" TargetMode="External" /><Relationship Type="http://schemas.openxmlformats.org/officeDocument/2006/relationships/hyperlink" Id="rId222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four round-one revision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