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Control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at one operating point. Dimension-Tiered</w:t>
      </w:r>
      <w:r>
        <w:t xml:space="preserve"> </w:t>
      </w:r>
      <w:r>
        <w:t xml:space="preserve">Gaining-Sharing Knowledge (DT-GSK) instead resolves control by</w:t>
      </w:r>
      <w:r>
        <w:t xml:space="preserve"> </w:t>
      </w:r>
      <w:r>
        <w:t xml:space="preserve">dimension: an adaptive scaffold serves every tier, a deterministic,</w:t>
      </w:r>
      <w:r>
        <w:t xml:space="preserve"> </w:t>
      </w:r>
      <w:r>
        <w:t xml:space="preserve">budget-exact eigenframe refinement runs once from</w:t>
      </w:r>
      <w:r>
        <w:t xml:space="preserve"> </w:t>
      </w:r>
      <m:oMath>
        <m:r>
          <m:t>D</m:t>
        </m:r>
        <m:r>
          <m:rPr>
            <m:sty m:val="p"/>
          </m:rPr>
          <m:t>=</m:t>
        </m:r>
        <m:r>
          <m:t>50</m:t>
        </m:r>
      </m:oMath>
      <w:r>
        <w:t xml:space="preserve"> </w:t>
      </w:r>
      <w:r>
        <w:t xml:space="preserve">upward, and the</w:t>
      </w:r>
      <w:r>
        <w:t xml:space="preserve"> </w:t>
      </w:r>
      <w:r>
        <w:t xml:space="preserve">GSK vector-update equations are retained; an exploratory</w:t>
      </w:r>
      <w:r>
        <w:t xml:space="preserve"> </w:t>
      </w:r>
      <w:r>
        <w:t xml:space="preserve">interaction-structure memory, learned from strictly improving accepted</w:t>
      </w:r>
      <w:r>
        <w:t xml:space="preserve"> </w:t>
      </w:r>
      <w:r>
        <w:t xml:space="preserve">moves at no extra evaluations, supplies the refinement basis.</w:t>
      </w:r>
      <w:r>
        <w:t xml:space="preserve"> </w:t>
      </w:r>
      <w:r>
        <w:t xml:space="preserve">Against six GSK-family baselines re-executed in-repository on CEC2017</w:t>
      </w:r>
      <w:r>
        <w:t xml:space="preserve"> </w:t>
      </w:r>
      <w:r>
        <w:t xml:space="preserve">(primary), CEC2011, CEC2013, CEC2020, and CEC2013LSGO under one</w:t>
      </w:r>
      <w:r>
        <w:t xml:space="preserve"> </w:t>
      </w:r>
      <w:r>
        <w:t xml:space="preserve">budget-fair paired protocol, DT-GSK attains the best descriptive</w:t>
      </w:r>
      <w:r>
        <w:t xml:space="preserve"> </w:t>
      </w:r>
      <w:r>
        <w:t xml:space="preserve">family-rank aggregate on CEC2017 (2.48) and CEC2013 (2.80); it is second</w:t>
      </w:r>
      <w:r>
        <w:t xml:space="preserve"> </w:t>
      </w:r>
      <w:r>
        <w:t xml:space="preserve">behind eGSK at CEC2017’s</w:t>
      </w:r>
      <w:r>
        <w:t xml:space="preserve"> </w:t>
      </w:r>
      <m:oMath>
        <m:r>
          <m:t>D</m:t>
        </m:r>
        <m:r>
          <m:rPr>
            <m:sty m:val="p"/>
          </m:rPr>
          <m:t>=</m:t>
        </m:r>
        <m:r>
          <m:t>30</m:t>
        </m:r>
      </m:oMath>
      <w:r>
        <w:t xml:space="preserve"> </w:t>
      </w:r>
      <w:r>
        <w:t xml:space="preserve">and on CEC2011; the CEC2011 loss is</w:t>
      </w:r>
      <w:r>
        <w:t xml:space="preserve"> </w:t>
      </w:r>
      <w:r>
        <w:t xml:space="preserve">Holm-significant.</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A direct isolation finds no detectable standalone benefit from that</w:t>
      </w:r>
      <w:r>
        <w:t xml:space="preserve"> </w:t>
      </w:r>
      <w:r>
        <w:t xml:space="preserve">memory—a controlled negative</w:t>
      </w:r>
      <w:r>
        <w:t xml:space="preserve"> </w:t>
      </w:r>
      <w:r>
        <w:t xml:space="preserve">result.</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control;</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interaction-structure memory;</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6" w:name="ref_sec_introduction"/>
      <w:r>
        <w:t xml:space="preserve">1.</w:t>
      </w:r>
      <w:bookmarkEnd w:id="146"/>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at one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 the deterministic refinement of</w:t>
      </w:r>
      <w:r>
        <w:t xml:space="preserve"> </w:t>
      </w:r>
      <w:r>
        <w:t xml:space="preserve">the title, realized as the eigenframe final polish (C1).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control-and-budget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an eigenframe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component isolation removes the</w:t>
      </w:r>
      <w:r>
        <w:t xml:space="preserve"> </w:t>
      </w:r>
      <w:r>
        <w:rPr>
          <w:i/>
          <w:iCs/>
        </w:rPr>
        <w:t xml:space="preserve">entire</w:t>
      </w:r>
      <w:r>
        <w:t xml:space="preserve"> </w:t>
      </w:r>
      <w:r>
        <w:t xml:space="preserve">compass endgame, so any effect it measures attaches to that</w:t>
      </w:r>
      <w:r>
        <w:t xml:space="preserve"> </w:t>
      </w:r>
      <w:r>
        <w:t xml:space="preserve">deterministic phase as a whole, not to the</w:t>
      </w:r>
      <w:r>
        <w:t xml:space="preserve"> </w:t>
      </w:r>
      <w:r>
        <w:rPr>
          <w:i/>
          <w:iCs/>
        </w:rPr>
        <w:t xml:space="preserve">learned</w:t>
      </w:r>
      <w:r>
        <w:t xml:space="preserve"> </w:t>
      </w:r>
      <w:r>
        <w:t xml:space="preserve">eigenbasis it consumes;</w:t>
      </w:r>
      <w:r>
        <w:t xml:space="preserve"> </w:t>
      </w:r>
      <w:r>
        <w:t xml:space="preserve">whether that eigenbasis outperforms</w:t>
      </w:r>
      <w:r>
        <w:t xml:space="preserve"> </w:t>
      </w:r>
      <w:r>
        <w:t xml:space="preserve">coordinate axes or a matched random orthonormal basis is not isolated by</w:t>
      </w:r>
      <w:r>
        <w:t xml:space="preserve"> </w:t>
      </w:r>
      <w:r>
        <w:t xml:space="preserve">that contrast and remains</w:t>
      </w:r>
      <w:r>
        <w:t xml:space="preserve"> </w:t>
      </w:r>
      <w:r>
        <w:t xml:space="preserve">open.</w:t>
      </w:r>
    </w:p>
    <w:p>
      <w:pPr>
        <w:numPr>
          <w:ilvl w:val="0"/>
          <w:numId w:val="1001"/>
        </w:numPr>
      </w:pPr>
      <w:r>
        <w:rPr>
          <w:b/>
          <w:bCs/>
        </w:rPr>
        <w:t xml:space="preserve">C2 — a dimension-tiered adaptive scaffold.</w:t>
      </w:r>
      <w:r>
        <w:t xml:space="preserve"> </w:t>
      </w:r>
      <w:r>
        <w:t xml:space="preserve">The</w:t>
      </w:r>
      <w:r>
        <w:t xml:space="preserve"> </w:t>
      </w:r>
      <w:r>
        <w:t xml:space="preserve">Adaptive Control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eigenframe final polish (C1). However, the present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ISM is therefore positioned as a secondary exploratory mechanism rather than as the primary source of DT-GSK’s performance standing. Its inclusion provides a fully specified and reproducible investigation of structure learning from strictly improving accepted moves, while the paper’s principal contributions remain the dimension-tiered adaptive scaffold (C2), the eigenframe final polish (C1), and the controlled, budget-fair family evaluation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eigenframe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7" w:name="ref_sec_related"/>
      <w:r>
        <w:t xml:space="preserve">2.</w:t>
      </w:r>
      <w:bookmarkEnd w:id="147"/>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8" w:name="ref_sec_rel_family"/>
      <w:r>
        <w:t xml:space="preserve">2.1.</w:t>
      </w:r>
      <w:bookmarkEnd w:id="148"/>
      <w:r>
        <w:tab/>
      </w:r>
      <w:r>
        <w:t xml:space="preserve"> The GSK Family: From Fixed Parameters to Adaptive Control</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49" w:name="ref_tab_family_review"/>
      <w:r>
        <w:fldChar w:fldCharType="begin"/>
      </w:r>
      <w:r>
        <w:instrText xml:space="preserve"> SEQ Table \* ARABIC </w:instrText>
      </w:r>
      <w:r>
        <w:fldChar w:fldCharType="separate"/>
      </w:r>
      <w:r>
        <w:rPr>
          <w:b/>
        </w:rPr>
        <w:t xml:space="preserve">1</w:t>
      </w:r>
      <w:r>
        <w:fldChar w:fldCharType="end"/>
      </w:r>
      <w:bookmarkEnd w:id="149"/>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0" w:name="ref_sec_rel_structure"/>
      <w:r>
        <w:t xml:space="preserve">2.2.</w:t>
      </w:r>
      <w:bookmarkEnd w:id="150"/>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1" w:name="ref_tab_taxonomy"/>
      <w:r>
        <w:fldChar w:fldCharType="begin"/>
      </w:r>
      <w:r>
        <w:instrText xml:space="preserve"> SEQ Table \* ARABIC </w:instrText>
      </w:r>
      <w:r>
        <w:fldChar w:fldCharType="separate"/>
      </w:r>
      <w:r>
        <w:rPr>
          <w:b/>
        </w:rPr>
        <w:t xml:space="preserve">2</w:t>
      </w:r>
      <w:r>
        <w:fldChar w:fldCharType="end"/>
      </w:r>
      <w:bookmarkEnd w:id="151"/>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2" w:name="ref_sec_rel_positioning"/>
      <w:r>
        <w:t xml:space="preserve">2.3.</w:t>
      </w:r>
      <w:bookmarkEnd w:id="152"/>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control-and-budget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3" w:name="ref_sec_algorithm"/>
      <w:r>
        <w:t xml:space="preserve">3.</w:t>
      </w:r>
      <w:bookmarkEnd w:id="153"/>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eigenframe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4" w:name="ref_sec_alg_notation"/>
      <w:r>
        <w:t xml:space="preserve">3.1.</w:t>
      </w:r>
      <w:bookmarkEnd w:id="154"/>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5" w:name="ref_tab_notation"/>
      <w:r>
        <w:fldChar w:fldCharType="begin"/>
      </w:r>
      <w:r>
        <w:instrText xml:space="preserve"> SEQ Table \* ARABIC </w:instrText>
      </w:r>
      <w:r>
        <w:fldChar w:fldCharType="separate"/>
      </w:r>
      <w:r>
        <w:rPr>
          <w:b/>
        </w:rPr>
        <w:t xml:space="preserve">3</w:t>
      </w:r>
      <w:r>
        <w:fldChar w:fldCharType="end"/>
      </w:r>
      <w:bookmarkEnd w:id="155"/>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each coordinate joins the junior phase independently with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6" w:name="ref_eq_junior_idx"/>
      <w:r>
        <w:fldChar w:fldCharType="begin"/>
      </w:r>
      <w:r>
        <w:instrText xml:space="preserve"> SEQ Equation \* ARABIC </w:instrText>
      </w:r>
      <w:r>
        <w:fldChar w:fldCharType="separate"/>
      </w:r>
      <w:r>
        <w:t xml:space="preserve">1</w:t>
      </w:r>
      <w:r>
        <w:fldChar w:fldCharType="end"/>
      </w:r>
      <w:bookmarkEnd w:id="156"/>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7" w:name="ref_eq_senior_idx"/>
      <w:r>
        <w:fldChar w:fldCharType="begin"/>
      </w:r>
      <w:r>
        <w:instrText xml:space="preserve"> SEQ Equation \* ARABIC </w:instrText>
      </w:r>
      <w:r>
        <w:fldChar w:fldCharType="separate"/>
      </w:r>
      <w:r>
        <w:t xml:space="preserve">2</w:t>
      </w:r>
      <w:r>
        <w:fldChar w:fldCharType="end"/>
      </w:r>
      <w:bookmarkEnd w:id="157"/>
      <w:r>
        <w:t xml:space="preserve">)</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8" w:name="ref_eq_kexp_schedule"/>
      <w:r>
        <w:fldChar w:fldCharType="begin"/>
      </w:r>
      <w:r>
        <w:instrText xml:space="preserve"> SEQ Equation \* ARABIC </w:instrText>
      </w:r>
      <w:r>
        <w:fldChar w:fldCharType="separate"/>
      </w:r>
      <w:r>
        <w:t xml:space="preserve">3</w:t>
      </w:r>
      <w:r>
        <w:fldChar w:fldCharType="end"/>
      </w:r>
      <w:bookmarkEnd w:id="158"/>
      <w:r>
        <w:t xml:space="preserve">)</w:t>
      </w:r>
    </w:p>
    <w:p>
      <w:pPr>
        <w:pStyle w:val="BodyText"/>
      </w:pPr>
      <w:r>
        <w:t xml:space="preserve">Each coordinate joins the junior phase independently with probability</w:t>
      </w:r>
      <w:r>
        <w:t xml:space="preserve"> </w:t>
      </w:r>
      <m:oMath>
        <m:sSub>
          <m:e>
            <m:r>
              <m:t>p</m:t>
            </m:r>
          </m:e>
          <m:sub>
            <m:r>
              <m:rPr>
                <m:nor/>
                <m:sty m:val="p"/>
              </m:rPr>
              <m:t>jun</m:t>
            </m:r>
          </m:sub>
        </m:sSub>
      </m:oMath>
      <w:r>
        <w:t xml:space="preserve"> </w:t>
      </w:r>
      <w:r>
        <w:t xml:space="preserve">(a Bernoulli assignment),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59" w:name="ref_eq_gsk_update"/>
      <w:r>
        <w:fldChar w:fldCharType="begin"/>
      </w:r>
      <w:r>
        <w:instrText xml:space="preserve"> SEQ Equation \* ARABIC </w:instrText>
      </w:r>
      <w:r>
        <w:fldChar w:fldCharType="separate"/>
      </w:r>
      <w:r>
        <w:t xml:space="preserve">4</w:t>
      </w:r>
      <w:r>
        <w:fldChar w:fldCharType="end"/>
      </w:r>
      <w:bookmarkEnd w:id="159"/>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0" w:name="ref_eq_kr_mask"/>
      <w:r>
        <w:fldChar w:fldCharType="begin"/>
      </w:r>
      <w:r>
        <w:instrText xml:space="preserve"> SEQ Equation \* ARABIC </w:instrText>
      </w:r>
      <w:r>
        <w:fldChar w:fldCharType="separate"/>
      </w:r>
      <w:r>
        <w:t xml:space="preserve">5</w:t>
      </w:r>
      <w:r>
        <w:fldChar w:fldCharType="end"/>
      </w:r>
      <w:bookmarkEnd w:id="160"/>
      <w:r>
        <w:t xml:space="preserv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1" w:name="ref_eq_nlpsr"/>
      <w:r>
        <w:fldChar w:fldCharType="begin"/>
      </w:r>
      <w:r>
        <w:instrText xml:space="preserve"> SEQ Equation \* ARABIC </w:instrText>
      </w:r>
      <w:r>
        <w:fldChar w:fldCharType="separate"/>
      </w:r>
      <w:r>
        <w:t xml:space="preserve">6</w:t>
      </w:r>
      <w:r>
        <w:fldChar w:fldCharType="end"/>
      </w:r>
      <w:bookmarkEnd w:id="161"/>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2" w:name="ref_eq_ace_update"/>
      <w:r>
        <w:fldChar w:fldCharType="begin"/>
      </w:r>
      <w:r>
        <w:instrText xml:space="preserve"> SEQ Equation \* ARABIC </w:instrText>
      </w:r>
      <w:r>
        <w:fldChar w:fldCharType="separate"/>
      </w:r>
      <w:r>
        <w:t xml:space="preserve">7</w:t>
      </w:r>
      <w:r>
        <w:fldChar w:fldCharType="end"/>
      </w:r>
      <w:bookmarkEnd w:id="162"/>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3" w:name="ref_eq_midpoint_repair"/>
      <w:r>
        <w:fldChar w:fldCharType="begin"/>
      </w:r>
      <w:r>
        <w:instrText xml:space="preserve"> SEQ Equation \* ARABIC </w:instrText>
      </w:r>
      <w:r>
        <w:fldChar w:fldCharType="separate"/>
      </w:r>
      <w:r>
        <w:t xml:space="preserve">8</w:t>
      </w:r>
      <w:r>
        <w:fldChar w:fldCharType="end"/>
      </w:r>
      <w:bookmarkEnd w:id="163"/>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4" w:name="ref_eq_greedy_accept"/>
      <w:r>
        <w:fldChar w:fldCharType="begin"/>
      </w:r>
      <w:r>
        <w:instrText xml:space="preserve"> SEQ Equation \* ARABIC </w:instrText>
      </w:r>
      <w:r>
        <w:fldChar w:fldCharType="separate"/>
      </w:r>
      <w:r>
        <w:t xml:space="preserve">9</w:t>
      </w:r>
      <w:r>
        <w:fldChar w:fldCharType="end"/>
      </w:r>
      <w:bookmarkEnd w:id="164"/>
      <w:r>
        <w:t xml:space="preserve">)</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5" w:name="ref_eq_bse_cauchy"/>
      <w:r>
        <w:fldChar w:fldCharType="begin"/>
      </w:r>
      <w:r>
        <w:instrText xml:space="preserve"> SEQ Equation \* ARABIC </w:instrText>
      </w:r>
      <w:r>
        <w:fldChar w:fldCharType="separate"/>
      </w:r>
      <w:r>
        <w:t xml:space="preserve">10</w:t>
      </w:r>
      <w:r>
        <w:fldChar w:fldCharType="end"/>
      </w:r>
      <w:bookmarkEnd w:id="165"/>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6" w:name="ref_eq_sgsm_graph"/>
      <w:r>
        <w:fldChar w:fldCharType="begin"/>
      </w:r>
      <w:r>
        <w:instrText xml:space="preserve"> SEQ Equation \* ARABIC </w:instrText>
      </w:r>
      <w:r>
        <w:fldChar w:fldCharType="separate"/>
      </w:r>
      <w:r>
        <w:t xml:space="preserve">11</w:t>
      </w:r>
      <w:r>
        <w:fldChar w:fldCharType="end"/>
      </w:r>
      <w:bookmarkEnd w:id="166"/>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7" w:name="ref_eq_eigen_polish"/>
      <w:r>
        <w:fldChar w:fldCharType="begin"/>
      </w:r>
      <w:r>
        <w:instrText xml:space="preserve"> SEQ Equation \* ARABIC </w:instrText>
      </w:r>
      <w:r>
        <w:fldChar w:fldCharType="separate"/>
      </w:r>
      <w:r>
        <w:t xml:space="preserve">12</w:t>
      </w:r>
      <w:r>
        <w:fldChar w:fldCharType="end"/>
      </w:r>
      <w:bookmarkEnd w:id="167"/>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sSub>
              <m:e>
                <m:r>
                  <m:t>M</m:t>
                </m:r>
              </m:e>
              <m:sub>
                <m:r>
                  <m:rPr>
                    <m:sty m:val="p"/>
                  </m:rPr>
                  <m:t>s</m:t>
                </m:r>
                <m:r>
                  <m:rPr>
                    <m:sty m:val="p"/>
                  </m:rPr>
                  <m:t>e</m:t>
                </m:r>
                <m:r>
                  <m:rPr>
                    <m:sty m:val="p"/>
                  </m:rPr>
                  <m:t>e</m:t>
                </m:r>
                <m:r>
                  <m:rPr>
                    <m:sty m:val="p"/>
                  </m:rPr>
                  <m:t>d</m:t>
                </m:r>
              </m:sub>
            </m:sSub>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8" w:name="ref_eq_rng_substreams"/>
      <w:r>
        <w:fldChar w:fldCharType="begin"/>
      </w:r>
      <w:r>
        <w:instrText xml:space="preserve"> SEQ Equation \* ARABIC </w:instrText>
      </w:r>
      <w:r>
        <w:fldChar w:fldCharType="separate"/>
      </w:r>
      <w:r>
        <w:t xml:space="preserve">13</w:t>
      </w:r>
      <w:r>
        <w:fldChar w:fldCharType="end"/>
      </w:r>
      <w:bookmarkEnd w:id="168"/>
      <w:r>
        <w:t xml:space="preserve">)</w:t>
      </w:r>
    </w:p>
    <w:p>
      <w:pPr>
        <w:pStyle w:val="BodyText"/>
      </w:pPr>
      <w:r>
        <w:t xml:space="preserve">where</w:t>
      </w:r>
      <w:r>
        <w:t xml:space="preserve"> </w:t>
      </w:r>
      <m:oMath>
        <m:sSub>
          <m:e>
            <m:r>
              <m:t>M</m:t>
            </m:r>
          </m:e>
          <m:sub>
            <m:r>
              <m:rPr>
                <m:sty m:val="p"/>
              </m:rPr>
              <m:t>s</m:t>
            </m:r>
            <m:r>
              <m:rPr>
                <m:sty m:val="p"/>
              </m:rPr>
              <m:t>e</m:t>
            </m:r>
            <m:r>
              <m:rPr>
                <m:sty m:val="p"/>
              </m:rPr>
              <m:t>e</m:t>
            </m:r>
            <m:r>
              <m:rPr>
                <m:sty m:val="p"/>
              </m:rPr>
              <m:t>d</m:t>
            </m:r>
          </m:sub>
        </m:sSub>
        <m:r>
          <m:rPr>
            <m:sty m:val="p"/>
          </m:rPr>
          <m:t>=</m:t>
        </m:r>
        <m:r>
          <m:t>2</m:t>
        </m:r>
        <m:r>
          <m:t> </m:t>
        </m:r>
        <m:r>
          <m:t>147</m:t>
        </m:r>
        <m:r>
          <m:t> </m:t>
        </m:r>
        <m:r>
          <m:t>483</m:t>
        </m:r>
        <m:r>
          <m:t> </m:t>
        </m:r>
        <m:r>
          <m:t>646</m:t>
        </m:r>
      </m:oMath>
      <w:r>
        <w:t xml:space="preserve"> </w:t>
      </w:r>
      <w:r>
        <w:t xml:space="preserve">is the child-seed modulus</w:t>
      </w:r>
      <w:r>
        <w:t xml:space="preserve"> </w:t>
      </w:r>
      <w:r>
        <w:t xml:space="preserve">(Supplementary Material, Section S5).</w:t>
      </w:r>
    </w:p>
    <w:bookmarkEnd w:id="18"/>
    <w:bookmarkStart w:id="29" w:name="lbl_sec_alg_overview"/>
    <w:p>
      <w:pPr>
        <w:pStyle w:val="Heading2"/>
      </w:pPr>
      <w:bookmarkStart w:id="169" w:name="ref_sec_alg_overview"/>
      <w:r>
        <w:t xml:space="preserve">3.2.</w:t>
      </w:r>
      <w:bookmarkEnd w:id="169"/>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0" w:name="ref_tab_architecture"/>
      <w:r>
        <w:fldChar w:fldCharType="begin"/>
      </w:r>
      <w:r>
        <w:instrText xml:space="preserve"> SEQ Table \* ARABIC </w:instrText>
      </w:r>
      <w:r>
        <w:fldChar w:fldCharType="separate"/>
      </w:r>
      <w:r>
        <w:rPr>
          <w:b/>
        </w:rPr>
        <w:t xml:space="preserve">4</w:t>
      </w:r>
      <w:r>
        <w:fldChar w:fldCharType="end"/>
      </w:r>
      <w:bookmarkEnd w:id="170"/>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a common-</w:t>
      </w:r>
      <m:oMath>
        <m:r>
          <m:t>N</m:t>
        </m:r>
        <m:r>
          <m:t>P</m:t>
        </m:r>
      </m:oMath>
      <w:r>
        <w:t xml:space="preserve"> </w:t>
      </w:r>
      <w:r>
        <w:t xml:space="preserve">replication is identified as future work.</w:t>
      </w:r>
    </w:p>
    <w:p>
      <w:pPr>
        <w:pStyle w:val="TableCaption"/>
        <w:keepNext/>
        <w:keepLines/>
      </w:pPr>
      <w:r>
        <w:rPr>
          <w:b/>
        </w:rPr>
        <w:t xml:space="preserve">Algorithm </w:t>
      </w:r>
      <w:bookmarkStart w:id="171" w:name="ref_alg_dt_gsk"/>
      <w:r>
        <w:fldChar w:fldCharType="begin"/>
      </w:r>
      <w:r>
        <w:instrText xml:space="preserve"> SEQ Algorithm \* ARABIC </w:instrText>
      </w:r>
      <w:r>
        <w:fldChar w:fldCharType="separate"/>
      </w:r>
      <w:r>
        <w:rPr>
          <w:b/>
        </w:rPr>
        <w:t xml:space="preserve">1</w:t>
      </w:r>
      <w:r>
        <w:fldChar w:fldCharType="end"/>
      </w:r>
      <w:bookmarkEnd w:id="171"/>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r>
        <w:t xml:space="preserve"> </w:t>
      </w:r>
      <w:r>
        <w:t xml:space="preserve">(allocated only at</w:t>
      </w:r>
      <w:r>
        <w:t xml:space="preserve"> </w:t>
      </w:r>
      <m:oMath>
        <m:r>
          <m:t>D</m:t>
        </m:r>
        <m:r>
          <m:rPr>
            <m:sty m:val="p"/>
          </m:rPr>
          <m:t>≥</m:t>
        </m:r>
        <m:r>
          <m:t>50</m:t>
        </m:r>
      </m:oMath>
      <w:r>
        <w:t xml:space="preserve">)</w:t>
      </w:r>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its</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by the ACE selector</w:t>
      </w:r>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13:     </w:t>
      </w:r>
      <w:r>
        <w:t xml:space="preserve"> Repair the out-of-bound coordinates</w:t>
      </w:r>
    </w:p>
    <w:p>
      <w:pPr>
        <w:pStyle w:val="AlgorithmLine"/>
      </w:pPr>
      <w:r>
        <w:t xml:space="preserve">14: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15: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16: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17:     </w:t>
      </w:r>
      <w:r>
        <w:t xml:space="preserve"> Update the ACE credit and prune stalled arms (ARGP)</w:t>
      </w:r>
    </w:p>
    <w:p>
      <w:pPr>
        <w:pStyle w:val="AlgorithmLine"/>
      </w:pPr>
      <w:r>
        <w:t xml:space="preserve">18: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19:     </w:t>
      </w:r>
      <w:r>
        <w:t xml:space="preserve"> Run the charged coordinate local search on the elite rows</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20: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21:     </w:t>
      </w:r>
      <w:r>
        <w:t xml:space="preserve"> Update the global best</w:t>
      </w:r>
      <w:r>
        <w:t xml:space="preserve"> </w:t>
      </w:r>
      <m:oMath>
        <m:sSup>
          <m:e>
            <m:r>
              <m:t>x</m:t>
            </m:r>
          </m:e>
          <m:sup>
            <m:r>
              <m:t>g</m:t>
            </m:r>
            <m:r>
              <m:t>b</m:t>
            </m:r>
          </m:sup>
        </m:sSup>
      </m:oMath>
    </w:p>
    <w:p>
      <w:pPr>
        <w:pStyle w:val="AlgorithmLine"/>
      </w:pPr>
      <w:r>
        <w:t xml:space="preserve">22: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23: </w:t>
      </w:r>
      <w:r>
        <w:rPr>
          <w:b/>
          <w:bCs/>
        </w:rPr>
        <w:t xml:space="preserve">end while</w:t>
      </w:r>
    </w:p>
    <w:p>
      <w:pPr>
        <w:pStyle w:val="AlgorithmLine"/>
      </w:pPr>
      <w:r>
        <w:t xml:space="preserve">24: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drawing>
          <wp:inline>
            <wp:extent cx="3787394" cy="6745644"/>
            <wp:effectExtent b="0" l="0" r="0" t="0"/>
            <wp:docPr descr="Figure 1.  Flowchart of the base GSK algorithm of Mohamed et al. [5], redrawn here from that paper’s description: a single generation loop of fitness evaluation, gained–shared dimension counting, the junior and senior gaining-sharing knowledge phases, and greedy update, repeated until the termination criterion is met. The figure depicts prior work and contributes nothing new; it is included so the DT-GSK flowchart in Figure 2 can be read against its parent." title="" id="21" name="Picture"/>
            <a:graphic>
              <a:graphicData uri="http://schemas.openxmlformats.org/drawingml/2006/picture">
                <pic:pic>
                  <pic:nvPicPr>
                    <pic:cNvPr descr="figures/concept/fig_gsk_flowchart.docx.png" id="22" name="Picture"/>
                    <pic:cNvPicPr>
                      <a:picLocks noChangeArrowheads="1" noChangeAspect="1"/>
                    </pic:cNvPicPr>
                  </pic:nvPicPr>
                  <pic:blipFill>
                    <a:blip r:embed="rId20"/>
                    <a:stretch>
                      <a:fillRect/>
                    </a:stretch>
                  </pic:blipFill>
                  <pic:spPr bwMode="auto">
                    <a:xfrm>
                      <a:off x="0" y="0"/>
                      <a:ext cx="3787394" cy="6745644"/>
                    </a:xfrm>
                    <a:prstGeom prst="rect">
                      <a:avLst/>
                    </a:prstGeom>
                    <a:noFill/>
                    <a:ln w="9525">
                      <a:noFill/>
                      <a:headEnd/>
                      <a:tailEnd/>
                    </a:ln>
                  </pic:spPr>
                </pic:pic>
              </a:graphicData>
            </a:graphic>
          </wp:inline>
        </w:drawing>
      </w:r>
    </w:p>
    <w:p>
      <w:pPr>
        <w:pStyle w:val="ImageCaption"/>
        <w:keepLines/>
      </w:pPr>
      <w:r>
        <w:rPr>
          <w:b/>
        </w:rPr>
        <w:t xml:space="preserve">Figure </w:t>
      </w:r>
      <w:bookmarkStart w:id="172" w:name="ref_fig_gsk_flowchart"/>
      <w:r>
        <w:fldChar w:fldCharType="begin"/>
      </w:r>
      <w:r>
        <w:instrText xml:space="preserve"> SEQ Figure \* ARABIC </w:instrText>
      </w:r>
      <w:r>
        <w:fldChar w:fldCharType="separate"/>
      </w:r>
      <w:r>
        <w:rPr>
          <w:b/>
        </w:rPr>
        <w:t xml:space="preserve">1</w:t>
      </w:r>
      <w:r>
        <w:fldChar w:fldCharType="end"/>
      </w:r>
      <w:bookmarkEnd w:id="172"/>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drawing>
          <wp:inline>
            <wp:extent cx="3231715" cy="8705589"/>
            <wp:effectExtent b="0" l="0" r="0" t="0"/>
            <wp:docPr descr="Figure 2.  Flowchart of the DT-GSK algorithm, drawn in the same style as Figure 1 for direct comparison. The GSK core (fitness evaluation, dimension counting, the junior and senior phases, and the update) is retained; the boxes with a light shaded fill are the mechanisms DT-GSK adds: the nonlinear population-size reduction (NLPSR) and the ACE selector with acceptance-gated pruning, the linkage-aware block crossover, the dimension-gated interaction-structure memory, the coordinate local search, the budget-sa" title="" id="25" name="Picture"/>
            <a:graphic>
              <a:graphicData uri="http://schemas.openxmlformats.org/drawingml/2006/picture">
                <pic:pic>
                  <pic:nvPicPr>
                    <pic:cNvPr descr="figures/concept/fig_dtgsk_flowchart.docx.png" id="26" name="Picture"/>
                    <pic:cNvPicPr>
                      <a:picLocks noChangeArrowheads="1" noChangeAspect="1"/>
                    </pic:cNvPicPr>
                  </pic:nvPicPr>
                  <pic:blipFill>
                    <a:blip r:embed="rId24"/>
                    <a:stretch>
                      <a:fillRect/>
                    </a:stretch>
                  </pic:blipFill>
                  <pic:spPr bwMode="auto">
                    <a:xfrm>
                      <a:off x="0" y="0"/>
                      <a:ext cx="3231715" cy="8705589"/>
                    </a:xfrm>
                    <a:prstGeom prst="rect">
                      <a:avLst/>
                    </a:prstGeom>
                    <a:noFill/>
                    <a:ln w="9525">
                      <a:noFill/>
                      <a:headEnd/>
                      <a:tailEnd/>
                    </a:ln>
                  </pic:spPr>
                </pic:pic>
              </a:graphicData>
            </a:graphic>
          </wp:inline>
        </w:drawing>
      </w:r>
    </w:p>
    <w:p>
      <w:pPr>
        <w:pStyle w:val="ImageCaption"/>
        <w:keepLines/>
      </w:pPr>
      <w:r>
        <w:rPr>
          <w:b/>
        </w:rPr>
        <w:t xml:space="preserve">Figure </w:t>
      </w:r>
      <w:bookmarkStart w:id="173" w:name="ref_fig_dtgsk_flowchart"/>
      <w:r>
        <w:fldChar w:fldCharType="begin"/>
      </w:r>
      <w:r>
        <w:instrText xml:space="preserve"> SEQ Figure \* ARABIC </w:instrText>
      </w:r>
      <w:r>
        <w:fldChar w:fldCharType="separate"/>
      </w:r>
      <w:r>
        <w:rPr>
          <w:b/>
        </w:rPr>
        <w:t xml:space="preserve">2</w:t>
      </w:r>
      <w:r>
        <w:fldChar w:fldCharType="end"/>
      </w:r>
      <w:bookmarkEnd w:id="173"/>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Control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4" w:name="ref_tab_dim_gating"/>
      <w:r>
        <w:fldChar w:fldCharType="begin"/>
      </w:r>
      <w:r>
        <w:instrText xml:space="preserve"> SEQ Table \* ARABIC </w:instrText>
      </w:r>
      <w:r>
        <w:fldChar w:fldCharType="separate"/>
      </w:r>
      <w:r>
        <w:rPr>
          <w:b/>
        </w:rPr>
        <w:t xml:space="preserve">5</w:t>
      </w:r>
      <w:r>
        <w:fldChar w:fldCharType="end"/>
      </w:r>
      <w:bookmarkEnd w:id="174"/>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5" w:name="ref_sec_alg_scaffold"/>
      <w:r>
        <w:t xml:space="preserve">3.3.</w:t>
      </w:r>
      <w:bookmarkEnd w:id="175"/>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by a controlled uniform-versus-tiered contrast; C2 is therefore</w:t>
      </w:r>
      <w:r>
        <w:t xml:space="preserve"> </w:t>
      </w:r>
      <w:r>
        <w:t xml:space="preserve">claimed as the performance of the integrated frozen scaffold as a package,</w:t>
      </w:r>
      <w:r>
        <w:t xml:space="preserve"> </w:t>
      </w:r>
      <w:r>
        <w:t xml:space="preserve">not as evidence that dimension-tiering is individually causal. Here each</w:t>
      </w:r>
      <w:r>
        <w:t xml:space="preserve"> </w:t>
      </w:r>
      <w:r>
        <w:t xml:space="preserve">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6" w:name="ref_tab_notation_scaffold"/>
      <w:r>
        <w:fldChar w:fldCharType="begin"/>
      </w:r>
      <w:r>
        <w:instrText xml:space="preserve"> SEQ Table \* ARABIC </w:instrText>
      </w:r>
      <w:r>
        <w:fldChar w:fldCharType="separate"/>
      </w:r>
      <w:r>
        <w:rPr>
          <w:b/>
        </w:rPr>
        <w:t xml:space="preserve">6</w:t>
      </w:r>
      <w:r>
        <w:fldChar w:fldCharType="end"/>
      </w:r>
      <w:bookmarkEnd w:id="176"/>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(archive-reseed) fraction (</w:t>
            </w:r>
            <m:oMath>
              <m:r>
                <m:t>0.30</m:t>
              </m:r>
            </m:oMath>
            <w:r>
              <w:t xml:space="preserve"> </w:t>
            </w:r>
            <w:r>
              <w:t xml:space="preserve">low-</w:t>
            </w:r>
            <m:oMath>
              <m:r>
                <m:t>D</m:t>
              </m:r>
            </m:oMath>
            <w:r>
              <w:t xml:space="preserve">,</w:t>
            </w:r>
            <w:r>
              <w:t xml:space="preserve"> </w:t>
            </w:r>
            <m:oMath>
              <m:r>
                <m:t>0.10</m:t>
              </m:r>
            </m:oMath>
            <w:r>
              <w:t xml:space="preserve"> </w:t>
            </w:r>
            <w:r>
              <w:t xml:space="preserve">otherwise;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7" w:name="ref_sec_alg_ace"/>
      <w:r>
        <w:t xml:space="preserve">3.3.1.</w:t>
      </w:r>
      <w:bookmarkEnd w:id="177"/>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8" w:name="ref_sec_alg_argp"/>
      <w:r>
        <w:t xml:space="preserve">3.3.2.</w:t>
      </w:r>
      <w:bookmarkEnd w:id="178"/>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79" w:name="ref_sec_alg_nlpsr"/>
      <w:r>
        <w:t xml:space="preserve">3.3.3.</w:t>
      </w:r>
      <w:bookmarkEnd w:id="179"/>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0" w:name="ref_tab_worked_example"/>
      <w:r>
        <w:fldChar w:fldCharType="begin"/>
      </w:r>
      <w:r>
        <w:instrText xml:space="preserve"> SEQ Table \* ARABIC </w:instrText>
      </w:r>
      <w:r>
        <w:fldChar w:fldCharType="separate"/>
      </w:r>
      <w:r>
        <w:rPr>
          <w:b/>
        </w:rPr>
        <w:t xml:space="preserve">7</w:t>
      </w:r>
      <w:r>
        <w:fldChar w:fldCharType="end"/>
      </w:r>
      <w:bookmarkEnd w:id="180"/>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1" w:name="ref_sec_alg_bse"/>
      <w:r>
        <w:t xml:space="preserve">3.3.4.</w:t>
      </w:r>
      <w:bookmarkEnd w:id="181"/>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sparing the frozen elite —</w:t>
      </w:r>
      <w:r>
        <w:t xml:space="preserve"> </w:t>
      </w:r>
      <w:r>
        <w:t xml:space="preserve">the top</w:t>
      </w:r>
      <w:r>
        <w:t xml:space="preserve"> </w:t>
      </w:r>
      <m:oMath>
        <m:r>
          <m:rPr>
            <m:sty m:val="p"/>
          </m:rPr>
          <m:t>round</m:t>
        </m:r>
        <m:r>
          <m:rPr>
            <m:sty m:val="p"/>
          </m:rPr>
          <m:t>(</m:t>
        </m:r>
        <m:r>
          <m:t>0.05</m:t>
        </m:r>
        <m:r>
          <m:t> </m:t>
        </m:r>
        <m:r>
          <m:t>N</m:t>
        </m:r>
        <m:r>
          <m:t>P</m:t>
        </m:r>
        <m:r>
          <m:rPr>
            <m:sty m:val="p"/>
          </m:rPr>
          <m:t>)</m:t>
        </m:r>
      </m:oMath>
      <w:r>
        <w:t xml:space="preserve"> </w:t>
      </w:r>
      <w:r>
        <w:t xml:space="preserve">rows by fitness, exempt from</w:t>
      </w:r>
      <w:r>
        <w:t xml:space="preserve"> </w:t>
      </w:r>
      <w:r>
        <w:t xml:space="preserve">both the rescue and the restart (Supplementary Material, Section S5),</w:t>
      </w:r>
      <w:r>
        <w:t xml:space="preserve"> </w:t>
      </w:r>
      <w:r>
        <w:t xml:space="preserve">which anchors the equation’s</w:t>
      </w:r>
      <w:r>
        <w:t xml:space="preserve"> </w:t>
      </w:r>
      <w:r>
        <w:t xml:space="preserve">“unfrozen”</w:t>
      </w:r>
      <w:r>
        <w:t xml:space="preserve"> </w:t>
      </w:r>
      <w:r>
        <w:t xml:space="preserve">qualifier;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2" w:name="ref_sec_alg_deepstall"/>
      <w:r>
        <w:t xml:space="preserve">3.3.5.</w:t>
      </w:r>
      <w:bookmarkEnd w:id="182"/>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3" w:name="ref_sec_alg_ism"/>
      <w:r>
        <w:t xml:space="preserve">3.4.</w:t>
      </w:r>
      <w:bookmarkEnd w:id="183"/>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4" w:name="ref_tab_notation_ism"/>
      <w:r>
        <w:fldChar w:fldCharType="begin"/>
      </w:r>
      <w:r>
        <w:instrText xml:space="preserve"> SEQ Table \* ARABIC </w:instrText>
      </w:r>
      <w:r>
        <w:fldChar w:fldCharType="separate"/>
      </w:r>
      <w:r>
        <w:rPr>
          <w:b/>
        </w:rPr>
        <w:t xml:space="preserve">8</w:t>
      </w:r>
      <w:r>
        <w:fldChar w:fldCharType="end"/>
      </w:r>
      <w:bookmarkEnd w:id="184"/>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self-weight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 (edge density</w:t>
            </w:r>
            <w:r>
              <w:t xml:space="preserve"> </w:t>
            </w:r>
            <m:oMath>
              <m:r>
                <m:rPr>
                  <m:sty m:val="p"/>
                </m:rPr>
                <m:t>×</m:t>
              </m:r>
            </m:oMath>
            <w:r>
              <w:t xml:space="preserve"> </w:t>
            </w:r>
            <w:r>
              <w:t xml:space="preserve">magnitude</w:t>
            </w:r>
            <w:r>
              <w:t xml:space="preserve"> </w:t>
            </w:r>
            <m:oMath>
              <m:r>
                <m:rPr>
                  <m:sty m:val="p"/>
                </m:rPr>
                <m:t>×</m:t>
              </m:r>
            </m:oMath>
            <w:r>
              <w:t xml:space="preserve"> </w:t>
            </w:r>
            <w:r>
              <w:t xml:space="preserve">support</w:t>
            </w:r>
            <w:r>
              <w:t xml:space="preserve"> </w:t>
            </w:r>
            <m:oMath>
              <m:r>
                <m:rPr>
                  <m:sty m:val="p"/>
                </m:rPr>
                <m:t>×</m:t>
              </m:r>
            </m:oMath>
            <w:r>
              <w:t xml:space="preserve"> </w:t>
            </w:r>
            <w:r>
              <w:t xml:space="preserve">stability;</w:t>
            </w:r>
            <w:r>
              <w:t xml:space="preserve"> </w:t>
            </w:r>
            <m:oMath>
              <m:r>
                <m:t>κ</m:t>
              </m:r>
              <m:r>
                <m:rPr>
                  <m:sty m:val="p"/>
                </m:rPr>
                <m:t>(</m:t>
              </m:r>
              <m:r>
                <m:rPr>
                  <m:sty m:val="p"/>
                </m:rPr>
                <m:t>⋅</m:t>
              </m:r>
              <m:r>
                <m:rPr>
                  <m:sty m:val="p"/>
                </m:rPr>
                <m:t>)</m:t>
              </m:r>
            </m:oMath>
            <w:r>
              <w:t xml:space="preserv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pairwise-probing objective evaluations — quadratic in the</w:t>
      </w:r>
      <w:r>
        <w:t xml:space="preserve"> </w:t>
      </w:r>
      <w:r>
        <w:t xml:space="preserve">dimension —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re-extracted into</w:t>
      </w:r>
      <w:r>
        <w:t xml:space="preserve"> </w:t>
      </w:r>
      <w:r>
        <w:t xml:space="preserve">blocks every 5 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5" w:name="ref_tab_sgsm_mechanism"/>
      <w:r>
        <w:fldChar w:fldCharType="begin"/>
      </w:r>
      <w:r>
        <w:instrText xml:space="preserve"> SEQ Table \* ARABIC </w:instrText>
      </w:r>
      <w:r>
        <w:fldChar w:fldCharType="separate"/>
      </w:r>
      <w:r>
        <w:rPr>
          <w:b/>
        </w:rPr>
        <w:t xml:space="preserve">9</w:t>
      </w:r>
      <w:r>
        <w:fldChar w:fldCharType="end"/>
      </w:r>
      <w:bookmarkEnd w:id="185"/>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6" w:name="ref_sec_alg_polish"/>
      <w:r>
        <w:t xml:space="preserve">3.5.</w:t>
      </w:r>
      <w:bookmarkEnd w:id="186"/>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Whether this learned basis</w:t>
      </w:r>
      <w:r>
        <w:t xml:space="preserve"> </w:t>
      </w:r>
      <w:r>
        <w:t xml:space="preserve">outperforms coordinate axes is not established at</w:t>
      </w:r>
      <w:r>
        <w:t xml:space="preserve"> </w:t>
      </w:r>
      <m:oMath>
        <m:r>
          <m:t>D</m:t>
        </m:r>
        <m:r>
          <m:rPr>
            <m:sty m:val="p"/>
          </m:rPr>
          <m:t>≤</m:t>
        </m:r>
        <m:r>
          <m:t>100</m:t>
        </m:r>
      </m:oMath>
      <w:r>
        <w:t xml:space="preserve">: the direct</w:t>
      </w:r>
      <w:r>
        <w:t xml:space="preserve"> </w:t>
      </w:r>
      <w:r>
        <w:t xml:space="preserve">isolation of Supplementary Materials Section S6.5 cannot separate them.</w:t>
      </w:r>
      <w:r>
        <w:t xml:space="preserve"> </w:t>
      </w:r>
      <w:r>
        <w:t xml:space="preserve">Any effect that isolation measures therefore attaches to the deterministic,</w:t>
      </w:r>
      <w:r>
        <w:t xml:space="preserve"> </w:t>
      </w:r>
      <w:r>
        <w:t xml:space="preserve">budget-exact compass endgame as a whole, not to the learned directions.</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7" w:name="ref_sec_alg_highd"/>
      <w:r>
        <w:t xml:space="preserve">3.6.</w:t>
      </w:r>
      <w:bookmarkEnd w:id="187"/>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8" w:name="ref_sec_alg_profile"/>
      <w:r>
        <w:t xml:space="preserve">3.7.</w:t>
      </w:r>
      <w:bookmarkEnd w:id="188"/>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89" w:name="ref_tab_parameters"/>
      <w:r>
        <w:fldChar w:fldCharType="begin"/>
      </w:r>
      <w:r>
        <w:instrText xml:space="preserve"> SEQ Table \* ARABIC </w:instrText>
      </w:r>
      <w:r>
        <w:fldChar w:fldCharType="separate"/>
      </w:r>
      <w:r>
        <w:rPr>
          <w:b/>
        </w:rPr>
        <w:t xml:space="preserve">10</w:t>
      </w:r>
      <w:r>
        <w:fldChar w:fldCharType="end"/>
      </w:r>
      <w:bookmarkEnd w:id="189"/>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tuning is required or permitted at run time.</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tuning is required or permitted at run time."/>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r>
              <w:t xml:space="preserve">)</w:t>
            </w:r>
          </w:p>
        </w:tc>
        <w:tc>
          <w:tcPr/>
          <w:p>
            <w:pPr>
              <w:pStyle w:val="Compact"/>
            </w:pPr>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reference-implementation constants, and eGSK</w:t>
      </w:r>
      <w:r>
        <w:t xml:space="preserve"> </w:t>
      </w:r>
      <w:r>
        <w:t xml:space="preserve">is the Python port in which the SciPy SLSQP solver substitutes the</w:t>
      </w:r>
      <w:r>
        <w:t xml:space="preserve"> </w:t>
      </w:r>
      <w:r>
        <w:t xml:space="preserve">reference implementation’s MATLAB fmincon (SQP)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0" w:name="ref_tab_panel"/>
      <w:r>
        <w:fldChar w:fldCharType="begin"/>
      </w:r>
      <w:r>
        <w:instrText xml:space="preserve"> SEQ Table \* ARABIC </w:instrText>
      </w:r>
      <w:r>
        <w:fldChar w:fldCharType="separate"/>
      </w:r>
      <w:r>
        <w:rPr>
          <w:b/>
        </w:rPr>
        <w:t xml:space="preserve">11</w:t>
      </w:r>
      <w:r>
        <w:fldChar w:fldCharType="end"/>
      </w:r>
      <w:bookmarkEnd w:id="190"/>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w:t>
            </w:r>
            <w:r>
              <w:t xml:space="preserve"> </w:t>
            </w:r>
            <w:r>
              <w:t xml:space="preserve">reference implementation’s 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“reference-implementation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1" w:name="ref_tab_comparator_params_main"/>
      <w:r>
        <w:fldChar w:fldCharType="begin"/>
      </w:r>
      <w:r>
        <w:instrText xml:space="preserve"> SEQ Table \* ARABIC </w:instrText>
      </w:r>
      <w:r>
        <w:fldChar w:fldCharType="separate"/>
      </w:r>
      <w:r>
        <w:rPr>
          <w:b/>
        </w:rPr>
        <w:t xml:space="preserve">12</w:t>
      </w:r>
      <w:r>
        <w:fldChar w:fldCharType="end"/>
      </w:r>
      <w:bookmarkEnd w:id="191"/>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2" w:name="ref_sec_alg_complexity"/>
      <w:r>
        <w:t xml:space="preserve">3.8.</w:t>
      </w:r>
      <w:bookmarkEnd w:id="192"/>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3" w:name="ref_sec_experiments"/>
      <w:r>
        <w:t xml:space="preserve">4.</w:t>
      </w:r>
      <w:bookmarkEnd w:id="193"/>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4" w:name="ref_sec_exp_settings"/>
      <w:r>
        <w:t xml:space="preserve">4.1.</w:t>
      </w:r>
      <w:bookmarkEnd w:id="194"/>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three such releases identified in</w:t>
      </w:r>
      <w:r>
        <w:t xml:space="preserve"> </w:t>
      </w:r>
      <w:r>
        <w:t xml:space="preserve">the Data Availability Statement — the primary three-suite release and</w:t>
      </w:r>
      <w:r>
        <w:t xml:space="preserve"> </w:t>
      </w:r>
      <w:r>
        <w:t xml:space="preserve">the two later, separate, non-superseding single-suite releases for</w:t>
      </w:r>
      <w:r>
        <w:t xml:space="preserve"> </w:t>
      </w:r>
      <w:r>
        <w:t xml:space="preserve">CEC2013LSGO and CEC2020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algorithm’s late refinement is a sequential-quadratic-programming</w:t>
      </w:r>
      <w:r>
        <w:t xml:space="preserve"> </w:t>
      </w:r>
      <w:r>
        <w:t xml:space="preserve">polish </w:t>
      </w:r>
      <w:r>
        <w:fldChar w:fldCharType="begin"/>
      </w:r>
      <w:r>
        <w:instrText xml:space="preserve"> CITATION jawad2024egsk \l 1033 </w:instrText>
      </w:r>
      <w:r>
        <w:fldChar w:fldCharType="separate"/>
      </w:r>
      <w:r>
        <w:t xml:space="preserve">[9]</w:t>
      </w:r>
      <w:r>
        <w:fldChar w:fldCharType="end"/>
      </w:r>
      <w:r>
        <w:t xml:space="preserve">, realized as MATLAB fmincon in the family’s</w:t>
      </w:r>
      <w:r>
        <w:t xml:space="preserve"> </w:t>
      </w:r>
      <w:r>
        <w:t xml:space="preserve">reference implementation.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reference implementation’s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5" w:name="ref_tab_protocol"/>
      <w:r>
        <w:fldChar w:fldCharType="begin"/>
      </w:r>
      <w:r>
        <w:instrText xml:space="preserve"> SEQ Table \* ARABIC </w:instrText>
      </w:r>
      <w:r>
        <w:fldChar w:fldCharType="separate"/>
      </w:r>
      <w:r>
        <w:rPr>
          <w:b/>
        </w:rPr>
        <w:t xml:space="preserve">13</w:t>
      </w:r>
      <w:r>
        <w:fldChar w:fldCharType="end"/>
      </w:r>
      <w:bookmarkEnd w:id="195"/>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 family’s</w:t>
      </w:r>
      <w:r>
        <w:t xml:space="preserve"> </w:t>
      </w:r>
      <w:r>
        <w:t xml:space="preserve">shipped reference implementations</w:t>
      </w:r>
      <w:r>
        <w:t xml:space="preserve"> </w:t>
      </w:r>
      <w:r>
        <w:t xml:space="preserve">(Table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contributed to the design, execution, or analysis</w:t>
      </w:r>
      <w:r>
        <w:t xml:space="preserve"> </w:t>
      </w:r>
      <w:r>
        <w:t xml:space="preserve">of the experiments or to any reported number; a large language model was</w:t>
      </w:r>
      <w:r>
        <w:t xml:space="preserve"> </w:t>
      </w:r>
      <w:r>
        <w:t xml:space="preserve">used for language editing, the drafting of descriptive prose, and</w:t>
      </w:r>
      <w:r>
        <w:t xml:space="preserve"> </w:t>
      </w:r>
      <w:r>
        <w:t xml:space="preserve">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6" w:name="ref_sec_exp_cec2017"/>
      <w:r>
        <w:t xml:space="preserve">4.2.</w:t>
      </w:r>
      <w:bookmarkEnd w:id="196"/>
      <w:r>
        <w:tab/>
      </w:r>
      <w:r>
        <w:t xml:space="preserve"> Results on the CEC2017 Primary Suite</w:t>
      </w:r>
    </w:p>
    <w:bookmarkStart w:id="58" w:name="lbl_sec_exp_cec2017_desc"/>
    <w:p>
      <w:pPr>
        <w:pStyle w:val="Heading3"/>
      </w:pPr>
      <w:bookmarkStart w:id="197" w:name="ref_sec_exp_cec2017_desc"/>
      <w:r>
        <w:t xml:space="preserve">4.2.1.</w:t>
      </w:r>
      <w:bookmarkEnd w:id="197"/>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8" w:name="ref_sec_exp_cec2017_panel"/>
      <w:r>
        <w:t xml:space="preserve">4.2.2.</w:t>
      </w:r>
      <w:bookmarkEnd w:id="198"/>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199" w:name="ref_tab_friedman_cec2017"/>
      <w:r>
        <w:fldChar w:fldCharType="begin"/>
      </w:r>
      <w:r>
        <w:instrText xml:space="preserve"> SEQ Table \* ARABIC </w:instrText>
      </w:r>
      <w:r>
        <w:fldChar w:fldCharType="separate"/>
      </w:r>
      <w:r>
        <w:rPr>
          <w:b/>
        </w:rPr>
        <w:t xml:space="preserve">14</w:t>
      </w:r>
      <w:r>
        <w:fldChar w:fldCharType="end"/>
      </w:r>
      <w:bookmarkEnd w:id="199"/>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0" w:name="ref_fig_cec2017_ranks"/>
      <w:r>
        <w:fldChar w:fldCharType="begin"/>
      </w:r>
      <w:r>
        <w:instrText xml:space="preserve"> SEQ Figure \* ARABIC </w:instrText>
      </w:r>
      <w:r>
        <w:fldChar w:fldCharType="separate"/>
      </w:r>
      <w:r>
        <w:rPr>
          <w:b/>
        </w:rPr>
        <w:t xml:space="preserve">3</w:t>
      </w:r>
      <w:r>
        <w:fldChar w:fldCharType="end"/>
      </w:r>
      <w:bookmarkEnd w:id="200"/>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1" w:name="ref_sec_exp_stats"/>
      <w:r>
        <w:t xml:space="preserve">4.2.3.</w:t>
      </w:r>
      <w:bookmarkEnd w:id="201"/>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2" w:name="ref_tab_wilcoxon_holm"/>
      <w:r>
        <w:fldChar w:fldCharType="begin"/>
      </w:r>
      <w:r>
        <w:instrText xml:space="preserve"> SEQ Table \* ARABIC </w:instrText>
      </w:r>
      <w:r>
        <w:fldChar w:fldCharType="separate"/>
      </w:r>
      <w:r>
        <w:rPr>
          <w:b/>
        </w:rPr>
        <w:t xml:space="preserve">15</w:t>
      </w:r>
      <w:r>
        <w:fldChar w:fldCharType="end"/>
      </w:r>
      <w:bookmarkEnd w:id="202"/>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3" w:name="ref_fig_cd_cec2017"/>
      <w:r>
        <w:fldChar w:fldCharType="begin"/>
      </w:r>
      <w:r>
        <w:instrText xml:space="preserve"> SEQ Figure \* ARABIC </w:instrText>
      </w:r>
      <w:r>
        <w:fldChar w:fldCharType="separate"/>
      </w:r>
      <w:r>
        <w:rPr>
          <w:b/>
        </w:rPr>
        <w:t xml:space="preserve">4</w:t>
      </w:r>
      <w:r>
        <w:fldChar w:fldCharType="end"/>
      </w:r>
      <w:bookmarkEnd w:id="203"/>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in</w:t>
      </w:r>
      <w:r>
        <w:t xml:space="preserve"> </w:t>
      </w:r>
      <w:r>
        <w:t xml:space="preserve">every variant reported here,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4" w:name="ref_sec_exp_cec2011"/>
      <w:r>
        <w:t xml:space="preserve">4.3.</w:t>
      </w:r>
      <w:bookmarkEnd w:id="204"/>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5" w:name="ref_fig_cec2011_ranks"/>
      <w:r>
        <w:fldChar w:fldCharType="begin"/>
      </w:r>
      <w:r>
        <w:instrText xml:space="preserve"> SEQ Figure \* ARABIC </w:instrText>
      </w:r>
      <w:r>
        <w:fldChar w:fldCharType="separate"/>
      </w:r>
      <w:r>
        <w:rPr>
          <w:b/>
        </w:rPr>
        <w:t xml:space="preserve">5</w:t>
      </w:r>
      <w:r>
        <w:fldChar w:fldCharType="end"/>
      </w:r>
      <w:bookmarkEnd w:id="205"/>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6" w:name="ref_sec_exp_cec2013"/>
      <w:r>
        <w:t xml:space="preserve">4.4.</w:t>
      </w:r>
      <w:bookmarkEnd w:id="206"/>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7" w:name="ref_tab_friedman_cec2013"/>
      <w:r>
        <w:fldChar w:fldCharType="begin"/>
      </w:r>
      <w:r>
        <w:instrText xml:space="preserve"> SEQ Table \* ARABIC </w:instrText>
      </w:r>
      <w:r>
        <w:fldChar w:fldCharType="separate"/>
      </w:r>
      <w:r>
        <w:rPr>
          <w:b/>
        </w:rPr>
        <w:t xml:space="preserve">16</w:t>
      </w:r>
      <w:r>
        <w:fldChar w:fldCharType="end"/>
      </w:r>
      <w:bookmarkEnd w:id="207"/>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8" w:name="ref_sec_exp_cec2020"/>
      <w:r>
        <w:t xml:space="preserve">4.5.</w:t>
      </w:r>
      <w:bookmarkEnd w:id="208"/>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commit 5c9bfae82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09" w:name="ref_tab_cec2020_ranks"/>
      <w:r>
        <w:fldChar w:fldCharType="begin"/>
      </w:r>
      <w:r>
        <w:instrText xml:space="preserve"> SEQ Table \* ARABIC </w:instrText>
      </w:r>
      <w:r>
        <w:fldChar w:fldCharType="separate"/>
      </w:r>
      <w:r>
        <w:rPr>
          <w:b/>
        </w:rPr>
        <w:t xml:space="preserve">17</w:t>
      </w:r>
      <w:r>
        <w:fldChar w:fldCharType="end"/>
      </w:r>
      <w:bookmarkEnd w:id="209"/>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0" w:name="ref_sec_exp_cec2013lsgo"/>
      <w:r>
        <w:t xml:space="preserve">4.6.</w:t>
      </w:r>
      <w:bookmarkEnd w:id="210"/>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1" w:name="ref_tab_lsgo_ranks"/>
      <w:r>
        <w:fldChar w:fldCharType="begin"/>
      </w:r>
      <w:r>
        <w:instrText xml:space="preserve"> SEQ Table \* ARABIC </w:instrText>
      </w:r>
      <w:r>
        <w:fldChar w:fldCharType="separate"/>
      </w:r>
      <w:r>
        <w:rPr>
          <w:b/>
        </w:rPr>
        <w:t xml:space="preserve">18</w:t>
      </w:r>
      <w:r>
        <w:fldChar w:fldCharType="end"/>
      </w:r>
      <w:bookmarkEnd w:id="211"/>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2" w:name="ref_sec_exp_convergence"/>
      <w:r>
        <w:t xml:space="preserve">4.7.</w:t>
      </w:r>
      <w:bookmarkEnd w:id="212"/>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convergence sets — CEC2017 at all four dimensions, CEC2011</w:t>
      </w:r>
      <w:r>
        <w:t xml:space="preserve"> </w:t>
      </w:r>
      <w:r>
        <w:t xml:space="preserve">at native dimensions, and CEC2013 at the prespecified</w:t>
      </w:r>
      <w:r>
        <w:t xml:space="preserve"> </w:t>
      </w:r>
      <m:oMath>
        <m:r>
          <m:t>D</m:t>
        </m:r>
        <m:r>
          <m:rPr>
            <m:sty m:val="p"/>
          </m:rPr>
          <m:t>=</m:t>
        </m:r>
        <m:r>
          <m:t>30</m:t>
        </m:r>
      </m:oMath>
      <w:r>
        <w:t xml:space="preserve"> </w:t>
      </w:r>
      <w:r>
        <w:t xml:space="preserve">— are</w:t>
      </w:r>
      <w:r>
        <w:t xml:space="preserve"> </w:t>
      </w:r>
      <w:r>
        <w:t xml:space="preserve">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3" w:name="ref_fig_conv_cec2017_d30"/>
      <w:r>
        <w:fldChar w:fldCharType="begin"/>
      </w:r>
      <w:r>
        <w:instrText xml:space="preserve"> SEQ Figure \* ARABIC </w:instrText>
      </w:r>
      <w:r>
        <w:fldChar w:fldCharType="separate"/>
      </w:r>
      <w:r>
        <w:rPr>
          <w:b/>
        </w:rPr>
        <w:t xml:space="preserve">6</w:t>
      </w:r>
      <w:r>
        <w:fldChar w:fldCharType="end"/>
      </w:r>
      <w:bookmarkEnd w:id="213"/>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100"/>
      <w:r>
        <w:fldChar w:fldCharType="begin"/>
      </w:r>
      <w:r>
        <w:instrText xml:space="preserve"> SEQ Figure \* ARABIC </w:instrText>
      </w:r>
      <w:r>
        <w:fldChar w:fldCharType="separate"/>
      </w:r>
      <w:r>
        <w:rPr>
          <w:b/>
        </w:rPr>
        <w:t xml:space="preserve">7</w:t>
      </w:r>
      <w:r>
        <w:fldChar w:fldCharType="end"/>
      </w:r>
      <w:bookmarkEnd w:id="214"/>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5" w:name="ref_sec_exp_runtime"/>
      <w:r>
        <w:t xml:space="preserve">4.8.</w:t>
      </w:r>
      <w:bookmarkEnd w:id="215"/>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6" w:name="ref_tab_runtime"/>
      <w:r>
        <w:fldChar w:fldCharType="begin"/>
      </w:r>
      <w:r>
        <w:instrText xml:space="preserve"> SEQ Table \* ARABIC </w:instrText>
      </w:r>
      <w:r>
        <w:fldChar w:fldCharType="separate"/>
      </w:r>
      <w:r>
        <w:rPr>
          <w:b/>
        </w:rPr>
        <w:t xml:space="preserve">19</w:t>
      </w:r>
      <w:r>
        <w:fldChar w:fldCharType="end"/>
      </w:r>
      <w:bookmarkEnd w:id="216"/>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7" w:name="ref_sec_exp_discussion"/>
      <w:r>
        <w:t xml:space="preserve">4.9.</w:t>
      </w:r>
      <w:bookmarkEnd w:id="217"/>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w:t>
      </w:r>
      <w:r>
        <w:t xml:space="preserve"> </w:t>
      </w:r>
      <w:r>
        <w:t xml:space="preserve">at</w:t>
      </w:r>
      <w:r>
        <w:t xml:space="preserve"> </w:t>
      </w:r>
      <m:oMath>
        <m:r>
          <m:t>D</m:t>
        </m:r>
        <m:r>
          <m:rPr>
            <m:sty m:val="p"/>
          </m:rPr>
          <m:t>=</m:t>
        </m:r>
        <m:r>
          <m:t>100</m:t>
        </m:r>
      </m:oMath>
      <w:r>
        <w:t xml:space="preserve">. The comparators’ value is the family’s</w:t>
      </w:r>
      <w:r>
        <w:t xml:space="preserve"> </w:t>
      </w:r>
      <w:r>
        <w:t xml:space="preserve">reference-implementation setting, and the asymmetry was not a controlled</w:t>
      </w:r>
      <w:r>
        <w:t xml:space="preserve"> </w:t>
      </w:r>
      <w:r>
        <w:t xml:space="preserve">variable. 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without consulting either suite, so they were not used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8" w:name="ref_sec_conclusions"/>
      <w:r>
        <w:t xml:space="preserve">5.</w:t>
      </w:r>
      <w:bookmarkEnd w:id="218"/>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control-and-budget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strictly improving moves the run</w:t>
      </w:r>
      <w:r>
        <w:t xml:space="preserve"> </w:t>
      </w:r>
      <w:r>
        <w:t xml:space="preserve">has already 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its head-to-head records against eGSK at</w:t>
      </w:r>
      <w:r>
        <w:t xml:space="preserve"> </w:t>
      </w:r>
      <m:oMath>
        <m:r>
          <m:t>D</m:t>
        </m:r>
        <m:r>
          <m:rPr>
            <m:sty m:val="p"/>
          </m:rPr>
          <m:t>≥</m:t>
        </m:r>
        <m:r>
          <m:t>30</m:t>
        </m:r>
      </m:oMath>
      <w:r>
        <w:t xml:space="preserve"> </w:t>
      </w:r>
      <w:r>
        <w:t xml:space="preserve">are losing ones (11–2–16, 13–0–16, 12–0–17), and the</w:t>
      </w:r>
      <w:r>
        <w:t xml:space="preserve"> </w:t>
      </w:r>
      <w:r>
        <w:t xml:space="preserve">two algorithms are never Nemenyi-separable on this suite (all four rank</w:t>
      </w:r>
      <w:r>
        <w:t xml:space="preserve"> </w:t>
      </w:r>
      <w:r>
        <w:t xml:space="preserve">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No parameter-sensitivity study was performed: the tier constants are frozen</w:t>
      </w:r>
      <w:r>
        <w:t xml:space="preserve"> </w:t>
      </w:r>
      <w:r>
        <w:t xml:space="preserve">and hash-locked, and the individual influence of each is unmeasured. Neither</w:t>
      </w:r>
      <w:r>
        <w:t xml:space="preserve"> </w:t>
      </w:r>
      <w:r>
        <w:t xml:space="preserve">ARGP nor the deep-stall restart is isolated by the remove-one study, which</w:t>
      </w:r>
      <w:r>
        <w:t xml:space="preserve"> </w:t>
      </w:r>
      <w:r>
        <w:t xml:space="preserve">excludes both by pre-specification.</w:t>
      </w:r>
      <w:r>
        <w:t xml:space="preserve"> </w:t>
      </w: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reference implementation’s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 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S1–S8,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and the pre-registered CEC2020 confirmatory battery, reported with its registered outcome wording (S8).</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4"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DT-GSK</w:t>
      </w:r>
      <w:r>
        <w:t xml:space="preserve"> </w:t>
      </w:r>
      <w:r>
        <w:t xml:space="preserve">implementation, the benchmark harness for the CEC2017, CEC2011,</w:t>
      </w:r>
      <w:r>
        <w:t xml:space="preserve"> </w:t>
      </w:r>
      <w:r>
        <w:t xml:space="preserve">CEC2013, CEC2020 and CEC2013LSGO suites, the per-run raw result CSVs,</w:t>
      </w:r>
      <w:r>
        <w:t xml:space="preserve"> </w:t>
      </w:r>
      <w:r>
        <w:t xml:space="preserve">the seed schedules, and</w:t>
      </w:r>
      <w:r>
        <w:t xml:space="preserve"> </w:t>
      </w:r>
      <w:r>
        <w:t xml:space="preserve">the per-cell environment and verification manifests behind every</w:t>
      </w:r>
      <w:r>
        <w:t xml:space="preserve"> </w:t>
      </w:r>
      <w:r>
        <w:t xml:space="preserve">reported number are contained in the versioned, immutable evidence</w:t>
      </w:r>
      <w:r>
        <w:t xml:space="preserve"> </w:t>
      </w:r>
      <w:r>
        <w:t xml:space="preserve">releases accompanying this article: the primary release</w:t>
      </w:r>
      <w:r>
        <w:t xml:space="preserve"> </w:t>
      </w:r>
      <w:r>
        <w:t xml:space="preserve">rel-2026-07-20-67d9345f9 (CEC2017, CEC2011 and CEC2013) and the two</w:t>
      </w:r>
      <w:r>
        <w:t xml:space="preserve"> </w:t>
      </w:r>
      <w:r>
        <w:t xml:space="preserve">separate, non-superseding releases held apart from it in the</w:t>
      </w:r>
      <w:r>
        <w:t xml:space="preserve"> </w:t>
      </w:r>
      <w:r>
        <w:t xml:space="preserve">repository, lsgo-rel-2026-07-28-ff1a046ef (CEC2013LSGO) and</w:t>
      </w:r>
      <w:r>
        <w:t xml:space="preserve"> </w:t>
      </w:r>
      <w:r>
        <w:t xml:space="preserve">cec2020-rel-2026-07-29-5867abe1e (CEC2020). The complete implementation and evidence</w:t>
      </w:r>
      <w:r>
        <w:t xml:space="preserve"> </w:t>
      </w:r>
      <w:r>
        <w:t xml:space="preserve">tree are published in a public code repository and archived immutably at a</w:t>
      </w:r>
      <w:r>
        <w:t xml:space="preserve"> </w:t>
      </w:r>
      <w:r>
        <w:t xml:space="preserve">tagged release carrying a persistent digital object identifier; both locators</w:t>
      </w:r>
      <w:r>
        <w:t xml:space="preserve"> </w:t>
      </w:r>
      <w:r>
        <w:t xml:space="preserve">are supplied with the submission.</w:t>
      </w:r>
    </w:p>
    <w:p>
      <w:pPr>
        <w:pStyle w:val="BodyText"/>
      </w:pPr>
      <w:r>
        <w:t xml:space="preserve">All CEC2017, CEC2011 and CEC2013 values derive from the single primary</w:t>
      </w:r>
      <w:r>
        <w:t xml:space="preserve"> </w:t>
      </w:r>
      <w:r>
        <w:t xml:space="preserve">evidence release archived with this article,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named above, each with its own checksummed</w:t>
      </w:r>
      <w:r>
        <w:t xml:space="preserve"> </w:t>
      </w:r>
      <w:r>
        <w:t xml:space="preserve">manifest; and the derived statistical artifacts</w:t>
      </w:r>
      <w:r>
        <w:t xml:space="preserve"> </w:t>
      </w:r>
      <w:r>
        <w:t xml:space="preserve">behind every table and figure are versioned as checksummed analysis</w:t>
      </w:r>
      <w:r>
        <w:t xml:space="preserve"> </w:t>
      </w:r>
      <w:r>
        <w:t xml:space="preserve">bundles in the same repository.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repository also contains runnable</w:t>
      </w:r>
      <w:r>
        <w:t xml:space="preserve"> </w:t>
      </w:r>
      <w:r>
        <w:t xml:space="preserve">implementations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repository: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repository’s runbook</w:t>
      </w:r>
      <w:r>
        <w:t xml:space="preserve"> </w:t>
      </w:r>
      <w:r>
        <w:t xml:space="preserve">(runbook.md) 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released DT-GSK code is distributed under the MIT License</w:t>
      </w:r>
      <w:r>
        <w:t xml:space="preserve"> </w:t>
      </w:r>
      <w:r>
        <w:t xml:space="preserve">(see the repository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of this manuscript (2026), the authors used a large</w:t>
      </w:r>
      <w:r>
        <w:t xml:space="preserve"> </w:t>
      </w:r>
      <w:r>
        <w:t xml:space="preserve">language model (Claude Opus 4.6, 4.8 and 5.0, Anthropic) to assist with language</w:t>
      </w:r>
      <w:r>
        <w:t xml:space="preserve"> </w:t>
      </w:r>
      <w:r>
        <w:t xml:space="preserve">editing, rephrasing, the drafting of descriptive and expository prose</w:t>
      </w:r>
      <w:r>
        <w:t xml:space="preserve"> </w:t>
      </w:r>
      <w:r>
        <w:t xml:space="preserve">(for example, background and explanatory passages), and software-engineering</w:t>
      </w:r>
      <w:r>
        <w:t xml:space="preserve"> </w:t>
      </w:r>
      <w:r>
        <w:t xml:space="preserve">support during implementation and tooling work. The algorithm design and the</w:t>
      </w:r>
      <w:r>
        <w:t xml:space="preserve"> </w:t>
      </w:r>
      <w:r>
        <w:t xml:space="preserve">experimental protocol are the authors’ own, and every reported number was</w:t>
      </w:r>
      <w:r>
        <w:t xml:space="preserve"> </w:t>
      </w:r>
      <w:r>
        <w:t xml:space="preserve">produced by the authors’ deterministic analysis pipeline from a version-locked</w:t>
      </w:r>
      <w:r>
        <w:t xml:space="preserve"> </w:t>
      </w:r>
      <w:r>
        <w:t xml:space="preserve">evidence archive: the AI system designed no experiments, produced no data,</w:t>
      </w:r>
      <w:r>
        <w:t xml:space="preserve"> </w:t>
      </w:r>
      <w:r>
        <w:t xml:space="preserve">computed no statistics, and generated no scientific claim, result, or</w:t>
      </w:r>
      <w:r>
        <w:t xml:space="preserve"> </w:t>
      </w:r>
      <w:r>
        <w:t xml:space="preserve">conclusion, and no AI system is an author of this work. The authors have</w:t>
      </w:r>
      <w:r>
        <w:t xml:space="preserve"> </w:t>
      </w:r>
      <w:r>
        <w:t xml:space="preserve">critically reviewed, verified, and edited all AI-assisted text and code, and</w:t>
      </w:r>
      <w:r>
        <w:t xml:space="preserve"> </w:t>
      </w:r>
      <w:r>
        <w:t xml:space="preserve">take full responsibility for the content of this publication.</w:t>
      </w:r>
    </w:p>
    <w:bookmarkEnd w:id="104"/>
    <w:bookmarkStart w:id="105" w:name="acknowledgments"/>
    <w:p>
      <w:pPr>
        <w:pStyle w:val="Heading1"/>
      </w:pPr>
      <w:r>
        <w:t xml:space="preserve">Acknowledgments</w:t>
      </w:r>
    </w:p>
    <w:p>
      <w:pPr>
        <w:pStyle w:val="FirstParagraph"/>
      </w:pPr>
      <w:r>
        <w:t xml:space="preserve">During the preparation of this manuscript, the authors</w:t>
      </w:r>
      <w:r>
        <w:t xml:space="preserve"> </w:t>
      </w:r>
      <w:r>
        <w:t xml:space="preserve">used Claude Opus 4.6, 4.8 and 5.0 (Anthropic) for language editing, for drafting</w:t>
      </w:r>
      <w:r>
        <w:t xml:space="preserve"> </w:t>
      </w:r>
      <w:r>
        <w:t xml:space="preserve">descriptive text,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analysis,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5"/>
    <w:bookmarkStart w:id="106"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reference-implementation</w:t>
      </w:r>
      <w:r>
        <w:t xml:space="preserve"> </w:t>
      </w:r>
      <w:r>
        <w:t xml:space="preserve">configuration (Table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6"/>
    <w:bookmarkStart w:id="107"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Control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7"/>
    <w:bookmarkStart w:id="145"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8">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09">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0">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1">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2">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3">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4">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5">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6">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7">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8">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19">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0">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1">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2">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3">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4">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5">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6">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7">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8">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29">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0">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1">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2">
        <w:r>
          <w:rPr>
            <w:rStyle w:val="Hyperlink"/>
          </w:rPr>
          <w:t xml:space="preserve">10.1137/S0036144502428893</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3">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4">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5">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6">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7">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8">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39">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0">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1">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2">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3">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4">
        <w:r>
          <w:rPr>
            <w:rStyle w:val="Hyperlink"/>
          </w:rPr>
          <w:t xml:space="preserve">10.1109/4235.585893</w:t>
        </w:r>
      </w:hyperlink>
      <w:r>
        <w:t xml:space="preserve">.</w:t>
      </w:r>
    </w:p>
    <w:bookmarkEnd w:id="145"/>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5" Target="https://doi.org/10.1007/978-3-031-36622-2_25" TargetMode="External"/><Relationship Type="http://schemas.openxmlformats.org/officeDocument/2006/relationships/hyperlink" Id="rId113" Target="https://doi.org/10.1007/s00202-023-01803-9" TargetMode="External"/><Relationship Type="http://schemas.openxmlformats.org/officeDocument/2006/relationships/hyperlink" Id="rId108" Target="https://doi.org/10.1007/s10462-017-9605-z" TargetMode="External"/><Relationship Type="http://schemas.openxmlformats.org/officeDocument/2006/relationships/hyperlink" Id="rId117" Target="https://doi.org/10.1007/s10462-024-11096-4" TargetMode="External"/><Relationship Type="http://schemas.openxmlformats.org/officeDocument/2006/relationships/hyperlink" Id="rId136" Target="https://doi.org/10.1007/s10589-010-9329-3" TargetMode="External"/><Relationship Type="http://schemas.openxmlformats.org/officeDocument/2006/relationships/hyperlink" Id="rId110" Target="https://doi.org/10.1007/s13042-019-01053-x" TargetMode="External"/><Relationship Type="http://schemas.openxmlformats.org/officeDocument/2006/relationships/hyperlink" Id="rId119" Target="https://doi.org/10.1016/j.asoc.2021.107675" TargetMode="External"/><Relationship Type="http://schemas.openxmlformats.org/officeDocument/2006/relationships/hyperlink" Id="rId118" Target="https://doi.org/10.1016/j.eswa.2024.123958" TargetMode="External"/><Relationship Type="http://schemas.openxmlformats.org/officeDocument/2006/relationships/hyperlink" Id="rId114" Target="https://doi.org/10.1016/j.rico.2025.100542" TargetMode="External"/><Relationship Type="http://schemas.openxmlformats.org/officeDocument/2006/relationships/hyperlink" Id="rId109" Target="https://doi.org/10.1016/j.swevo.2019.04.008" TargetMode="External"/><Relationship Type="http://schemas.openxmlformats.org/officeDocument/2006/relationships/hyperlink" Id="rId135" Target="https://doi.org/10.1023/A:1008202821328" TargetMode="External"/><Relationship Type="http://schemas.openxmlformats.org/officeDocument/2006/relationships/hyperlink" Id="rId131" Target="https://doi.org/10.1023/A:1013689704352" TargetMode="External"/><Relationship Type="http://schemas.openxmlformats.org/officeDocument/2006/relationships/hyperlink" Id="rId139" Target="https://doi.org/10.1080/01621459.1937.10503522" TargetMode="External"/><Relationship Type="http://schemas.openxmlformats.org/officeDocument/2006/relationships/hyperlink" Id="rId133" Target="https://doi.org/10.1093/comjnl/7.4.308" TargetMode="External"/><Relationship Type="http://schemas.openxmlformats.org/officeDocument/2006/relationships/hyperlink" Id="rId144" Target="https://doi.org/10.1109/4235.585893" TargetMode="External"/><Relationship Type="http://schemas.openxmlformats.org/officeDocument/2006/relationships/hyperlink" Id="rId112" Target="https://doi.org/10.1109/ACCESS.2021.3076091" TargetMode="External"/><Relationship Type="http://schemas.openxmlformats.org/officeDocument/2006/relationships/hyperlink" Id="rId126" Target="https://doi.org/10.1109/CEC.2013.6557555" TargetMode="External"/><Relationship Type="http://schemas.openxmlformats.org/officeDocument/2006/relationships/hyperlink" Id="rId143" Target="https://doi.org/10.1109/CEC.2013.6557901" TargetMode="External"/><Relationship Type="http://schemas.openxmlformats.org/officeDocument/2006/relationships/hyperlink" Id="rId116" Target="https://doi.org/10.1109/CEC.2014.6900380" TargetMode="External"/><Relationship Type="http://schemas.openxmlformats.org/officeDocument/2006/relationships/hyperlink" Id="rId142" Target="https://doi.org/10.1109/CEC.2018.8477755" TargetMode="External"/><Relationship Type="http://schemas.openxmlformats.org/officeDocument/2006/relationships/hyperlink" Id="rId111" Target="https://doi.org/10.1109/CEC48606.2020.9185901" TargetMode="External"/><Relationship Type="http://schemas.openxmlformats.org/officeDocument/2006/relationships/hyperlink" Id="rId121" Target="https://doi.org/10.1109/NILES53778.2021.9600551" TargetMode="External"/><Relationship Type="http://schemas.openxmlformats.org/officeDocument/2006/relationships/hyperlink" Id="rId134" Target="https://doi.org/10.1109/TEVC.2009.2014613" TargetMode="External"/><Relationship Type="http://schemas.openxmlformats.org/officeDocument/2006/relationships/hyperlink" Id="rId127" Target="https://doi.org/10.1109/TEVC.2013.2281543" TargetMode="External"/><Relationship Type="http://schemas.openxmlformats.org/officeDocument/2006/relationships/hyperlink" Id="rId129" Target="https://doi.org/10.1109/TEVC.2013.2297160" TargetMode="External"/><Relationship Type="http://schemas.openxmlformats.org/officeDocument/2006/relationships/hyperlink" Id="rId141" Target="https://doi.org/10.1111/j.2517-6161.1995.tb02031.x" TargetMode="External"/><Relationship Type="http://schemas.openxmlformats.org/officeDocument/2006/relationships/hyperlink" Id="rId132" Target="https://doi.org/10.1137/S0036144502428893" TargetMode="External"/><Relationship Type="http://schemas.openxmlformats.org/officeDocument/2006/relationships/hyperlink" Id="rId130" Target="https://doi.org/10.1145/1389095.1389272" TargetMode="External"/><Relationship Type="http://schemas.openxmlformats.org/officeDocument/2006/relationships/hyperlink" Id="rId128" Target="https://doi.org/10.1162/106365601750190398" TargetMode="External"/><Relationship Type="http://schemas.openxmlformats.org/officeDocument/2006/relationships/hyperlink" Id="rId140" Target="https://doi.org/10.1201/9780429246593" TargetMode="External"/><Relationship Type="http://schemas.openxmlformats.org/officeDocument/2006/relationships/hyperlink" Id="rId122" Target="https://doi.org/10.1371/journal.pone.0250951" TargetMode="External"/><Relationship Type="http://schemas.openxmlformats.org/officeDocument/2006/relationships/hyperlink" Id="rId137" Target="https://doi.org/10.2307/3001968" TargetMode="External"/><Relationship Type="http://schemas.openxmlformats.org/officeDocument/2006/relationships/hyperlink" Id="rId138" Target="https://doi.org/10.3102/10769986025002101" TargetMode="External"/><Relationship Type="http://schemas.openxmlformats.org/officeDocument/2006/relationships/hyperlink" Id="rId115" Target="https://doi.org/10.3390/a18070398" TargetMode="External"/><Relationship Type="http://schemas.openxmlformats.org/officeDocument/2006/relationships/hyperlink" Id="rId120" Target="https://doi.org/10.3390/math11132953" TargetMode="External"/><Relationship Type="http://schemas.openxmlformats.org/officeDocument/2006/relationships/hyperlink" Id="rId124" Target="https://doi.org/10.3390/math11143092" TargetMode="External"/><Relationship Type="http://schemas.openxmlformats.org/officeDocument/2006/relationships/hyperlink" Id="rId123" Target="https://doi.org/10.3390/math12050636" TargetMode="External"/><Relationship Id="rId8001" Type="http://schemas.openxmlformats.org/officeDocument/2006/relationships/footer" Target="footer1.xml"/><Relationship Id="rId9001" Type="http://schemas.openxmlformats.org/officeDocument/2006/relationships/customXml" Target="../customXml/item1.xml"/></Relationships>
</file>

<file path=word/_rels/footnotes.xml.rels><?xml version="1.0" encoding="UTF-8"?><Relationships xmlns="http://schemas.openxmlformats.org/package/2006/relationships"><Relationship Type="http://schemas.openxmlformats.org/officeDocument/2006/relationships/hyperlink" Id="rId125" Target="https://doi.org/10.1007/978-3-031-36622-2_25" TargetMode="External" /><Relationship Type="http://schemas.openxmlformats.org/officeDocument/2006/relationships/hyperlink" Id="rId113" Target="https://doi.org/10.1007/s00202-023-01803-9" TargetMode="External" /><Relationship Type="http://schemas.openxmlformats.org/officeDocument/2006/relationships/hyperlink" Id="rId108" Target="https://doi.org/10.1007/s10462-017-9605-z" TargetMode="External" /><Relationship Type="http://schemas.openxmlformats.org/officeDocument/2006/relationships/hyperlink" Id="rId117" Target="https://doi.org/10.1007/s10462-024-11096-4" TargetMode="External" /><Relationship Type="http://schemas.openxmlformats.org/officeDocument/2006/relationships/hyperlink" Id="rId136" Target="https://doi.org/10.1007/s10589-010-9329-3" TargetMode="External" /><Relationship Type="http://schemas.openxmlformats.org/officeDocument/2006/relationships/hyperlink" Id="rId110" Target="https://doi.org/10.1007/s13042-019-01053-x" TargetMode="External" /><Relationship Type="http://schemas.openxmlformats.org/officeDocument/2006/relationships/hyperlink" Id="rId119" Target="https://doi.org/10.1016/j.asoc.2021.107675" TargetMode="External" /><Relationship Type="http://schemas.openxmlformats.org/officeDocument/2006/relationships/hyperlink" Id="rId118" Target="https://doi.org/10.1016/j.eswa.2024.123958" TargetMode="External" /><Relationship Type="http://schemas.openxmlformats.org/officeDocument/2006/relationships/hyperlink" Id="rId114" Target="https://doi.org/10.1016/j.rico.2025.100542" TargetMode="External" /><Relationship Type="http://schemas.openxmlformats.org/officeDocument/2006/relationships/hyperlink" Id="rId109" Target="https://doi.org/10.1016/j.swevo.2019.04.008" TargetMode="External" /><Relationship Type="http://schemas.openxmlformats.org/officeDocument/2006/relationships/hyperlink" Id="rId135" Target="https://doi.org/10.1023/A:1008202821328" TargetMode="External" /><Relationship Type="http://schemas.openxmlformats.org/officeDocument/2006/relationships/hyperlink" Id="rId131" Target="https://doi.org/10.1023/A:1013689704352" TargetMode="External" /><Relationship Type="http://schemas.openxmlformats.org/officeDocument/2006/relationships/hyperlink" Id="rId139" Target="https://doi.org/10.1080/01621459.1937.10503522" TargetMode="External" /><Relationship Type="http://schemas.openxmlformats.org/officeDocument/2006/relationships/hyperlink" Id="rId133" Target="https://doi.org/10.1093/comjnl/7.4.308" TargetMode="External" /><Relationship Type="http://schemas.openxmlformats.org/officeDocument/2006/relationships/hyperlink" Id="rId144" Target="https://doi.org/10.1109/4235.585893" TargetMode="External" /><Relationship Type="http://schemas.openxmlformats.org/officeDocument/2006/relationships/hyperlink" Id="rId112" Target="https://doi.org/10.1109/ACCESS.2021.3076091" TargetMode="External" /><Relationship Type="http://schemas.openxmlformats.org/officeDocument/2006/relationships/hyperlink" Id="rId126" Target="https://doi.org/10.1109/CEC.2013.6557555" TargetMode="External" /><Relationship Type="http://schemas.openxmlformats.org/officeDocument/2006/relationships/hyperlink" Id="rId143" Target="https://doi.org/10.1109/CEC.2013.6557901" TargetMode="External" /><Relationship Type="http://schemas.openxmlformats.org/officeDocument/2006/relationships/hyperlink" Id="rId116" Target="https://doi.org/10.1109/CEC.2014.6900380" TargetMode="External" /><Relationship Type="http://schemas.openxmlformats.org/officeDocument/2006/relationships/hyperlink" Id="rId142" Target="https://doi.org/10.1109/CEC.2018.8477755" TargetMode="External" /><Relationship Type="http://schemas.openxmlformats.org/officeDocument/2006/relationships/hyperlink" Id="rId111" Target="https://doi.org/10.1109/CEC48606.2020.9185901" TargetMode="External" /><Relationship Type="http://schemas.openxmlformats.org/officeDocument/2006/relationships/hyperlink" Id="rId121" Target="https://doi.org/10.1109/NILES53778.2021.9600551" TargetMode="External" /><Relationship Type="http://schemas.openxmlformats.org/officeDocument/2006/relationships/hyperlink" Id="rId134" Target="https://doi.org/10.1109/TEVC.2009.2014613" TargetMode="External" /><Relationship Type="http://schemas.openxmlformats.org/officeDocument/2006/relationships/hyperlink" Id="rId127" Target="https://doi.org/10.1109/TEVC.2013.2281543" TargetMode="External" /><Relationship Type="http://schemas.openxmlformats.org/officeDocument/2006/relationships/hyperlink" Id="rId129" Target="https://doi.org/10.1109/TEVC.2013.2297160" TargetMode="External" /><Relationship Type="http://schemas.openxmlformats.org/officeDocument/2006/relationships/hyperlink" Id="rId141" Target="https://doi.org/10.1111/j.2517-6161.1995.tb02031.x" TargetMode="External" /><Relationship Type="http://schemas.openxmlformats.org/officeDocument/2006/relationships/hyperlink" Id="rId132" Target="https://doi.org/10.1137/S0036144502428893" TargetMode="External" /><Relationship Type="http://schemas.openxmlformats.org/officeDocument/2006/relationships/hyperlink" Id="rId130" Target="https://doi.org/10.1145/1389095.1389272" TargetMode="External" /><Relationship Type="http://schemas.openxmlformats.org/officeDocument/2006/relationships/hyperlink" Id="rId128" Target="https://doi.org/10.1162/106365601750190398" TargetMode="External" /><Relationship Type="http://schemas.openxmlformats.org/officeDocument/2006/relationships/hyperlink" Id="rId140" Target="https://doi.org/10.1201/9780429246593" TargetMode="External" /><Relationship Type="http://schemas.openxmlformats.org/officeDocument/2006/relationships/hyperlink" Id="rId122" Target="https://doi.org/10.1371/journal.pone.0250951" TargetMode="External" /><Relationship Type="http://schemas.openxmlformats.org/officeDocument/2006/relationships/hyperlink" Id="rId137" Target="https://doi.org/10.2307/3001968" TargetMode="External" /><Relationship Type="http://schemas.openxmlformats.org/officeDocument/2006/relationships/hyperlink" Id="rId138" Target="https://doi.org/10.3102/10769986025002101" TargetMode="External" /><Relationship Type="http://schemas.openxmlformats.org/officeDocument/2006/relationships/hyperlink" Id="rId115" Target="https://doi.org/10.3390/a18070398" TargetMode="External" /><Relationship Type="http://schemas.openxmlformats.org/officeDocument/2006/relationships/hyperlink" Id="rId120" Target="https://doi.org/10.3390/math11132953" TargetMode="External" /><Relationship Type="http://schemas.openxmlformats.org/officeDocument/2006/relationships/hyperlink" Id="rId124" Target="https://doi.org/10.3390/math11143092" TargetMode="External" /><Relationship Type="http://schemas.openxmlformats.org/officeDocument/2006/relationships/hyperlink" Id="rId123" Target="https://doi.org/10.3390/math120506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https://doi.org/10.1137/S0036144502428893</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Control and Deterministic Refinement for Gaining-Sharing Knowledge Optimization</dc:title>
  <dc:creator>Mostafa Elsayed Masoud; Heba Sayed Mohamed Roshdy; Ali Wagdy Mohamed</dc:creator>
  <cp:keywords>metaheuristic optimization; gaining-sharing knowledge; dimension-tiered adaptive control; deterministic final refinement; adaptive operator selection; interaction-structure memory;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control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at one operating point. Dimension-Tiered Gaining-Sharing Knowledge (DT-GSK) instead resolves control by dimension: an adaptive scaffold serves every tier, a deterministic, budget-exact eigenframe refinement runs once from D = 50 upward, and the GSK vector-update equations are retained; an exploratory interaction-structure memory, learned from strictly improving accepted moves at no extra evaluations, supplies the refinement basis. Against six GSK-family baselines re-executed in-repository on CEC2017 (primary), CEC2011, CEC2013, CEC2020, and CEC2013LSGO under one budget-fair paired protocol, DT-GSK attains the best descriptive family-rank aggregate on CEC2017 (2.48) and CEC2013 (2.80); it is second behind eGSK at CEC2017’s D = 30 and on CEC2011; the CEC2011 loss is Holm-significant.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A direct isolation finds no detectable standalone benefit from that memory—a controlled negative result. All findings are scoped to the GSK-family panel.</vt:lpwstr>
  </property>
  <property fmtid="{D5CDD505-2E9C-101B-9397-08002B2CF9AE}" pid="3" name="date">
    <vt:lpwstr/>
  </property>
</Properties>
</file>