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no parameter-sensitivity study was performed: the tier constants</w:t>
      </w:r>
      <w:r>
        <w:t xml:space="preserve"> </w:t>
      </w:r>
      <w:r>
        <w:t xml:space="preserve">are frozen and hash-locked, and the individual influence of each is</w:t>
      </w:r>
      <w:r>
        <w:t xml:space="preserve"> </w:t>
      </w:r>
      <w:r>
        <w:t xml:space="preserve">unmeasured; neither ARGP nor the deep-stall restart is isolated by the</w:t>
      </w:r>
      <w:r>
        <w:t xml:space="preserve"> </w:t>
      </w:r>
      <w:r>
        <w:t xml:space="preserve">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 tuning</w:t>
      </w:r>
      <w:r>
        <w:t xml:space="preserve"> </w:t>
      </w:r>
      <w:r>
        <w:t xml:space="preserve">is required or permitted at run time; hash-frozen in</w:t>
      </w:r>
      <w:r>
        <w:t xml:space="preserve"> </w:t>
      </w:r>
      <w:r>
        <w:t xml:space="preserve">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tuning is required or permitted at run time;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trust-region budget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runtime-inert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guard; not an active mechanism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enters with initial probability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0.20</m:t>
        </m:r>
      </m:oMath>
      <w:r>
        <w:t xml:space="preserve"> </w:t>
      </w:r>
      <w:r>
        <w:t xml:space="preserve">by tier.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