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 the</w:t>
      </w:r>
      <w:r>
        <w:t xml:space="preserve"> </w:t>
      </w:r>
      <w:r>
        <w:t xml:space="preserve">Holm-corrected tests separate it from eGSK only at CEC2017’s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(a 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 and 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 its</w:t>
      </w:r>
      <w:r>
        <w:t xml:space="preserve"> </w:t>
      </w:r>
      <w:r>
        <w:t xml:space="preserve">basis is outperformed by coordinate axes—controlled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and report the</w:t>
      </w:r>
      <w:r>
        <w:t xml:space="preserve"> </w:t>
      </w:r>
      <w:r>
        <w:t xml:space="preserve">second as a controlled negative 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eigenframe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Eigenframe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(suite-dependent;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), seed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(allocated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</w:t>
      </w:r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a tier-dependent fraction of rows take a linkage block (learned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random otherwise, and only when the confidence gate passes); the remaining rows take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trial’s binomially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remaining budget   </w:t>
      </w:r>
      <m:oMath>
        <m:r>
          <m:rPr>
            <m:sty m:val="p"/>
          </m:rPr>
          <m:t>⊳</m:t>
        </m:r>
      </m:oMath>
      <w:r>
        <w:t xml:space="preserve"> unevaluated rows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slice, under the evaluation cap and past cooldown: charged coordinate local search on the elite rows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≥</m:t>
        </m:r>
        <m:r>
          <m:t>0.80</m:t>
        </m:r>
      </m:oMath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≥</m:t>
        </m:r>
        <m:r>
          <m:t>0.70</m:t>
        </m:r>
      </m:oMath>
      <w:r>
        <w:t xml:space="preserve"> </w:t>
      </w:r>
      <w:r>
        <w:t xml:space="preserve">above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cross-cutting, not a stage after the local search: they act at population reduction (subspace-sampling floor), trial construction (frozen-streak broaden and late linkage random-mix), acceptance (late-acceptance clip and basin-memory update), and escape (basin-novelty reseed); a budget/ROI gate additionally gates the local search (a matching hook exists on the escape but never blocks it in the frozen configuration).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budget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eigenframe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eigenframe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eigenframe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Eigenframe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eigenframe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The tie band itself affects no significance</w:t>
      </w:r>
      <w:r>
        <w:t xml:space="preserve"> </w:t>
      </w:r>
      <w:r>
        <w:t xml:space="preserve">decision, but this cross-function scale heterogeneity is a 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single</w:t>
      </w:r>
      <w:r>
        <w:t xml:space="preserve"> </w:t>
      </w:r>
      <w:r>
        <w:t xml:space="preserve">Holm-significant unfavorable headline cell in this study, and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addendum’s signing commit</w:t>
      </w:r>
      <w:r>
        <w:t xml:space="preserve"> </w:t>
      </w:r>
      <w:r>
        <w:t xml:space="preserve">precedes the first CEC2020 result;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that dimension,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M.E.M.;</w:t>
      </w:r>
      <w:r>
        <w:t xml:space="preserve"> </w:t>
      </w:r>
      <w:r>
        <w:t xml:space="preserve">methodology, M.E.M. and A.W.M.; software, M.E.M.;</w:t>
      </w:r>
      <w:r>
        <w:t xml:space="preserve"> </w:t>
      </w:r>
      <w:r>
        <w:t xml:space="preserve">formal analysis, M.E.M. and A.W.M.; investigation, M.E.M. and A.W.M.;</w:t>
      </w:r>
      <w:r>
        <w:t xml:space="preserve"> </w:t>
      </w:r>
      <w:r>
        <w:t xml:space="preserve">data curation, M.E.M. and A.W.M.;</w:t>
      </w:r>
      <w:r>
        <w:t xml:space="preserve"> </w:t>
      </w:r>
      <w:r>
        <w:t xml:space="preserve">writing—original draft preparation, M.E.M.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v2.24,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file; the two suites added after</w:t>
      </w:r>
      <w:r>
        <w:t xml:space="preserve"> </w:t>
      </w:r>
      <w:r>
        <w:t xml:space="preserve">that release was minted are carried by their own separate,</w:t>
      </w:r>
      <w:r>
        <w:t xml:space="preserve"> </w:t>
      </w:r>
      <w:r>
        <w:t xml:space="preserve">non-superseding releases, lsgo-rel-2026-07-28-ff1a046ef (CEC2013LSGO)</w:t>
      </w:r>
      <w:r>
        <w:t xml:space="preserve"> </w:t>
      </w:r>
      <w:r>
        <w:t xml:space="preserve">and cec2020-rel-2026-07-29-5867abe1e (CEC2020), each with its own</w:t>
      </w:r>
      <w:r>
        <w:t xml:space="preserve"> </w:t>
      </w:r>
      <w:r>
        <w:t xml:space="preserve">checksummed manifest; four of the mechanism-isolation experiments (E1–E4)</w:t>
      </w:r>
      <w:r>
        <w:t xml:space="preserve"> </w:t>
      </w:r>
      <w:r>
        <w:t xml:space="preserve">are carried by a fourth additive, non-superseding release,</w:t>
      </w:r>
      <w:r>
        <w:t xml:space="preserve"> </w:t>
      </w:r>
      <w:r>
        <w:t xml:space="preserve">rev-rel-2026-08-26-dd42d37eb, which</w:t>
      </w:r>
      <w:r>
        <w:t xml:space="preserve"> </w:t>
      </w:r>
      <w:r>
        <w:t xml:space="preserve">leaves every primary value unchanged; the dimension-boundary experiment (E5)</w:t>
      </w:r>
      <w:r>
        <w:t xml:space="preserve"> </w:t>
      </w:r>
      <w:r>
        <w:t xml:space="preserve">is carried by a fifth additive release,</w:t>
      </w:r>
      <w:r>
        <w:t xml:space="preserve"> </w:t>
      </w:r>
      <w:r>
        <w:t xml:space="preserve">rev2-rel-2026-08-28-203c78744, on the same terms; the identity re-execution</w:t>
      </w:r>
      <w:r>
        <w:t xml:space="preserve"> </w:t>
      </w:r>
      <w:r>
        <w:t xml:space="preserve">behind the Table A45 residual is carried by a further additive release,</w:t>
      </w:r>
      <w:r>
        <w:t xml:space="preserve"> </w:t>
      </w:r>
      <w:r>
        <w:t xml:space="preserve">g1-rel-2026-08-28-65b3d39e6; and the derived statistical artifacts</w:t>
      </w:r>
      <w:r>
        <w:t xml:space="preserve"> </w:t>
      </w:r>
      <w:r>
        <w:t xml:space="preserve">behind every table and figure are versioned as checksummed analysis</w:t>
      </w:r>
      <w:r>
        <w:t xml:space="preserve"> </w:t>
      </w:r>
      <w:r>
        <w:t xml:space="preserve">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the Holm-corrected tests separate it from eGSK only at CEC2017’s D = 10; it is second behind eGSK at D = 30 and on CEC2011 (a 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 and CEC2013 corroborative; CEC2020 pre-registered confirmatory; CEC2013LSGO post-hoc. Direct isolations find no standalone benefit from that memory; its basis is outperformed by coordinate axes—controlled negative results. All findings are scoped to the GSK-family panel.</vt:lpwstr>
  </property>
  <property fmtid="{D5CDD505-2E9C-101B-9397-08002B2CF9AE}" pid="3" name="date">
    <vt:lpwstr/>
  </property>
</Properties>
</file>