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51, and it leaves the dimension-tier boundaries</w:t>
      </w:r>
      <w:r>
        <w:t xml:space="preserve"> </w:t>
      </w:r>
      <w:r>
        <w:t xml:space="preserve">themselves unvaried, so their sensitivity is untested.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whose compound provenance that section</w:t>
      </w:r>
      <w:r>
        <w:t xml:space="preserve"> </w:t>
      </w:r>
      <w:r>
        <w:t xml:space="preserve">states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first-party ports of SHADE-ILS, MOS</w:t>
      </w:r>
      <w:r>
        <w:t xml:space="preserve"> </w:t>
      </w:r>
      <w:r>
        <w:t xml:space="preserve">and DECC-G, executed on 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a reader can</w:t>
      </w:r>
      <w:r>
        <w:t xml:space="preserve"> </w:t>
      </w:r>
      <w:r>
        <w:t xml:space="preserve">check that the unfavourable-outcome wording predates the outcomes rather than</w:t>
      </w:r>
      <w:r>
        <w:t xml:space="preserve"> </w:t>
      </w:r>
      <w:r>
        <w:t xml:space="preserve">take it on trust.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second. W/T/L counts functions,</w:t>
      </w:r>
      <w:r>
        <w:t xml:space="preserve"> </w:t>
      </w:r>
      <w:r>
        <w:t xml:space="preserve">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 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submitted manuscript disclosed but did not control.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submitted evidence never compared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</w:t>
      </w:r>
      <w:r>
        <w:t xml:space="preserve"> </w:t>
      </w:r>
      <w:r>
        <w:t xml:space="preserve">agree.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 three of four dimensions,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submitted manuscript already disclosed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Stability under a larger perturbation implies stability under a</w:t>
      </w:r>
      <w:r>
        <w:t xml:space="preserve"> </w:t>
      </w:r>
      <w:r>
        <w:t xml:space="preserve">smaller one, so the robustness reading holds for those cells in magnitude; what</w:t>
      </w:r>
      <w:r>
        <w:t xml:space="preserve"> </w:t>
      </w:r>
      <w:r>
        <w:t xml:space="preserve">is absent is coverage on the untested side, and no claim is made there.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paired 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