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87.png" ContentType="image/png"/>
  <Override PartName="/word/media/rId83.png" ContentType="image/png"/>
  <Override PartName="/word/media/rId64.png" ContentType="image/png"/>
  <Override PartName="/word/media/rId72.png" ContentType="image/png"/>
  <Override PartName="/word/media/rId59.png" ContentType="image/png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embeddings/visio_gsk.vsdx" ContentType="application/vnd.ms-visio.drawing"/>
  <Override PartName="/word/embeddings/visio_dtgsk.vsdx" ContentType="application/vnd.ms-visio.drawi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Article</w:t>
      </w:r>
    </w:p>
    <w:p>
      <w:pPr>
        <w:pStyle w:val="Title"/>
      </w:pPr>
      <w:r>
        <w:t xml:space="preserve">DT-GSK: Dimension-Tiered Adaptive Configuration Selection and Deterministic Refinement for Gaining-Sharing Knowledge Optimization</w:t>
      </w:r>
    </w:p>
    <w:p>
      <w:pPr>
        <w:pStyle w:val="Author"/>
      </w:pPr>
      <w:r>
        <w:t xml:space="preserve">Mostafa Elsayed Ahmed Masoud </w:t>
      </w:r>
      <w:r>
        <w:rPr>
          <w:vertAlign w:val="superscript"/>
        </w:rPr>
        <w:t xml:space="preserve">1,*</w:t>
      </w:r>
      <w:r>
        <w:t xml:space="preserve">, Heba Sayed Mohamed Roshdy </w:t>
      </w:r>
      <w:r>
        <w:rPr>
          <w:vertAlign w:val="superscript"/>
        </w:rPr>
        <w:t xml:space="preserve">1</w:t>
      </w:r>
      <w:r>
        <w:t xml:space="preserve"> and Ali Wagdy Mohamed </w:t>
      </w:r>
      <w:r>
        <w:rPr>
          <w:vertAlign w:val="superscript"/>
        </w:rPr>
        <w:t xml:space="preserve">1,2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Operations Research Department, Faculty of Graduate Studies for</w:t>
      </w:r>
      <w:r>
        <w:t xml:space="preserve"> </w:t>
      </w:r>
      <w:r>
        <w:t xml:space="preserve">Statistical Research, Cairo University, Giza 12613, Egypt;</w:t>
      </w:r>
      <w:r>
        <w:t xml:space="preserve"> </w:t>
      </w:r>
      <w:r>
        <w:t xml:space="preserve">moustafa.masoud@gmail.com (M.E.A.M. ORCID 0009-0003-8415-2158); hmhmdss@yahoo.com (H.S.M.R. ORCID 0000-0003-0387-5876); aliwagdy@gmail.com (A.W.M. ORCID 0000-0002-5895-2632)</w:t>
      </w:r>
      <w:r>
        <w:br/>
      </w:r>
      <w:r>
        <w:rPr>
          <w:vertAlign w:val="superscript"/>
        </w:rPr>
        <w:t xml:space="preserve">2</w:t>
      </w:r>
      <w:r>
        <w:t xml:space="preserve"> University of Science and Technology, Zewail City of Science and</w:t>
      </w:r>
      <w:r>
        <w:t xml:space="preserve"> </w:t>
      </w:r>
      <w:r>
        <w:t xml:space="preserve">Technology, 6th of October City, Giza 12588, Egypt</w:t>
      </w:r>
      <w:r>
        <w:br/>
      </w:r>
      <w:r>
        <w:t xml:space="preserve">* Correspondence: moustafa.masoud@gmail.com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Published gaining-sharing knowledge (GSK) variants adapt scalar parameters</w:t>
      </w:r>
      <w:r>
        <w:t xml:space="preserve"> </w:t>
      </w:r>
      <w:r>
        <w:t xml:space="preserve">and donor/selection policy to a single operating point. Dimension-Tiered</w:t>
      </w:r>
      <w:r>
        <w:t xml:space="preserve"> </w:t>
      </w:r>
      <w:r>
        <w:t xml:space="preserve">GSK (DT-GSK) selects its configuration by</w:t>
      </w:r>
      <w:r>
        <w:t xml:space="preserve"> </w:t>
      </w:r>
      <w:r>
        <w:t xml:space="preserve">dimension: an adaptive scaffold serves every tier, a deterministic,</w:t>
      </w:r>
      <w:r>
        <w:t xml:space="preserve"> </w:t>
      </w:r>
      <w:r>
        <w:t xml:space="preserve">budget-exact final refinement runs once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with the</w:t>
      </w:r>
      <w:r>
        <w:t xml:space="preserve"> </w:t>
      </w:r>
      <w:r>
        <w:t xml:space="preserve">GSK vector-update equations retained; an exploratory</w:t>
      </w:r>
      <w:r>
        <w:t xml:space="preserve"> </w:t>
      </w:r>
      <w:r>
        <w:t xml:space="preserve">interaction-structure memory supplies the refinement’s basis.</w:t>
      </w:r>
      <w:r>
        <w:t xml:space="preserve"> </w:t>
      </w:r>
      <w:r>
        <w:t xml:space="preserve">Against six GSK-family baselines re-executed on five CEC suites under one</w:t>
      </w:r>
      <w:r>
        <w:t xml:space="preserve"> </w:t>
      </w:r>
      <w:r>
        <w:t xml:space="preserve">budget-fair paired protocol, DT-GSK attains the best descriptive</w:t>
      </w:r>
      <w:r>
        <w:t xml:space="preserve"> </w:t>
      </w:r>
      <w:r>
        <w:t xml:space="preserve">family-rank aggregate on CEC2017 (2.48) and CEC2013 (2.80), though</w:t>
      </w:r>
      <w:r>
        <w:t xml:space="preserve"> </w:t>
      </w:r>
      <w:r>
        <w:t xml:space="preserve">Holm-corrected tests separate it from eGSK on either suite 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; it</w:t>
      </w:r>
      <w:r>
        <w:t xml:space="preserve"> </w:t>
      </w:r>
      <w:r>
        <w:t xml:space="preserve">is second behind eGSK at CEC2017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and on CEC2011 (Holm-significant</w:t>
      </w:r>
      <w:r>
        <w:t xml:space="preserve"> </w:t>
      </w:r>
      <w:r>
        <w:t xml:space="preserve">loss).</w:t>
      </w:r>
      <w:r>
        <w:t xml:space="preserve"> </w:t>
      </w:r>
      <w:r>
        <w:t xml:space="preserve">On AGSK’s strongest suite—the CEC2020 competition in which it was the</w:t>
      </w:r>
      <w:r>
        <w:t xml:space="preserve"> </w:t>
      </w:r>
      <w:r>
        <w:t xml:space="preserve">runner-up—DT-GSK places fourth; the family panel corroborates AGSK’s</w:t>
      </w:r>
      <w:r>
        <w:t xml:space="preserve"> </w:t>
      </w:r>
      <w:r>
        <w:t xml:space="preserve">published strength in this low-dimensional boundary regime, where</w:t>
      </w:r>
      <w:r>
        <w:t xml:space="preserve"> </w:t>
      </w:r>
      <w:r>
        <w:t xml:space="preserve">every dimension-gated DT-GSK subsystem is inactive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).</w:t>
      </w:r>
      <w:r>
        <w:t xml:space="preserve"> </w:t>
      </w:r>
      <w:r>
        <w:t xml:space="preserve">On CEC2013LSGO the comparison is family-internal: tied-first descriptive</w:t>
      </w:r>
      <w:r>
        <w:t xml:space="preserve"> </w:t>
      </w:r>
      <w:r>
        <w:t xml:space="preserve">rank; paired tests do not separate DT-GSK from</w:t>
      </w:r>
      <w:r>
        <w:t xml:space="preserve"> </w:t>
      </w:r>
      <w:r>
        <w:t xml:space="preserve">AGSK.</w:t>
      </w:r>
      <w:r>
        <w:t xml:space="preserve"> </w:t>
      </w:r>
      <w:r>
        <w:t xml:space="preserve">Suite roles: CEC2017 selection-exposed; CEC2011/CEC2013</w:t>
      </w:r>
      <w:r>
        <w:t xml:space="preserve"> </w:t>
      </w:r>
      <w:r>
        <w:t xml:space="preserve">corroborative; CEC2020 pre-registered confirmatory; CEC2013LSGO</w:t>
      </w:r>
      <w:r>
        <w:t xml:space="preserve"> </w:t>
      </w:r>
      <w:r>
        <w:t xml:space="preserve">post-hoc.</w:t>
      </w:r>
      <w:r>
        <w:t xml:space="preserve"> </w:t>
      </w:r>
      <w:r>
        <w:t xml:space="preserve">Direct isolations find no standalone benefit from that memory;</w:t>
      </w:r>
      <w:r>
        <w:t xml:space="preserve"> </w:t>
      </w:r>
      <w:r>
        <w:t xml:space="preserve">coordinate axes outperform its basis—controlled negative</w:t>
      </w:r>
      <w:r>
        <w:t xml:space="preserve"> </w:t>
      </w:r>
      <w:r>
        <w:t xml:space="preserve">results.</w:t>
      </w:r>
      <w:r>
        <w:t xml:space="preserve"> </w:t>
      </w:r>
      <w:r>
        <w:t xml:space="preserve">All findings are scoped to the GSK-family panel.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metaheuristic optimization;</w:t>
      </w:r>
      <w:r>
        <w:t xml:space="preserve"> </w:t>
      </w:r>
      <w:r>
        <w:t xml:space="preserve">gaining-sharing knowledge;</w:t>
      </w:r>
      <w:r>
        <w:t xml:space="preserve"> </w:t>
      </w:r>
      <w:r>
        <w:t xml:space="preserve">dimension-tiered adaptive configuration selection;</w:t>
      </w:r>
      <w:r>
        <w:t xml:space="preserve"> </w:t>
      </w:r>
      <w:r>
        <w:t xml:space="preserve">deterministic final refinement;</w:t>
      </w:r>
      <w:r>
        <w:t xml:space="preserve"> </w:t>
      </w:r>
      <w:r>
        <w:t xml:space="preserve">adaptive operator selection;</w:t>
      </w:r>
      <w:r>
        <w:t xml:space="preserve"> </w:t>
      </w:r>
      <w:r>
        <w:t xml:space="preserve">population-size reduction;</w:t>
      </w:r>
      <w:r>
        <w:t xml:space="preserve"> </w:t>
      </w:r>
      <w:r>
        <w:t xml:space="preserve">CEC benchmark suites;</w:t>
      </w:r>
      <w:r>
        <w:t xml:space="preserve"> </w:t>
      </w:r>
      <w:r>
        <w:t xml:space="preserve">nonparametric statistical comparison;</w:t>
      </w:r>
      <w:r>
        <w:t xml:space="preserve"> </w:t>
      </w:r>
      <w:r>
        <w:t xml:space="preserve">reproducibility</w:t>
      </w:r>
    </w:p>
    <w:bookmarkStart w:id="9" w:name="lbl_sec_introduction"/>
    <w:p>
      <w:pPr>
        <w:pStyle w:val="Heading1"/>
      </w:pPr>
      <w:bookmarkStart w:id="147" w:name="ref_sec_introduction"/>
      <w:r>
        <w:t xml:space="preserve">1.</w:t>
      </w:r>
      <w:bookmarkEnd w:id="147"/>
      <w:r>
        <w:tab/>
      </w:r>
      <w:r>
        <w:t xml:space="preserve"> Introduction</w:t>
      </w:r>
    </w:p>
    <w:p>
      <w:pPr>
        <w:pStyle w:val="FirstParagraph"/>
      </w:pPr>
      <w:r>
        <w:t xml:space="preserve">Bound-constrained continuous minimization under a hard evaluation</w:t>
      </w:r>
      <w:r>
        <w:t xml:space="preserve"> </w:t>
      </w:r>
      <w:r>
        <w:t xml:space="preserve">budget — no derivatives, a fixed cap on objective evaluations, and</w:t>
      </w:r>
      <w:r>
        <w:t xml:space="preserve"> </w:t>
      </w:r>
      <w:r>
        <w:t xml:space="preserve">landscapes that mix unimodal, multimodal, hybrid, and composition</w:t>
      </w:r>
      <w:r>
        <w:t xml:space="preserve"> </w:t>
      </w:r>
      <w:r>
        <w:t xml:space="preserve">structure — is the regime that the CEC benchmark protocols</w:t>
      </w:r>
      <w:r>
        <w:t xml:space="preserve"> </w:t>
      </w:r>
      <w:r>
        <w:t xml:space="preserve">formalize </w:t>
      </w:r>
      <w:r>
        <w:fldChar w:fldCharType="begin"/>
      </w:r>
      <w:r>
        <w:instrText xml:space="preserve"> CITATION awad2016problem \l 1033 \m das2011cec2011 </w:instrText>
      </w:r>
      <w:r>
        <w:fldChar w:fldCharType="separate"/>
      </w:r>
      <w:r>
        <w:t xml:space="preserve">[1,2]</w:t>
      </w:r>
      <w:r>
        <w:fldChar w:fldCharType="end"/>
      </w:r>
      <w:r>
        <w:t xml:space="preserve">.</w:t>
      </w:r>
      <w:r>
        <w:t xml:space="preserve"> </w:t>
      </w:r>
      <w:r>
        <w:t xml:space="preserve">Population metaheuristics are the standard instrument in this regime,</w:t>
      </w:r>
      <w:r>
        <w:t xml:space="preserve"> </w:t>
      </w:r>
      <w:r>
        <w:t xml:space="preserve">and the literature that produces them has grown to the point where its</w:t>
      </w:r>
      <w:r>
        <w:t xml:space="preserve"> </w:t>
      </w:r>
      <w:r>
        <w:t xml:space="preserve">own surveys ask for fewer new metaphors and for more rigorous,</w:t>
      </w:r>
      <w:r>
        <w:t xml:space="preserve"> </w:t>
      </w:r>
      <w:r>
        <w:t xml:space="preserve">statistically tested analysis of the algorithm families that already</w:t>
      </w:r>
      <w:r>
        <w:t xml:space="preserve"> </w:t>
      </w:r>
      <w:r>
        <w:t xml:space="preserve">exist </w:t>
      </w:r>
      <w:r>
        <w:fldChar w:fldCharType="begin"/>
      </w:r>
      <w:r>
        <w:instrText xml:space="preserve"> CITATION hussain2019metaheuristic \l 1033 \m del2019bio </w:instrText>
      </w:r>
      <w:r>
        <w:fldChar w:fldCharType="separate"/>
      </w:r>
      <w:r>
        <w:t xml:space="preserve">[3,4]</w:t>
      </w:r>
      <w:r>
        <w:fldChar w:fldCharType="end"/>
      </w:r>
      <w:r>
        <w:t xml:space="preserve">.</w:t>
      </w:r>
      <w:r>
        <w:t xml:space="preserve"> </w:t>
      </w:r>
      <w:r>
        <w:t xml:space="preserve">This paper follows that prescription. It stays inside one family — the</w:t>
      </w:r>
      <w:r>
        <w:t xml:space="preserve"> </w:t>
      </w:r>
      <w:r>
        <w:t xml:space="preserve">gaining-sharing knowledge (GSK) algorithm and its published descendants —</w:t>
      </w:r>
      <w:r>
        <w:t xml:space="preserve"> </w:t>
      </w:r>
      <w:r>
        <w:t xml:space="preserve">and asks a single design question. Published GSK variants adapt control to a single</w:t>
      </w:r>
      <w:r>
        <w:t xml:space="preserve"> </w:t>
      </w:r>
      <w:r>
        <w:t xml:space="preserve">operating point. Can control instead be resolved by</w:t>
      </w:r>
      <w:r>
        <w:t xml:space="preserve"> </w:t>
      </w:r>
      <w:r>
        <w:rPr>
          <w:i/>
          <w:iCs/>
        </w:rPr>
        <w:t xml:space="preserve">dimension</w:t>
      </w:r>
      <w:r>
        <w:t xml:space="preserve">, through</w:t>
      </w:r>
      <w:r>
        <w:t xml:space="preserve"> </w:t>
      </w:r>
      <w:r>
        <w:t xml:space="preserve">an adaptive scaffold that reconfigures per tier and is closed by a</w:t>
      </w:r>
      <w:r>
        <w:t xml:space="preserve"> </w:t>
      </w:r>
      <w:r>
        <w:t xml:space="preserve">deterministic, budget-exact refinement? And does that yield a measurable,</w:t>
      </w:r>
      <w:r>
        <w:t xml:space="preserve"> </w:t>
      </w:r>
      <w:r>
        <w:t xml:space="preserve">statistically defensible improvement within the family?</w:t>
      </w:r>
      <w:r>
        <w:t xml:space="preserve"> </w:t>
      </w:r>
      <w:r>
        <w:t xml:space="preserve">A second, subordinate question follows from the same design: whether a run’s</w:t>
      </w:r>
      <w:r>
        <w:t xml:space="preserve"> </w:t>
      </w:r>
      <w:r>
        <w:t xml:space="preserve">own accepted moves carry recoverable coordinate-interaction structure that</w:t>
      </w:r>
      <w:r>
        <w:t xml:space="preserve"> </w:t>
      </w:r>
      <w:r>
        <w:t xml:space="preserve">can be exploited at no extra objective evaluations, in particular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. We answer the first affirmatively at the dimensions</w:t>
      </w:r>
      <w:r>
        <w:t xml:space="preserve"> </w:t>
      </w:r>
      <w:r>
        <w:t xml:space="preserve">where tiering was demonstrated, and report the second as a controlled negative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GSK is a human-inspired metaheuristic whose junior and senior</w:t>
      </w:r>
      <w:r>
        <w:t xml:space="preserve"> </w:t>
      </w:r>
      <w:r>
        <w:t xml:space="preserve">knowledge-transfer phases define the base operator family studied in</w:t>
      </w:r>
      <w:r>
        <w:t xml:space="preserve"> </w:t>
      </w:r>
      <w:r>
        <w:t xml:space="preserve">this paper; every control parameter of the original algorithm is fixed</w:t>
      </w:r>
      <w:r>
        <w:t xml:space="preserve"> </w:t>
      </w:r>
      <w:r>
        <w:t xml:space="preserve">for the whole run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.</w:t>
      </w:r>
      <w:r>
        <w:t xml:space="preserve"> </w:t>
      </w:r>
      <w:r>
        <w:t xml:space="preserve">Its descendants attack that rigidity at the level of scalar parameters and</w:t>
      </w:r>
      <w:r>
        <w:t xml:space="preserve"> </w:t>
      </w:r>
      <w:r>
        <w:t xml:space="preserve">donor or selection policy. AGSK draws its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,</m:t>
        </m:r>
        <m:r>
          <m:t>K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settings from a</w:t>
      </w:r>
      <w:r>
        <w:t xml:space="preserve"> </w:t>
      </w:r>
      <w:r>
        <w:t xml:space="preserve">pool updated by success history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, and APGSK</w:t>
      </w:r>
      <w:r>
        <w:t xml:space="preserve"> </w:t>
      </w:r>
      <w:r>
        <w:t xml:space="preserve">extends those parameter-adaptation pools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. FDB-AGSK</w:t>
      </w:r>
      <w:r>
        <w:t xml:space="preserve"> </w:t>
      </w:r>
      <w:r>
        <w:t xml:space="preserve">replaces the senior-phase guide with fitness–distance-balance selection</w:t>
      </w:r>
      <w:r>
        <w:t xml:space="preserve"> </w:t>
      </w:r>
      <w:r>
        <w:t xml:space="preserve">after diagnosing premature convergence in its</w:t>
      </w:r>
      <w:r>
        <w:t xml:space="preserve"> </w:t>
      </w:r>
      <w:r>
        <w:t xml:space="preserve">predecessor </w:t>
      </w:r>
      <w:r>
        <w:fldChar w:fldCharType="begin"/>
      </w:r>
      <w:r>
        <w:instrText xml:space="preserve"> CITATION fdbagsk2023 \l 1033 </w:instrText>
      </w:r>
      <w:r>
        <w:fldChar w:fldCharType="separate"/>
      </w:r>
      <w:r>
        <w:t xml:space="preserve">[8]</w:t>
      </w:r>
      <w:r>
        <w:fldChar w:fldCharType="end"/>
      </w:r>
      <w:r>
        <w:t xml:space="preserve">. eGSK adds dual adaptive knowledge</w:t>
      </w:r>
      <w:r>
        <w:t xml:space="preserve"> </w:t>
      </w:r>
      <w:r>
        <w:t xml:space="preserve">factors and a late local polish that relies on a</w:t>
      </w:r>
      <w:r>
        <w:t xml:space="preserve"> </w:t>
      </w:r>
      <w:r>
        <w:t xml:space="preserve">sequential-quadratic-programming solver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. ATMALS-GSK</w:t>
      </w:r>
      <w:r>
        <w:t xml:space="preserve"> </w:t>
      </w:r>
      <w:r>
        <w:t xml:space="preserve">tunes its control parameters through a memory of recent enhancement rates,</w:t>
      </w:r>
      <w:r>
        <w:t xml:space="preserve"> </w:t>
      </w:r>
      <w:r>
        <w:t xml:space="preserve">plus a randomized local search whose computational overhead its authors</w:t>
      </w:r>
      <w:r>
        <w:t xml:space="preserve"> </w:t>
      </w:r>
      <w:r>
        <w:t xml:space="preserve">acknowledge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.</w:t>
      </w:r>
      <w:r>
        <w:t xml:space="preserve"> </w:t>
      </w:r>
      <w:r>
        <w:t xml:space="preserve">Each documented weakness in this lineage maps onto a named subsystem of</w:t>
      </w:r>
      <w:r>
        <w:t xml:space="preserve"> </w:t>
      </w:r>
      <w:r>
        <w:t xml:space="preserve">the algorithm proposed here. Brittle fixed control — the family’s</w:t>
      </w:r>
      <w:r>
        <w:t xml:space="preserve"> </w:t>
      </w:r>
      <w:r>
        <w:t xml:space="preserve">founding complaint — is answered by an operator-level, bandit-style</w:t>
      </w:r>
      <w:r>
        <w:t xml:space="preserve"> </w:t>
      </w:r>
      <w:r>
        <w:t xml:space="preserve">credit-based adaptive operator selector</w:t>
      </w:r>
      <w:r>
        <w:t xml:space="preserve"> </w:t>
      </w:r>
      <w:r>
        <w:t xml:space="preserve">with acceptance-gated pruning. Stagnation under GSK’s greedy</w:t>
      </w:r>
      <w:r>
        <w:t xml:space="preserve"> </w:t>
      </w:r>
      <w:r>
        <w:t xml:space="preserve">selection, the failure mode behind the family’s escape and local-search</w:t>
      </w:r>
      <w:r>
        <w:t xml:space="preserve"> </w:t>
      </w:r>
      <w:r>
        <w:t xml:space="preserve">additions, meets a hard-capped budget-safe escape and a restart</w:t>
      </w:r>
      <w:r>
        <w:t xml:space="preserve"> </w:t>
      </w:r>
      <w:r>
        <w:t xml:space="preserve">that can never lose the global best. Late refinement that depends on a</w:t>
      </w:r>
      <w:r>
        <w:t xml:space="preserve"> </w:t>
      </w:r>
      <w:r>
        <w:t xml:space="preserve">gradient-based solver or on randomized local search gives way to a</w:t>
      </w:r>
      <w:r>
        <w:t xml:space="preserve"> </w:t>
      </w:r>
      <w:r>
        <w:t xml:space="preserve">deterministic, one-shot final polish — the deterministic refinement of</w:t>
      </w:r>
      <w:r>
        <w:t xml:space="preserve"> </w:t>
      </w:r>
      <w:r>
        <w:t xml:space="preserve">the title, realized as the deterministic final polish (C1). And the weakness that no</w:t>
      </w:r>
      <w:r>
        <w:t xml:space="preserve"> </w:t>
      </w:r>
      <w:r>
        <w:t xml:space="preserve">descendant addresses — recombination that treats every coordinate</w:t>
      </w:r>
      <w:r>
        <w:t xml:space="preserve"> </w:t>
      </w:r>
      <w:r>
        <w:t xml:space="preserve">independently of the run’s own improvement history — is targeted by the</w:t>
      </w:r>
      <w:r>
        <w:t xml:space="preserve"> </w:t>
      </w:r>
      <w:r>
        <w:t xml:space="preserve">interaction-structure memory (ISM), which this paper evaluates as an</w:t>
      </w:r>
      <w:r>
        <w:t xml:space="preserve"> </w:t>
      </w:r>
      <w:r>
        <w:t xml:space="preserve">exploratory mechanism rather than as a source of the reported standing.</w:t>
      </w:r>
    </w:p>
    <w:p>
      <w:pPr>
        <w:pStyle w:val="BodyText"/>
      </w:pPr>
      <w:r>
        <w:t xml:space="preserve">The common boundary of the GSK-family variants cited in this paper is what</w:t>
      </w:r>
      <w:r>
        <w:t xml:space="preserve"> </w:t>
      </w:r>
      <w:r>
        <w:t xml:space="preserve">they adapt: scalar control parameters, donor and selection policy, or the</w:t>
      </w:r>
      <w:r>
        <w:t xml:space="preserve"> </w:t>
      </w:r>
      <w:r>
        <w:t xml:space="preserve">population’s composition. Within that cited family — surveyed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ref_sec_related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, of which six algorithms form this paper’s</w:t>
      </w:r>
      <w:r>
        <w:t xml:space="preserve"> </w:t>
      </w:r>
      <w:r>
        <w:t xml:space="preserve">comparison panel — none learns — or exploits —</w:t>
      </w:r>
      <w:r>
        <w:t xml:space="preserve"> </w:t>
      </w:r>
      <w:r>
        <w:t xml:space="preserve">the interaction structure of the moves the run has already</w:t>
      </w:r>
      <w:r>
        <w:t xml:space="preserve"> </w:t>
      </w:r>
      <w:r>
        <w:t xml:space="preserve">accepted.</w:t>
      </w:r>
      <w:r>
        <w:t xml:space="preserve"> </w:t>
      </w:r>
      <w:r>
        <w:t xml:space="preserve">Yet a run under greedy selection may leave recoverable traces of that</w:t>
      </w:r>
      <w:r>
        <w:t xml:space="preserve"> </w:t>
      </w:r>
      <w:r>
        <w:t xml:space="preserve">structure as a byproduct: every accepted move is a candidate signal about</w:t>
      </w:r>
      <w:r>
        <w:t xml:space="preserve"> </w:t>
      </w:r>
      <w:r>
        <w:t xml:space="preserve">which coordinate pairs co-move on improving steps, and the signal costs no</w:t>
      </w:r>
      <w:r>
        <w:t xml:space="preserve"> </w:t>
      </w:r>
      <w:r>
        <w:t xml:space="preserve">objective evaluations beyond those the run has already spent. Whether such</w:t>
      </w:r>
      <w:r>
        <w:t xml:space="preserve"> </w:t>
      </w:r>
      <w:r>
        <w:t xml:space="preserve">a signal, once recovered, improves the optimizer is a hypothesis this paper</w:t>
      </w:r>
      <w:r>
        <w:t xml:space="preserve"> </w:t>
      </w:r>
      <w:r>
        <w:t xml:space="preserve">tests; under the design reported here, and for GSK at these dimensions, it</w:t>
      </w:r>
      <w:r>
        <w:t xml:space="preserve"> </w:t>
      </w:r>
      <w:r>
        <w:t xml:space="preserve">finds no detectable improvement. This paper proposes</w:t>
      </w:r>
      <w:r>
        <w:t xml:space="preserve"> </w:t>
      </w:r>
      <w:r>
        <w:t xml:space="preserve">Dimension-Tiered Gaining-Sharing Knowledge (DT-GSK),</w:t>
      </w:r>
      <w:r>
        <w:t xml:space="preserve"> </w:t>
      </w:r>
      <w:r>
        <w:t xml:space="preserve">which layers an adaptive configuration-and-budget scaffold and a deterministic final polish on the gaining-sharing vector-update operator, leaving that core unchanged, and is assessed through a controlled family evaluation; an interaction-structure memory feeds the polish basis and block crossover as a supporting mechanism.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ref_sec_related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bounds this gap against structure-learning</w:t>
      </w:r>
      <w:r>
        <w:t xml:space="preserve"> </w:t>
      </w:r>
      <w:r>
        <w:t xml:space="preserve">approaches outside the family. The empirical question the paper answers</w:t>
      </w:r>
      <w:r>
        <w:t xml:space="preserve"> </w:t>
      </w:r>
      <w:r>
        <w:t xml:space="preserve">is deliberately bounded as well: within the seven-algorithm GSK-family</w:t>
      </w:r>
      <w:r>
        <w:t xml:space="preserve"> </w:t>
      </w:r>
      <w:r>
        <w:t xml:space="preserve">panel, under a budget-fair, reference-locked protocol, where does</w:t>
      </w:r>
      <w:r>
        <w:t xml:space="preserve"> </w:t>
      </w:r>
      <w:r>
        <w:t xml:space="preserve">DT-GSK stand, and how does that standing change across dimension</w:t>
      </w:r>
      <w:r>
        <w:t xml:space="preserve"> </w:t>
      </w:r>
      <w:r>
        <w:t xml:space="preserve">tiers?</w:t>
      </w:r>
    </w:p>
    <w:p>
      <w:pPr>
        <w:pStyle w:val="BodyText"/>
      </w:pPr>
      <w:r>
        <w:t xml:space="preserve">The contributions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C1 — a deterministic final polish.</w:t>
      </w:r>
      <w:r>
        <w:t xml:space="preserve"> </w:t>
      </w:r>
      <w:r>
        <w:t xml:space="preserve">A one-shot, RNG-free</w:t>
      </w:r>
      <w:r>
        <w:t xml:space="preserve"> </w:t>
      </w:r>
      <w:r>
        <w:t xml:space="preserve">deterministic compass search executed on the eigenbasis of the ISM</w:t>
      </w:r>
      <w:r>
        <w:t xml:space="preserve"> </w:t>
      </w:r>
      <w:r>
        <w:t xml:space="preserve">signed interaction matrix in the final budget slice (coordinate axes</w:t>
      </w:r>
      <w:r>
        <w:t xml:space="preserve"> </w:t>
      </w:r>
      <w:r>
        <w:t xml:space="preserve">when the graph carries no signal). Every probe is charged through</w:t>
      </w:r>
      <w:r>
        <w:t xml:space="preserve"> </w:t>
      </w:r>
      <w:r>
        <w:t xml:space="preserve">the strict budget-accounting path; the substreams driving the rest of</w:t>
      </w:r>
      <w:r>
        <w:t xml:space="preserve"> </w:t>
      </w:r>
      <w:r>
        <w:t xml:space="preserve">the run are byte-identical whether the polish fires or not (its own</w:t>
      </w:r>
      <w:r>
        <w:t xml:space="preserve"> </w:t>
      </w:r>
      <w:r>
        <w:t xml:space="preserve">probes still consume budget and can change the final incumbent); and</w:t>
      </w:r>
      <w:r>
        <w:t xml:space="preserve"> </w:t>
      </w:r>
      <w:r>
        <w:t xml:space="preserve">no convergence guarantee is claimed. The contribution is the deterministic</w:t>
      </w:r>
      <w:r>
        <w:t xml:space="preserve"> </w:t>
      </w:r>
      <w:r>
        <w:t xml:space="preserve">endgame itself, not the basis it searches along: a direct three-arm isolation</w:t>
      </w:r>
      <w:r>
        <w:t xml:space="preserve"> </w:t>
      </w:r>
      <w:r>
        <w:t xml:space="preserve">at fixed enablement (Supplementary Materials</w:t>
      </w:r>
      <w:r>
        <w:t xml:space="preserve"> </w:t>
      </w:r>
      <w:r>
        <w:t xml:space="preserve">Section S9.1) shows the endgame beating no refinement at</w:t>
      </w:r>
      <w:r>
        <w:t xml:space="preserve"> </w:t>
      </w:r>
      <w:r>
        <w:t xml:space="preserve">both active dimensions, while the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eigenbasis is beaten by the</w:t>
      </w:r>
      <w:r>
        <w:t xml:space="preserve"> </w:t>
      </w:r>
      <w:r>
        <w:t xml:space="preserve">plain coordinate axes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</w:t>
      </w:r>
      <w:r>
        <w:t xml:space="preserve"> </w:t>
      </w:r>
      <w:r>
        <w:t xml:space="preserve">and, under the stated tie rule,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as well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0.0489</m:t>
        </m:r>
      </m:oMath>
      <w:r>
        <w:t xml:space="preserve">). C1 is therefore claimed</w:t>
      </w:r>
      <w:r>
        <w:t xml:space="preserve"> </w:t>
      </w:r>
      <w:r>
        <w:t xml:space="preserve">basis-neutrally, and the eigenbasis is retained as a specified, reproducible</w:t>
      </w:r>
      <w:r>
        <w:t xml:space="preserve"> </w:t>
      </w:r>
      <w:r>
        <w:t xml:space="preserve">negative result rather than as a source of the</w:t>
      </w:r>
      <w:r>
        <w:t xml:space="preserve"> </w:t>
      </w:r>
      <w:r>
        <w:t xml:space="preserve">benefit.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C2 — a dimension-tiered adaptive scaffold.</w:t>
      </w:r>
      <w:r>
        <w:t xml:space="preserve"> </w:t>
      </w:r>
      <w:r>
        <w:t xml:space="preserve">The</w:t>
      </w:r>
      <w:r>
        <w:t xml:space="preserve"> </w:t>
      </w:r>
      <w:r>
        <w:t xml:space="preserve">Adaptive Configuration Engine (ACE), an exponential-moving-average</w:t>
      </w:r>
      <w:r>
        <w:t xml:space="preserve"> </w:t>
      </w:r>
      <w:r>
        <w:t xml:space="preserve">credit-based adaptive selector over a pool of complete operator settings, with</w:t>
      </w:r>
      <w:r>
        <w:t xml:space="preserve"> </w:t>
      </w:r>
      <w:r>
        <w:t xml:space="preserve">Acceptance-Rate Gated Pruning (ARGP) of unproductive arms; a</w:t>
      </w:r>
      <w:r>
        <w:t xml:space="preserve"> </w:t>
      </w:r>
      <w:r>
        <w:t xml:space="preserve">tier-floored Nonlinear Population-Size Reduction (NLPSR) schedule</w:t>
      </w:r>
      <w:r>
        <w:t xml:space="preserve"> </w:t>
      </w:r>
      <w:r>
        <w:t xml:space="preserve">— a variant of the APGSK NLPSR schedule, explicitly not claimed</w:t>
      </w:r>
      <w:r>
        <w:t xml:space="preserve"> </w:t>
      </w:r>
      <w:r>
        <w:t xml:space="preserve">as new; a hard-capped Budget-Safe Escape (BSE) seeded from a distance-filtered</w:t>
      </w:r>
      <w:r>
        <w:t xml:space="preserve"> </w:t>
      </w:r>
      <w:r>
        <w:t xml:space="preserve">diversity archive; and a deep-stall full restart (multi-start) that</w:t>
      </w:r>
      <w:r>
        <w:t xml:space="preserve"> </w:t>
      </w:r>
      <w:r>
        <w:t xml:space="preserve">preserves the global best.</w:t>
      </w:r>
      <w:r>
        <w:t xml:space="preserve"> </w:t>
      </w:r>
      <w:r>
        <w:t xml:space="preserve">ACE, NLPSR, BSE, the archive, and the restart modify cited</w:t>
      </w:r>
      <w:r>
        <w:t xml:space="preserve"> </w:t>
      </w:r>
      <w:r>
        <w:t xml:space="preserve">antecedents; we did not find ARGP’s acceptance-rate-gated arm-freezing</w:t>
      </w:r>
      <w:r>
        <w:t xml:space="preserve"> </w:t>
      </w:r>
      <w:r>
        <w:t xml:space="preserve">rule among the surveyed GSK variants. C2 is claimed for the dimensions where</w:t>
      </w:r>
      <w:r>
        <w:t xml:space="preserve"> </w:t>
      </w:r>
      <w:r>
        <w:t xml:space="preserve">tiering was demonstrated,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; the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tier is</w:t>
      </w:r>
      <w:r>
        <w:t xml:space="preserve"> </w:t>
      </w:r>
      <w:r>
        <w:t xml:space="preserve">disclosed as mis-specified (Section </w:t>
      </w:r>
      <w:r>
        <w:fldChar w:fldCharType="begin"/>
      </w:r>
      <w:r>
        <w:instrText xml:space="preserve"> REF ref_sec_alg_scaffold \h </w:instrText>
      </w:r>
      <w:r>
        <w:fldChar w:fldCharType="separate"/>
      </w:r>
      <w:r>
        <w:t xml:space="preserve">3.3</w:t>
      </w:r>
      <w:r>
        <w:fldChar w:fldCharType="end"/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C3 — a controlled, reproducible family evaluation.</w:t>
      </w:r>
      <w:r>
        <w:t xml:space="preserve"> </w:t>
      </w:r>
      <w:r>
        <w:t xml:space="preserve">A</w:t>
      </w:r>
      <w:r>
        <w:t xml:space="preserve"> </w:t>
      </w:r>
      <w:r>
        <w:t xml:space="preserve">13-substream, append-only, prefix-locked random-number layer makes</w:t>
      </w:r>
      <w:r>
        <w:t xml:space="preserve"> </w:t>
      </w:r>
      <w:r>
        <w:t xml:space="preserve">runs byte-stable and keeps each subsystem’s draws on a named</w:t>
      </w:r>
      <w:r>
        <w:t xml:space="preserve"> </w:t>
      </w:r>
      <w:r>
        <w:t xml:space="preserve">substream, so component-level re-evaluation is exact; paired optimizer-independent seeds, one</w:t>
      </w:r>
      <w:r>
        <w:t xml:space="preserve"> </w:t>
      </w:r>
      <w:r>
        <w:t xml:space="preserve">configuration fixed and verified by checksum, and versioned, immutable</w:t>
      </w:r>
      <w:r>
        <w:t xml:space="preserve"> </w:t>
      </w:r>
      <w:r>
        <w:t xml:space="preserve">evidence releases</w:t>
      </w:r>
      <w:r>
        <w:t xml:space="preserve"> </w:t>
      </w:r>
      <w:r>
        <w:t xml:space="preserve">bind every reported number to its release, from which the released</w:t>
      </w:r>
      <w:r>
        <w:t xml:space="preserve"> </w:t>
      </w:r>
      <w:r>
        <w:t xml:space="preserve">analysis pipeline re-derives it in the declared supported environment. DT-GSK is evaluated</w:t>
      </w:r>
      <w:r>
        <w:t xml:space="preserve"> </w:t>
      </w:r>
      <w:r>
        <w:t xml:space="preserve">against the original GSK and its five published descendants —</w:t>
      </w:r>
      <w:r>
        <w:t xml:space="preserve"> </w:t>
      </w:r>
      <w:r>
        <w:t xml:space="preserve">AGSK, APGSK, FDB-AGSK, eGSK, and ATMALS-GSK, which together</w:t>
      </w:r>
      <w:r>
        <w:t xml:space="preserve"> </w:t>
      </w:r>
      <w:r>
        <w:t xml:space="preserve">form the seven-algorithm GSK-family panel, every member of which was re-executed</w:t>
      </w:r>
      <w:r>
        <w:t xml:space="preserve"> </w:t>
      </w:r>
      <w:r>
        <w:t xml:space="preserve">in this repository under that single protocol and seed schedule rather</w:t>
      </w:r>
      <w:r>
        <w:t xml:space="preserve"> </w:t>
      </w:r>
      <w:r>
        <w:t xml:space="preserve">than quoted from its source publication — on five suites: the CEC2017</w:t>
      </w:r>
      <w:r>
        <w:t xml:space="preserve"> </w:t>
      </w:r>
      <w:r>
        <w:t xml:space="preserve">primary suite, the CEC2011 real-world optimization benchmark suite, the</w:t>
      </w:r>
      <w:r>
        <w:t xml:space="preserve"> </w:t>
      </w:r>
      <w:r>
        <w:t xml:space="preserve">CEC2013 second comparison suite, the CEC2020 bound-constrained suite</w:t>
      </w:r>
      <w:r>
        <w:t xml:space="preserve"> </w:t>
      </w:r>
      <w:r>
        <w:t xml:space="preserve">(pre-registered confirmatory), and the CEC2013LSGO large-scale suite</w:t>
      </w:r>
      <w:r>
        <w:t xml:space="preserve"> </w:t>
      </w:r>
      <w:r>
        <w:t xml:space="preserve">(family-internal, post-hoc). Every comparative finding in this paper is scoped to that</w:t>
      </w:r>
      <w:r>
        <w:t xml:space="preserve"> </w:t>
      </w:r>
      <w:r>
        <w:t xml:space="preserve">panel. The within-family scope is a design choice rather than an</w:t>
      </w:r>
      <w:r>
        <w:t xml:space="preserve"> </w:t>
      </w:r>
      <w:r>
        <w:t xml:space="preserve">omission — one code base, one budget protocol, and one evaluation</w:t>
      </w:r>
      <w:r>
        <w:t xml:space="preserve"> </w:t>
      </w:r>
      <w:r>
        <w:t xml:space="preserve">harness confine implementation and environment confounds to the</w:t>
      </w:r>
      <w:r>
        <w:t xml:space="preserve"> </w:t>
      </w:r>
      <w:r>
        <w:t xml:space="preserve">exceptions disclosed in Sections </w:t>
      </w:r>
      <w:r>
        <w:fldChar w:fldCharType="begin"/>
      </w:r>
      <w:r>
        <w:instrText xml:space="preserve"> REF ref_sec_experiments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</w:t>
      </w:r>
      <w:r>
        <w:t xml:space="preserve">and </w:t>
      </w:r>
      <w:r>
        <w:fldChar w:fldCharType="begin"/>
      </w:r>
      <w:r>
        <w:instrText xml:space="preserve"> REF ref_sec_conclusions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(the eGSK solver port and the documented</w:t>
      </w:r>
      <w:r>
        <w:t xml:space="preserve"> </w:t>
      </w:r>
      <w:r>
        <w:t xml:space="preserve">self-initialization). Reported deltas are therefore read as algorithmic</w:t>
      </w:r>
      <w:r>
        <w:t xml:space="preserve"> </w:t>
      </w:r>
      <w:r>
        <w:t xml:space="preserve">in origin, subject to those disclosed exceptions.</w:t>
      </w:r>
    </w:p>
    <w:p>
      <w:pPr>
        <w:pStyle w:val="FirstParagraph"/>
      </w:pPr>
      <w:r>
        <w:t xml:space="preserve">The interaction-structure memory is an online, decaying, evidence-gated coordinate-pair graph learned from strictly improving accepted moves without additional objective evaluations. It provides candidate linkage blocks for blockwise crossover and a candidate eigenbasis for the deterministic final polish (C1). However, the component isolation does not establish a consistent standalone performance contribution from ISM at the dimensions where it is active, and the function-class analysis reveals no systematic advantage on the hybrid or composition categories (Supplementary Materials, Sections S6.5 and S6.6). A direct basis isolation goes further: in the memory’s terminal exploitation channel, the polish basis, the learned eigenframe is outperformed by the plain coordinate axes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(Supplementary Materials, Section S9.1), so at that dimension the exploitation of the learned structure subtracts from a refinement that works without it. ISM is therefore positioned as a specified negative result rather than as a source of DT-GSK’s performance standing. Its inclusion provides a fully specified and reproducible investigation of structure learning from strictly improving accepted moves, while the paper’s principal contributions remain the dimension-tiered adaptive scaffold (C2), the deterministic final polish (C1), and the controlled, budget-fair family evaluation (C3).</w:t>
      </w:r>
    </w:p>
    <w:p>
      <w:pPr>
        <w:pStyle w:val="BodyText"/>
      </w:pPr>
      <w:r>
        <w:t xml:space="preserve">The remainder of the paper is organized as follows.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ref_sec_related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reviews the GSK family, positions the</w:t>
      </w:r>
      <w:r>
        <w:t xml:space="preserve"> </w:t>
      </w:r>
      <w:r>
        <w:t xml:space="preserve">interaction-structure memory against structure learning outside the</w:t>
      </w:r>
      <w:r>
        <w:t xml:space="preserve"> </w:t>
      </w:r>
      <w:r>
        <w:t xml:space="preserve">family, and states the resulting gaps. Section </w:t>
      </w:r>
      <w:r>
        <w:fldChar w:fldCharType="begin"/>
      </w:r>
      <w:r>
        <w:instrText xml:space="preserve"> REF ref_sec_algorithm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</w:t>
      </w:r>
      <w:r>
        <w:t xml:space="preserve">specifies DT-GSK: notation and the inherited base operators, the</w:t>
      </w:r>
      <w:r>
        <w:t xml:space="preserve"> </w:t>
      </w:r>
      <w:r>
        <w:t xml:space="preserve">adaptive scaffold, the interaction-structure memory and its</w:t>
      </w:r>
      <w:r>
        <w:t xml:space="preserve"> </w:t>
      </w:r>
      <w:r>
        <w:t xml:space="preserve">exploitation channels, the deterministic final polish, the frozen</w:t>
      </w:r>
      <w:r>
        <w:t xml:space="preserve"> </w:t>
      </w:r>
      <w:r>
        <w:t xml:space="preserve">configuration, and the complexity and evaluation accounting.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ref_sec_experiments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reports the experimental study on the</w:t>
      </w:r>
      <w:r>
        <w:t xml:space="preserve"> </w:t>
      </w:r>
      <w:r>
        <w:t xml:space="preserve">five suites, including the statistical analysis, the convergence</w:t>
      </w:r>
      <w:r>
        <w:t xml:space="preserve"> </w:t>
      </w:r>
      <w:r>
        <w:t xml:space="preserve">subset, and measured runtime. Section </w:t>
      </w:r>
      <w:r>
        <w:fldChar w:fldCharType="begin"/>
      </w:r>
      <w:r>
        <w:instrText xml:space="preserve"> REF ref_sec_conclusions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concludes</w:t>
      </w:r>
      <w:r>
        <w:t xml:space="preserve"> </w:t>
      </w:r>
      <w:r>
        <w:t xml:space="preserve">with limitations and future work.</w:t>
      </w:r>
    </w:p>
    <w:bookmarkEnd w:id="9"/>
    <w:bookmarkStart w:id="16" w:name="lbl_sec_related"/>
    <w:p>
      <w:pPr>
        <w:pStyle w:val="Heading1"/>
      </w:pPr>
      <w:bookmarkStart w:id="148" w:name="ref_sec_related"/>
      <w:r>
        <w:t xml:space="preserve">2.</w:t>
      </w:r>
      <w:bookmarkEnd w:id="148"/>
      <w:r>
        <w:tab/>
      </w:r>
      <w:r>
        <w:t xml:space="preserve"> Related Work</w:t>
      </w:r>
    </w:p>
    <w:p>
      <w:pPr>
        <w:pStyle w:val="FirstParagraph"/>
      </w:pPr>
      <w:bookmarkStart w:id="10" w:name="lbl_sec_literature"/>
      <w:bookmarkEnd w:id="10"/>
    </w:p>
    <w:p>
      <w:pPr>
        <w:pStyle w:val="BodyText"/>
      </w:pPr>
      <w:r>
        <w:t xml:space="preserve">Adaptation within the GSK family has been almost entirely scalar: each</w:t>
      </w:r>
      <w:r>
        <w:t xml:space="preserve"> </w:t>
      </w:r>
      <w:r>
        <w:t xml:space="preserve">published variant adapts</w:t>
      </w:r>
      <w:r>
        <w:t xml:space="preserve"> </w:t>
      </w:r>
      <w:r>
        <w:rPr>
          <w:i/>
          <w:iCs/>
        </w:rPr>
        <w:t xml:space="preserve">how strongly</w:t>
      </w:r>
      <w:r>
        <w:t xml:space="preserve"> </w:t>
      </w:r>
      <w:r>
        <w:t xml:space="preserve">to move — rates,</w:t>
      </w:r>
      <w:r>
        <w:t xml:space="preserve"> </w:t>
      </w:r>
      <w:r>
        <w:t xml:space="preserve">probabilities, population size — while the question of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coordinates</w:t>
      </w:r>
      <w:r>
        <w:t xml:space="preserve"> </w:t>
      </w:r>
      <w:r>
        <w:t xml:space="preserve">to move together is left to a fixed, dimension-blind rule.</w:t>
      </w:r>
      <w:r>
        <w:t xml:space="preserve"> </w:t>
      </w:r>
      <w:r>
        <w:t xml:space="preserve">The structure-learning literature outside the family answers that question,</w:t>
      </w:r>
      <w:r>
        <w:t xml:space="preserve"> </w:t>
      </w:r>
      <w:r>
        <w:t xml:space="preserve">but pays for it with dedicated objective evaluations or a full sampling</w:t>
      </w:r>
      <w:r>
        <w:t xml:space="preserve"> </w:t>
      </w:r>
      <w:r>
        <w:t xml:space="preserve">covariance. That gap — scalar control inside the family, evaluation-hungry</w:t>
      </w:r>
      <w:r>
        <w:t xml:space="preserve"> </w:t>
      </w:r>
      <w:r>
        <w:t xml:space="preserve">structure learning outside it — is what the following comparison</w:t>
      </w:r>
      <w:r>
        <w:t xml:space="preserve"> </w:t>
      </w:r>
      <w:r>
        <w:t xml:space="preserve">establishes, variant by variant (Table </w:t>
      </w:r>
      <w:r>
        <w:fldChar w:fldCharType="begin"/>
      </w:r>
      <w:r>
        <w:instrText xml:space="preserve"> REF ref_tab_family_review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 and against</w:t>
      </w:r>
      <w:r>
        <w:t xml:space="preserve"> </w:t>
      </w:r>
      <w:r>
        <w:t xml:space="preserve">the closest structure-learning lines on four dimensions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ref_tab_taxonomy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).</w:t>
      </w:r>
    </w:p>
    <w:bookmarkStart w:id="12" w:name="lbl_sec_rel_family"/>
    <w:p>
      <w:pPr>
        <w:pStyle w:val="Heading2"/>
      </w:pPr>
      <w:bookmarkStart w:id="149" w:name="ref_sec_rel_family"/>
      <w:r>
        <w:t xml:space="preserve">2.1.</w:t>
      </w:r>
      <w:bookmarkEnd w:id="149"/>
      <w:r>
        <w:tab/>
      </w:r>
      <w:r>
        <w:t xml:space="preserve"> The GSK Family: From Fixed Parameters to Adaptive Configuration</w:t>
      </w:r>
    </w:p>
    <w:p>
      <w:pPr>
        <w:pStyle w:val="FirstParagraph"/>
      </w:pPr>
      <w:r>
        <w:t xml:space="preserve">The gaining-sharing knowledge algorithm (GSK) is a human-inspired</w:t>
      </w:r>
      <w:r>
        <w:t xml:space="preserve"> </w:t>
      </w:r>
      <w:r>
        <w:t xml:space="preserve">metaheuristic whose junior and senior knowledge-transfer phases define</w:t>
      </w:r>
      <w:r>
        <w:t xml:space="preserve"> </w:t>
      </w:r>
      <w:r>
        <w:t xml:space="preserve">the base operator family studied in this</w:t>
      </w:r>
      <w:r>
        <w:t xml:space="preserve"> </w:t>
      </w:r>
      <w:r>
        <w:t xml:space="preserve">paper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.</w:t>
      </w:r>
      <w:r>
        <w:t xml:space="preserve"> </w:t>
      </w:r>
      <w:r>
        <w:t xml:space="preserve">Each individual learns from its fitness-ranked neighbors in the junior</w:t>
      </w:r>
      <w:r>
        <w:t xml:space="preserve"> </w:t>
      </w:r>
      <w:r>
        <w:t xml:space="preserve">phase and from the elite, middle, and bottom strata in the senior phase;</w:t>
      </w:r>
      <w:r>
        <w:t xml:space="preserve"> </w:t>
      </w:r>
      <w:r>
        <w:t xml:space="preserve">a knowledge-rate exponent shifts the per-dimension balance between the</w:t>
      </w:r>
      <w:r>
        <w:t xml:space="preserve"> </w:t>
      </w:r>
      <w:r>
        <w:t xml:space="preserve">two over the run. Its original evaluation ranked it first on the CEC2017</w:t>
      </w:r>
      <w:r>
        <w:t xml:space="preserve"> </w:t>
      </w:r>
      <w:r>
        <w:t xml:space="preserve">score metric against ten classical and recent metaheuristics, and third</w:t>
      </w:r>
      <w:r>
        <w:t xml:space="preserve"> </w:t>
      </w:r>
      <w:r>
        <w:t xml:space="preserve">by Friedman rank on the 22 CEC2011 real-world</w:t>
      </w:r>
      <w:r>
        <w:t xml:space="preserve"> </w:t>
      </w:r>
      <w:r>
        <w:t xml:space="preserve">problems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.</w:t>
      </w:r>
      <w:r>
        <w:t xml:space="preserve"> </w:t>
      </w:r>
      <w:r>
        <w:t xml:space="preserve">Every control parameter is fixed for the whole run</w:t>
      </w:r>
      <w:r>
        <w:t xml:space="preserve"> </w:t>
      </w:r>
      <w:r>
        <w:t xml:space="preserve">(</w:t>
      </w:r>
      <m:oMath>
        <m:r>
          <m:t>K</m:t>
        </m:r>
        <m:r>
          <m:t>F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K</m:t>
        </m:r>
        <m:r>
          <m:t>R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) — the limitation that later</w:t>
      </w:r>
      <w:r>
        <w:t xml:space="preserve"> </w:t>
      </w:r>
      <w:r>
        <w:t xml:space="preserve">family papers identify as its central</w:t>
      </w:r>
      <w:r>
        <w:t xml:space="preserve"> </w:t>
      </w:r>
      <w:r>
        <w:t xml:space="preserve">weakness.</w:t>
      </w:r>
    </w:p>
    <w:p>
      <w:pPr>
        <w:pStyle w:val="BodyText"/>
      </w:pPr>
      <w:r>
        <w:t xml:space="preserve">The descendants attack that weakness at three levels: parameter</w:t>
      </w:r>
      <w:r>
        <w:t xml:space="preserve"> </w:t>
      </w:r>
      <w:r>
        <w:t xml:space="preserve">adaptation, donor policy, and composite designs that add memory or a</w:t>
      </w:r>
      <w:r>
        <w:t xml:space="preserve"> </w:t>
      </w:r>
      <w:r>
        <w:t xml:space="preserve">local search. AGSK introduced the family’s first adaptive parameter</w:t>
      </w:r>
      <w:r>
        <w:t xml:space="preserve"> </w:t>
      </w:r>
      <w:r>
        <w:t xml:space="preserve">control: each individual draws its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,</m:t>
        </m:r>
        <m:r>
          <m:t>K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pair from a</w:t>
      </w:r>
      <w:r>
        <w:t xml:space="preserve"> </w:t>
      </w:r>
      <w:r>
        <w:t xml:space="preserve">four-setting pool whose probabilities are updated from realized fitness</w:t>
      </w:r>
      <w:r>
        <w:t xml:space="preserve"> </w:t>
      </w:r>
      <w:r>
        <w:t xml:space="preserve">improvements, combined with a dual-regime knowledge rate and linear</w:t>
      </w:r>
      <w:r>
        <w:t xml:space="preserve"> </w:t>
      </w:r>
      <w:r>
        <w:t xml:space="preserve">population-size reduction in the L-SHADE</w:t>
      </w:r>
      <w:r>
        <w:t xml:space="preserve"> </w:t>
      </w:r>
      <w:r>
        <w:t xml:space="preserve">lineage </w:t>
      </w:r>
      <w:r>
        <w:fldChar w:fldCharType="begin"/>
      </w:r>
      <w:r>
        <w:instrText xml:space="preserve"> CITATION mohamed2020agsk \l 1033 \m tanabe2014improving </w:instrText>
      </w:r>
      <w:r>
        <w:fldChar w:fldCharType="separate"/>
      </w:r>
      <w:r>
        <w:t xml:space="preserve">[6,11]</w:t>
      </w:r>
      <w:r>
        <w:fldChar w:fldCharType="end"/>
      </w:r>
      <w:r>
        <w:t xml:space="preserve">.</w:t>
      </w:r>
      <w:r>
        <w:t xml:space="preserve"> </w:t>
      </w:r>
      <w:r>
        <w:t xml:space="preserve">The adaptation, however, selects among four predefined scalar settings,</w:t>
      </w:r>
      <w:r>
        <w:t xml:space="preserve"> </w:t>
      </w:r>
      <w:r>
        <w:t xml:space="preserve">and the evidence is confined to the ten CEC2020 functions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under budgets far larger, relative to dimension, than the</w:t>
      </w:r>
      <w:r>
        <w:t xml:space="preserve"> </w:t>
      </w:r>
      <w:r>
        <w:t xml:space="preserve">CEC2017 protocol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.</w:t>
      </w:r>
      <w:r>
        <w:t xml:space="preserve"> </w:t>
      </w:r>
      <w:r>
        <w:t xml:space="preserve">APGSK extended the same machinery with a second,</w:t>
      </w:r>
      <w:r>
        <w:t xml:space="preserve"> </w:t>
      </w:r>
      <w:r>
        <w:t xml:space="preserve">negative-knowledge-factor pool activated after half the budget to</w:t>
      </w:r>
      <w:r>
        <w:t xml:space="preserve"> </w:t>
      </w:r>
      <w:r>
        <w:t xml:space="preserve">re-diversify the population, a nonlinear population-size reduction</w:t>
      </w:r>
      <w:r>
        <w:t xml:space="preserve"> </w:t>
      </w:r>
      <w:r>
        <w:t xml:space="preserve">schedule, an adaptive knowledge rate, and a much larger initial</w:t>
      </w:r>
      <w:r>
        <w:t xml:space="preserve"> </w:t>
      </w:r>
      <w:r>
        <w:t xml:space="preserve">population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.</w:t>
      </w:r>
      <w:r>
        <w:t xml:space="preserve"> </w:t>
      </w:r>
      <w:r>
        <w:t xml:space="preserve">Its evidence base remains CEC2020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, where its comparisons</w:t>
      </w:r>
      <w:r>
        <w:t xml:space="preserve"> </w:t>
      </w:r>
      <w:r>
        <w:t xml:space="preserve">against the CEC2020 winners show no statistically significant pairwise</w:t>
      </w:r>
      <w:r>
        <w:t xml:space="preserve"> </w:t>
      </w:r>
      <w:r>
        <w:t xml:space="preserve">differences; what is adapted is still scalar parameter values, not where</w:t>
      </w:r>
      <w:r>
        <w:t xml:space="preserve"> </w:t>
      </w:r>
      <w:r>
        <w:t xml:space="preserve">in the coordinate space the operators</w:t>
      </w:r>
      <w:r>
        <w:t xml:space="preserve"> </w:t>
      </w:r>
      <w:r>
        <w:t xml:space="preserve">act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FDB-AGSK redesigned AGSK’s donor policy instead of its parameters:</w:t>
      </w:r>
      <w:r>
        <w:t xml:space="preserve"> </w:t>
      </w:r>
      <w:r>
        <w:t xml:space="preserve">the senior-phase guide is replaced by fitness–distance-balance</w:t>
      </w:r>
      <w:r>
        <w:t xml:space="preserve"> </w:t>
      </w:r>
      <w:r>
        <w:t xml:space="preserve">selection, motivated by an explicit diagnosis of AGSK’s premature</w:t>
      </w:r>
      <w:r>
        <w:t xml:space="preserve"> </w:t>
      </w:r>
      <w:r>
        <w:t xml:space="preserve">convergence on multimodal, hybrid, and composition</w:t>
      </w:r>
      <w:r>
        <w:t xml:space="preserve"> </w:t>
      </w:r>
      <w:r>
        <w:t xml:space="preserve">functions </w:t>
      </w:r>
      <w:r>
        <w:fldChar w:fldCharType="begin"/>
      </w:r>
      <w:r>
        <w:instrText xml:space="preserve"> CITATION fdbagsk2023 \l 1033 </w:instrText>
      </w:r>
      <w:r>
        <w:fldChar w:fldCharType="separate"/>
      </w:r>
      <w:r>
        <w:t xml:space="preserve">[8]</w:t>
      </w:r>
      <w:r>
        <w:fldChar w:fldCharType="end"/>
      </w:r>
      <w:r>
        <w:t xml:space="preserve">.</w:t>
      </w:r>
      <w:r>
        <w:t xml:space="preserve"> </w:t>
      </w:r>
      <w:r>
        <w:t xml:space="preserve">The change concerns which individuals knowledge flows</w:t>
      </w:r>
      <w:r>
        <w:t xml:space="preserve"> </w:t>
      </w:r>
      <w:r>
        <w:rPr>
          <w:i/>
          <w:iCs/>
        </w:rPr>
        <w:t xml:space="preserve">from</w:t>
      </w:r>
      <w:r>
        <w:t xml:space="preserve">, not</w:t>
      </w:r>
      <w:r>
        <w:t xml:space="preserve"> </w:t>
      </w:r>
      <w:r>
        <w:t xml:space="preserve">which coordinates move</w:t>
      </w:r>
      <w:r>
        <w:t xml:space="preserve"> </w:t>
      </w:r>
      <w:r>
        <w:rPr>
          <w:i/>
          <w:iCs/>
        </w:rPr>
        <w:t xml:space="preserve">together</w:t>
      </w:r>
      <w:r>
        <w:t xml:space="preserve">; and its benchmark evaluation</w:t>
      </w:r>
      <w:r>
        <w:t xml:space="preserve"> </w:t>
      </w:r>
      <w:r>
        <w:t xml:space="preserve">used a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budget — one tenth of the standard protocol —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against AGSK variants only,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untested </w:t>
      </w:r>
      <w:r>
        <w:fldChar w:fldCharType="begin"/>
      </w:r>
      <w:r>
        <w:instrText xml:space="preserve"> CITATION fdbagsk2023 \l 1033 </w:instrText>
      </w:r>
      <w:r>
        <w:fldChar w:fldCharType="separate"/>
      </w:r>
      <w:r>
        <w:t xml:space="preserve">[8]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The two composite variants add memory and local refinement. ATMALS-GSK</w:t>
      </w:r>
      <w:r>
        <w:t xml:space="preserve"> </w:t>
      </w:r>
      <w:r>
        <w:t xml:space="preserve">auto-tunes five control parameters (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  <m:r>
          <m:t>F</m:t>
        </m:r>
      </m:oMath>
      <w:r>
        <w:t xml:space="preserve">,</w:t>
      </w:r>
      <w:r>
        <w:t xml:space="preserve"> </w:t>
      </w:r>
      <m:oMath>
        <m:r>
          <m:t>K</m:t>
        </m:r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and a</w:t>
      </w:r>
      <w:r>
        <w:t xml:space="preserve"> </w:t>
      </w:r>
      <w:r>
        <w:t xml:space="preserve">local-search probability) through Gaussian-weighted enhancement rates</w:t>
      </w:r>
      <w:r>
        <w:t xml:space="preserve"> </w:t>
      </w:r>
      <w:r>
        <w:t xml:space="preserve">accumulated in an exponentially weighted moving-average (EWMA) memory and</w:t>
      </w:r>
      <w:r>
        <w:t xml:space="preserve"> </w:t>
      </w:r>
      <w:r>
        <w:t xml:space="preserve">sampled by powered roulette-wheel selection, plus a shrinking-range</w:t>
      </w:r>
      <w:r>
        <w:t xml:space="preserve"> </w:t>
      </w:r>
      <w:r>
        <w:t xml:space="preserve">local search on a small population</w:t>
      </w:r>
      <w:r>
        <w:t xml:space="preserve"> </w:t>
      </w:r>
      <w:r>
        <w:t xml:space="preserve">fraction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.</w:t>
      </w:r>
      <w:r>
        <w:t xml:space="preserve"> </w:t>
      </w:r>
      <w:r>
        <w:t xml:space="preserve">Within the GSK family as measured in that study, it ranks first on</w:t>
      </w:r>
      <w:r>
        <w:t xml:space="preserve"> </w:t>
      </w:r>
      <w:r>
        <w:t xml:space="preserve">CEC2017 with eGSK second, its advantage growing with dimension while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remains only competitive; its authors acknowledge the</w:t>
      </w:r>
      <w:r>
        <w:t xml:space="preserve"> </w:t>
      </w:r>
      <w:r>
        <w:t xml:space="preserve">computational overhead of the memory machinery and local</w:t>
      </w:r>
      <w:r>
        <w:t xml:space="preserve"> </w:t>
      </w:r>
      <w:r>
        <w:t xml:space="preserve">search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.</w:t>
      </w:r>
      <w:r>
        <w:t xml:space="preserve"> </w:t>
      </w:r>
      <w:r>
        <w:t xml:space="preserve">Yet what that memory stores is which</w:t>
      </w:r>
      <w:r>
        <w:t xml:space="preserve"> </w:t>
      </w:r>
      <w:r>
        <w:rPr>
          <w:i/>
          <w:iCs/>
        </w:rPr>
        <w:t xml:space="preserve">parameter values</w:t>
      </w:r>
      <w:r>
        <w:t xml:space="preserve"> </w:t>
      </w:r>
      <w:r>
        <w:t xml:space="preserve">recently</w:t>
      </w:r>
      <w:r>
        <w:t xml:space="preserve"> </w:t>
      </w:r>
      <w:r>
        <w:t xml:space="preserve">produced improvement — a hyperparameter memory; it carries no</w:t>
      </w:r>
      <w:r>
        <w:t xml:space="preserve"> </w:t>
      </w:r>
      <w:r>
        <w:t xml:space="preserve">information about which coordinate pairs co-improve. eGSK layers</w:t>
      </w:r>
      <w:r>
        <w:t xml:space="preserve"> </w:t>
      </w:r>
      <w:r>
        <w:t xml:space="preserve">three mechanisms on the base operator: a population-sum selection</w:t>
      </w:r>
      <w:r>
        <w:t xml:space="preserve"> </w:t>
      </w:r>
      <w:r>
        <w:t xml:space="preserve">criterion, phase-specific self-adaptive knowledge factors activated</w:t>
      </w:r>
      <w:r>
        <w:t xml:space="preserve"> </w:t>
      </w:r>
      <w:r>
        <w:t xml:space="preserve">after 75% of the budget, and a sequential-quadratic-programming (SQP)</w:t>
      </w:r>
      <w:r>
        <w:t xml:space="preserve"> </w:t>
      </w:r>
      <w:r>
        <w:t xml:space="preserve">escape triggered in the same late</w:t>
      </w:r>
      <w:r>
        <w:t xml:space="preserve"> </w:t>
      </w:r>
      <w:r>
        <w:t xml:space="preserve">window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.</w:t>
      </w:r>
      <w:r>
        <w:t xml:space="preserve"> </w:t>
      </w:r>
      <w:r>
        <w:t xml:space="preserve">In its own CEC2017 study it leads the compared family variants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but is competitive-only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where it is</w:t>
      </w:r>
      <w:r>
        <w:t xml:space="preserve"> </w:t>
      </w:r>
      <w:r>
        <w:t xml:space="preserve">significantly worse than</w:t>
      </w:r>
      <w:r>
        <w:t xml:space="preserve"> </w:t>
      </w:r>
      <w:r>
        <w:t xml:space="preserve">AGSK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.</w:t>
      </w:r>
      <w:r>
        <w:t xml:space="preserve"> </w:t>
      </w:r>
      <w:r>
        <w:t xml:space="preserve">Its late refinement depends on a gradient-based solver, and its</w:t>
      </w:r>
      <w:r>
        <w:t xml:space="preserve"> </w:t>
      </w:r>
      <w:r>
        <w:t xml:space="preserve">adaptation remains scalar: no record of the run’s accepted-move</w:t>
      </w:r>
      <w:r>
        <w:t xml:space="preserve"> </w:t>
      </w:r>
      <w:r>
        <w:t xml:space="preserve">structure informs the crossover or the escape.</w:t>
      </w:r>
    </w:p>
    <w:p>
      <w:pPr>
        <w:pStyle w:val="BodyText"/>
      </w:pPr>
      <w:r>
        <w:t xml:space="preserve">The wider variant literature groups its own improvements into</w:t>
      </w:r>
      <w:r>
        <w:t xml:space="preserve"> </w:t>
      </w:r>
      <w:r>
        <w:t xml:space="preserve">population, hybrid, strategy, and composite</w:t>
      </w:r>
      <w:r>
        <w:t xml:space="preserve"> </w:t>
      </w:r>
      <w:r>
        <w:t xml:space="preserve">categories </w:t>
      </w:r>
      <w:r>
        <w:fldChar w:fldCharType="begin"/>
      </w:r>
      <w:r>
        <w:instrText xml:space="preserve"> CITATION hpe_agsk2025 \l 1033 </w:instrText>
      </w:r>
      <w:r>
        <w:fldChar w:fldCharType="separate"/>
      </w:r>
      <w:r>
        <w:t xml:space="preserve">[12]</w:t>
      </w:r>
      <w:r>
        <w:fldChar w:fldCharType="end"/>
      </w:r>
      <w:r>
        <w:t xml:space="preserve">. Population-side devices include</w:t>
      </w:r>
      <w:r>
        <w:t xml:space="preserve"> </w:t>
      </w:r>
      <w:r>
        <w:t xml:space="preserve">Sobol-sequence initialization with Cauchy junior mutation and senior</w:t>
      </w:r>
      <w:r>
        <w:t xml:space="preserve"> </w:t>
      </w:r>
      <w:r>
        <w:t xml:space="preserve">reverse learning </w:t>
      </w:r>
      <w:r>
        <w:fldChar w:fldCharType="begin"/>
      </w:r>
      <w:r>
        <w:instrText xml:space="preserve"> CITATION epd_gsk2024 \l 1033 </w:instrText>
      </w:r>
      <w:r>
        <w:fldChar w:fldCharType="separate"/>
      </w:r>
      <w:r>
        <w:t xml:space="preserve">[13]</w:t>
      </w:r>
      <w:r>
        <w:fldChar w:fldCharType="end"/>
      </w:r>
      <w:r>
        <w:t xml:space="preserve">, opposition-based learning with</w:t>
      </w:r>
      <w:r>
        <w:t xml:space="preserve"> </w:t>
      </w:r>
      <w:r>
        <w:t xml:space="preserve">Cauchy mutation </w:t>
      </w:r>
      <w:r>
        <w:fldChar w:fldCharType="begin"/>
      </w:r>
      <w:r>
        <w:instrText xml:space="preserve"> CITATION jalali2021opposition \l 1033 </w:instrText>
      </w:r>
      <w:r>
        <w:fldChar w:fldCharType="separate"/>
      </w:r>
      <w:r>
        <w:t xml:space="preserve">[14]</w:t>
      </w:r>
      <w:r>
        <w:fldChar w:fldCharType="end"/>
      </w:r>
      <w:r>
        <w:t xml:space="preserve">, and multi-population</w:t>
      </w:r>
      <w:r>
        <w:t xml:space="preserve"> </w:t>
      </w:r>
      <w:r>
        <w:t xml:space="preserve">parallelism with Taguchi-orthogonal communication </w:t>
      </w:r>
      <w:r>
        <w:fldChar w:fldCharType="begin"/>
      </w:r>
      <w:r>
        <w:instrText xml:space="preserve"> CITATION pogsk2023 \l 1033 </w:instrText>
      </w:r>
      <w:r>
        <w:fldChar w:fldCharType="separate"/>
      </w:r>
      <w:r>
        <w:t xml:space="preserve">[15]</w:t>
      </w:r>
      <w:r>
        <w:fldChar w:fldCharType="end"/>
      </w:r>
      <w:r>
        <w:t xml:space="preserve">.</w:t>
      </w:r>
      <w:r>
        <w:t xml:space="preserve"> </w:t>
      </w:r>
      <w:r>
        <w:t xml:space="preserve">Strategy refinements range from historical-probability expansion of</w:t>
      </w:r>
      <w:r>
        <w:t xml:space="preserve"> </w:t>
      </w:r>
      <w:r>
        <w:t xml:space="preserve">AGSK’s adaptation </w:t>
      </w:r>
      <w:r>
        <w:fldChar w:fldCharType="begin"/>
      </w:r>
      <w:r>
        <w:instrText xml:space="preserve"> CITATION hpe_agsk2025 \l 1033 </w:instrText>
      </w:r>
      <w:r>
        <w:fldChar w:fldCharType="separate"/>
      </w:r>
      <w:r>
        <w:t xml:space="preserve">[12]</w:t>
      </w:r>
      <w:r>
        <w:fldChar w:fldCharType="end"/>
      </w:r>
      <w:r>
        <w:t xml:space="preserve"> to a reinforcement-learned</w:t>
      </w:r>
      <w:r>
        <w:t xml:space="preserve"> </w:t>
      </w:r>
      <w:r>
        <w:t xml:space="preserve">controller for</w:t>
      </w:r>
      <w:r>
        <w:t xml:space="preserve"> </w:t>
      </w:r>
      <m:oMath>
        <m:r>
          <m:t>K</m:t>
        </m:r>
        <m:r>
          <m:t>F</m:t>
        </m:r>
      </m:oMath>
      <w:r>
        <w:t xml:space="preserve">/</w:t>
      </w:r>
      <m:oMath>
        <m:r>
          <m:t>K</m:t>
        </m:r>
        <m:r>
          <m:t>R</m:t>
        </m:r>
      </m:oMath>
      <w:r>
        <w:t xml:space="preserve">. That controller’s authors report win/tie/loss tallies</w:t>
      </w:r>
      <w:r>
        <w:t xml:space="preserve"> </w:t>
      </w:r>
      <w:r>
        <w:t xml:space="preserve">against basic GSK of 14/5/10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16/4/9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; the instability</w:t>
      </w:r>
      <w:r>
        <w:t xml:space="preserve"> </w:t>
      </w:r>
      <w:r>
        <w:t xml:space="preserve">they report is localized to a single function outside the training set rather than</w:t>
      </w:r>
      <w:r>
        <w:t xml:space="preserve"> </w:t>
      </w:r>
      <w:r>
        <w:t xml:space="preserve">to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panel, whose tally is in fact stronger than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one </w:t>
      </w:r>
      <w:r>
        <w:fldChar w:fldCharType="begin"/>
      </w:r>
      <w:r>
        <w:instrText xml:space="preserve"> CITATION nomer2021gskrl \l 1033 </w:instrText>
      </w:r>
      <w:r>
        <w:fldChar w:fldCharType="separate"/>
      </w:r>
      <w:r>
        <w:t xml:space="preserve">[16]</w:t>
      </w:r>
      <w:r>
        <w:fldChar w:fldCharType="end"/>
      </w:r>
      <w:r>
        <w:t xml:space="preserve">.</w:t>
      </w:r>
      <w:r>
        <w:t xml:space="preserve"> </w:t>
      </w:r>
      <w:r>
        <w:t xml:space="preserve">Hybrid and operator-export lines transplant the junior/senior operators</w:t>
      </w:r>
      <w:r>
        <w:t xml:space="preserve"> </w:t>
      </w:r>
      <w:r>
        <w:t xml:space="preserve">into DE </w:t>
      </w:r>
      <w:r>
        <w:fldChar w:fldCharType="begin"/>
      </w:r>
      <w:r>
        <w:instrText xml:space="preserve"> CITATION zhong2021gskhho \l 1033 </w:instrText>
      </w:r>
      <w:r>
        <w:fldChar w:fldCharType="separate"/>
      </w:r>
      <w:r>
        <w:t xml:space="preserve">[17]</w:t>
      </w:r>
      <w:r>
        <w:fldChar w:fldCharType="end"/>
      </w:r>
      <w:r>
        <w:t xml:space="preserve">, and the junior-phase operator into a</w:t>
      </w:r>
      <w:r>
        <w:t xml:space="preserve"> </w:t>
      </w:r>
      <w:r>
        <w:t xml:space="preserve">whale-optimization host </w:t>
      </w:r>
      <w:r>
        <w:fldChar w:fldCharType="begin"/>
      </w:r>
      <w:r>
        <w:instrText xml:space="preserve"> CITATION liang2024gskwoa \l 1033 </w:instrText>
      </w:r>
      <w:r>
        <w:fldChar w:fldCharType="separate"/>
      </w:r>
      <w:r>
        <w:t xml:space="preserve">[18]</w:t>
      </w:r>
      <w:r>
        <w:fldChar w:fldCharType="end"/>
      </w:r>
      <w:r>
        <w:t xml:space="preserve">; composite designs extend the family to</w:t>
      </w:r>
      <w:r>
        <w:t xml:space="preserve"> </w:t>
      </w:r>
      <w:r>
        <w:t xml:space="preserve">multiobjective search </w:t>
      </w:r>
      <w:r>
        <w:fldChar w:fldCharType="begin"/>
      </w:r>
      <w:r>
        <w:instrText xml:space="preserve"> CITATION chalabi2023mogsk \l 1033 </w:instrText>
      </w:r>
      <w:r>
        <w:fldChar w:fldCharType="separate"/>
      </w:r>
      <w:r>
        <w:t xml:space="preserve">[19]</w:t>
      </w:r>
      <w:r>
        <w:fldChar w:fldCharType="end"/>
      </w:r>
      <w:r>
        <w:t xml:space="preserve"> and to dual-population,</w:t>
      </w:r>
      <w:r>
        <w:t xml:space="preserve"> </w:t>
      </w:r>
      <w:r>
        <w:t xml:space="preserve">multi-operator control with SHADE-style success</w:t>
      </w:r>
      <w:r>
        <w:t xml:space="preserve"> </w:t>
      </w:r>
      <w:r>
        <w:t xml:space="preserve">histories </w:t>
      </w:r>
      <w:r>
        <w:fldChar w:fldCharType="begin"/>
      </w:r>
      <w:r>
        <w:instrText xml:space="preserve"> CITATION ma2023mgskdpmo \l 1033 \m tanabe2013shade </w:instrText>
      </w:r>
      <w:r>
        <w:fldChar w:fldCharType="separate"/>
      </w:r>
      <w:r>
        <w:t xml:space="preserve">[20,21]</w:t>
      </w:r>
      <w:r>
        <w:fldChar w:fldCharType="end"/>
      </w:r>
      <w:r>
        <w:t xml:space="preserve">. Across all of these</w:t>
      </w:r>
      <w:r>
        <w:t xml:space="preserve"> </w:t>
      </w:r>
      <w:r>
        <w:t xml:space="preserve">lines the adapted quantity is a scalar control parameter, a donor or</w:t>
      </w:r>
      <w:r>
        <w:t xml:space="preserve"> </w:t>
      </w:r>
      <w:r>
        <w:t xml:space="preserve">selection policy, the population’s composition, or a grafted foreign</w:t>
      </w:r>
      <w:r>
        <w:t xml:space="preserve"> </w:t>
      </w:r>
      <w:r>
        <w:t xml:space="preserve">operator. Within the cited GSK family, none of these variants learns —</w:t>
      </w:r>
      <w:r>
        <w:t xml:space="preserve"> </w:t>
      </w:r>
      <w:r>
        <w:t xml:space="preserve">or exploits — the interaction structure of the moves the run has</w:t>
      </w:r>
      <w:r>
        <w:t xml:space="preserve"> </w:t>
      </w:r>
      <w:r>
        <w:t xml:space="preserve">already accepted; Table </w:t>
      </w:r>
      <w:r>
        <w:fldChar w:fldCharType="begin"/>
      </w:r>
      <w:r>
        <w:instrText xml:space="preserve"> REF ref_tab_family_review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summarizes the six of these</w:t>
      </w:r>
      <w:r>
        <w:t xml:space="preserve"> </w:t>
      </w:r>
      <w:r>
        <w:t xml:space="preserve">lines that form this paper’s comparison panel.</w:t>
      </w:r>
    </w:p>
    <w:bookmarkStart w:id="11" w:name="lbl_tab_family_review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50" w:name="ref_tab_family_review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</w:t>
      </w:r>
      <w:r>
        <w:fldChar w:fldCharType="end"/>
      </w:r>
      <w:bookmarkEnd w:id="150"/>
      <w:r>
        <w:rPr>
          <w:b/>
        </w:rPr>
        <w:t xml:space="preserve">. </w:t>
      </w:r>
      <w:r>
        <w:t xml:space="preserve"> GSK-family review summary for the six published algorithms of</w:t>
      </w:r>
      <w:r>
        <w:t xml:space="preserve"> </w:t>
      </w:r>
      <w:r>
        <w:t xml:space="preserve">the comparison panel: core mechanism, suites tested in the cited source,</w:t>
      </w:r>
      <w:r>
        <w:t xml:space="preserve"> </w:t>
      </w:r>
      <w:r>
        <w:t xml:space="preserve">and key limitation. All entries are facts drawn from the cited</w:t>
      </w:r>
      <w:r>
        <w:t xml:space="preserve"> </w:t>
      </w:r>
      <w:r>
        <w:t xml:space="preserve">publications; the table contains no results from this paper’s</w:t>
      </w:r>
      <w:r>
        <w:t xml:space="preserve"> </w:t>
      </w:r>
      <w:r>
        <w:t xml:space="preserve">experiments.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SK-family review summary for the six published algorithms of the comparison panel: core mechanism, suites tested in the cited source, and key limitation. All entries are facts drawn from the cited publications; the table contains no results from this paper’s experiments.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Suites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limitation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 </w:t>
            </w:r>
            <w:r>
              <w:fldChar w:fldCharType="begin"/>
            </w:r>
            <w:r>
              <w:instrText xml:space="preserve"> CITATION mohamed2020gaining \l 1033 </w:instrText>
            </w:r>
            <w:r>
              <w:fldChar w:fldCharType="separate"/>
            </w:r>
            <w:r>
              <w:t xml:space="preserve">[5]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Junior/senior gaining-sharing operator</w:t>
            </w:r>
            <w:r>
              <w:t xml:space="preserve"> </w:t>
            </w:r>
            <w:r>
              <w:t xml:space="preserve">with fixed</w:t>
            </w:r>
            <w: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CEC2017 (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); CEC2011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t xml:space="preserve">control parameters; no in-run adaptation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 </w:t>
            </w:r>
            <w:r>
              <w:fldChar w:fldCharType="begin"/>
            </w:r>
            <w:r>
              <w:instrText xml:space="preserve"> CITATION mohamed2020agsk \l 1033 </w:instrText>
            </w:r>
            <w:r>
              <w:fldChar w:fldCharType="separate"/>
            </w:r>
            <w:r>
              <w:t xml:space="preserve">[6]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Four-setting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K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probability</w:t>
            </w:r>
            <w:r>
              <w:t xml:space="preserve"> </w:t>
            </w:r>
            <w:r>
              <w:t xml:space="preserve">pool; dual-regime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 linear population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CEC2020</w:t>
            </w:r>
            <w:r>
              <w:t xml:space="preserve"> </w:t>
            </w:r>
            <w: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Scalar-pool adaptation; evidence limited to the</w:t>
            </w:r>
            <w:r>
              <w:t xml:space="preserve"> </w:t>
            </w:r>
            <w:r>
              <w:t xml:space="preserve">low-dimension, large-budget CEC2020 regime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 </w:t>
            </w:r>
            <w:r>
              <w:fldChar w:fldCharType="begin"/>
            </w:r>
            <w:r>
              <w:instrText xml:space="preserve"> CITATION apgsk2021 \l 1033 </w:instrText>
            </w:r>
            <w:r>
              <w:fldChar w:fldCharType="separate"/>
            </w:r>
            <w:r>
              <w:t xml:space="preserve">[7]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</w:t>
            </w:r>
            <m:oMath>
              <m:r>
                <m:t>K</m:t>
              </m:r>
              <m:r>
                <m:t>F</m:t>
              </m:r>
            </m:oMath>
            <w:r>
              <w:t xml:space="preserve"> </w:t>
            </w:r>
            <w:r>
              <w:t xml:space="preserve">pool after half budget;</w:t>
            </w:r>
            <w:r>
              <w:t xml:space="preserve"> </w:t>
            </w:r>
            <w:r>
              <w:t xml:space="preserve">nonlinear population reduction; adaptive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 enlarged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CEC2020 (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regime limits; no significant pairwise</w:t>
            </w:r>
            <w:r>
              <w:t xml:space="preserve"> </w:t>
            </w:r>
            <w:r>
              <w:t xml:space="preserve">difference vs. CEC2020 winners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 </w:t>
            </w:r>
            <w:r>
              <w:fldChar w:fldCharType="begin"/>
            </w:r>
            <w:r>
              <w:instrText xml:space="preserve"> CITATION fdbagsk2023 \l 1033 </w:instrText>
            </w:r>
            <w:r>
              <w:fldChar w:fldCharType="separate"/>
            </w:r>
            <w:r>
              <w:t xml:space="preserve">[8]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Fitness–distance-balance replacement of</w:t>
            </w:r>
            <w:r>
              <w:t xml:space="preserve"> </w:t>
            </w:r>
            <w:r>
              <w:t xml:space="preserve">the senior-phase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CEC2017 + CEC2020 subsets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/</m:t>
              </m:r>
              <m:r>
                <m:t>50</m:t>
              </m:r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1000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  <w:r>
              <w:t xml:space="preserve"> </w:t>
            </w:r>
            <w:r>
              <w:t xml:space="preserve">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policy only; reduced budget;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untested; compared against AGSK variants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 </w:t>
            </w:r>
            <w:r>
              <w:fldChar w:fldCharType="begin"/>
            </w:r>
            <w:r>
              <w:instrText xml:space="preserve"> CITATION alfadli2025atmals \l 1033 </w:instrText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Gaussian/EWMA memory auto-tuning of</w:t>
            </w:r>
            <w:r>
              <w:t xml:space="preserve"> </w:t>
            </w:r>
            <w:r>
              <w:t xml:space="preserve">five parameters via powered roulette-wheel selection; shrinking local</w:t>
            </w:r>
            <w:r>
              <w:t xml:space="preserve"> </w:t>
            </w: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CEC2017 (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); CEC2011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 memory only</w:t>
            </w:r>
            <w:r>
              <w:t xml:space="preserve"> </w:t>
            </w:r>
            <w:r>
              <w:t xml:space="preserve">(stores parameter values, not coordinate structure); acknowledged</w:t>
            </w:r>
            <w:r>
              <w:t xml:space="preserve"> </w:t>
            </w:r>
            <w:r>
              <w:t xml:space="preserve">computational overhead;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competitive-only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 </w:t>
            </w:r>
            <w:r>
              <w:fldChar w:fldCharType="begin"/>
            </w:r>
            <w:r>
              <w:instrText xml:space="preserve"> CITATION jawad2024egsk \l 1033 </w:instrText>
            </w:r>
            <w:r>
              <w:fldChar w:fldCharType="separate"/>
            </w:r>
            <w:r>
              <w:t xml:space="preserve">[9]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Population-sum selection; self-adaptive</w:t>
            </w:r>
            <w:r>
              <w:t xml:space="preserve"> </w:t>
            </w:r>
            <w:r>
              <w:t xml:space="preserve">phase-specific</w:t>
            </w:r>
            <w: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t xml:space="preserve"> </w:t>
            </w:r>
            <w:r>
              <w:t xml:space="preserve">after 75% budget; SQP escape at 75%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CEC2017 (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worse than AGSK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gradient-solver dependency; scalar adaptation only</w:t>
            </w:r>
          </w:p>
        </w:tc>
      </w:tr>
    </w:tbl>
    <w:bookmarkEnd w:id="11"/>
    <w:bookmarkEnd w:id="12"/>
    <w:bookmarkStart w:id="14" w:name="lbl_sec_rel_structure"/>
    <w:p>
      <w:pPr>
        <w:pStyle w:val="Heading2"/>
      </w:pPr>
      <w:bookmarkStart w:id="151" w:name="ref_sec_rel_structure"/>
      <w:r>
        <w:t xml:space="preserve">2.2.</w:t>
      </w:r>
      <w:bookmarkEnd w:id="151"/>
      <w:r>
        <w:tab/>
      </w:r>
      <w:r>
        <w:t xml:space="preserve"> Structure Learning Outside the GSK Family</w:t>
      </w:r>
    </w:p>
    <w:p>
      <w:pPr>
        <w:pStyle w:val="FirstParagraph"/>
      </w:pPr>
      <w:r>
        <w:t xml:space="preserve">Learning structure from the search itself is well established outside</w:t>
      </w:r>
      <w:r>
        <w:t xml:space="preserve"> </w:t>
      </w:r>
      <w:r>
        <w:t xml:space="preserve">the GSK family. The approaches separate on four axes — update trigger,</w:t>
      </w:r>
      <w:r>
        <w:t xml:space="preserve"> </w:t>
      </w:r>
      <w:r>
        <w:t xml:space="preserve">evaluation cost, what is learned, and how it is exploited — on which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ref_tab_taxonomy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places each method and the interaction-structure</w:t>
      </w:r>
      <w:r>
        <w:t xml:space="preserve"> </w:t>
      </w:r>
      <w:r>
        <w:t xml:space="preserve">memory. Three contrasts matter here. Differential grouping learns a hard</w:t>
      </w:r>
      <w:r>
        <w:t xml:space="preserve"> </w:t>
      </w:r>
      <w:r>
        <w:t xml:space="preserve">variable partition in a dedicated offline stage, spending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objective</w:t>
      </w:r>
      <w:r>
        <w:t xml:space="preserve"> </w:t>
      </w:r>
      <w:r>
        <w:t xml:space="preserve">evaluations on pairwise probes and exploiting the result by decomposition into</w:t>
      </w:r>
      <w:r>
        <w:t xml:space="preserve"> </w:t>
      </w:r>
      <w:r>
        <w:t xml:space="preserve">cooperative-coevolution subcomponents; its evidence lies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 with</w:t>
      </w:r>
      <w:r>
        <w:t xml:space="preserve"> </w:t>
      </w:r>
      <w:r>
        <w:t xml:space="preserve">stated failure modes on overlapping interactions and region-dependent</w:t>
      </w:r>
      <w:r>
        <w:t xml:space="preserve"> </w:t>
      </w:r>
      <w:r>
        <w:t xml:space="preserve">separability </w:t>
      </w:r>
      <w:r>
        <w:fldChar w:fldCharType="begin"/>
      </w:r>
      <w:r>
        <w:instrText xml:space="preserve"> CITATION omidvar2014dg \l 1033 </w:instrText>
      </w:r>
      <w:r>
        <w:fldChar w:fldCharType="separate"/>
      </w:r>
      <w:r>
        <w:t xml:space="preserve">[22]</w:t>
      </w:r>
      <w:r>
        <w:fldChar w:fldCharType="end"/>
      </w:r>
      <w:r>
        <w:t xml:space="preserve">.</w:t>
      </w:r>
      <w:r>
        <w:t xml:space="preserve"> </w:t>
      </w:r>
      <w:r>
        <w:t xml:space="preserve">CMA-ES instead learns during the run at no additional objective evaluations,</w:t>
      </w:r>
      <w:r>
        <w:t xml:space="preserve"> </w:t>
      </w:r>
      <w:r>
        <w:t xml:space="preserve">accumulating a full sampling covariance that reshapes every mutation, though a</w:t>
      </w:r>
      <w:r>
        <w:t xml:space="preserve"> </w:t>
      </w:r>
      <w:r>
        <w:t xml:space="preserve">significant shape change takes on the order of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evaluations of adaptation</w:t>
      </w:r>
      <w:r>
        <w:t xml:space="preserve"> </w:t>
      </w:r>
      <w:r>
        <w:t xml:space="preserve">time </w:t>
      </w:r>
      <w:r>
        <w:fldChar w:fldCharType="begin"/>
      </w:r>
      <w:r>
        <w:instrText xml:space="preserve"> CITATION hansen2001cmaes \l 1033 </w:instrText>
      </w:r>
      <w:r>
        <w:fldChar w:fldCharType="separate"/>
      </w:r>
      <w:r>
        <w:t xml:space="preserve">[23]</w:t>
      </w:r>
      <w:r>
        <w:fldChar w:fldCharType="end"/>
      </w:r>
      <w:r>
        <w:t xml:space="preserve">.</w:t>
      </w:r>
      <w:r>
        <w:t xml:space="preserve"> </w:t>
      </w:r>
      <w:r>
        <w:t xml:space="preserve">Eigenvector-based crossover recomputes the eigenbasis of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population covariance each generation — an instantaneous statistic, not a</w:t>
      </w:r>
      <w:r>
        <w:t xml:space="preserve"> </w:t>
      </w:r>
      <w:r>
        <w:t xml:space="preserve">cumulative memory —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per generation </w:t>
      </w:r>
      <w:r>
        <w:fldChar w:fldCharType="begin"/>
      </w:r>
      <w:r>
        <w:instrText xml:space="preserve"> CITATION guo2015eig \l 1033 </w:instrText>
      </w:r>
      <w:r>
        <w:fldChar w:fldCharType="separate"/>
      </w:r>
      <w:r>
        <w:t xml:space="preserve">[24]</w:t>
      </w:r>
      <w:r>
        <w:fldChar w:fldCharType="end"/>
      </w:r>
      <w:r>
        <w:t xml:space="preserve">.</w:t>
      </w:r>
      <w:r>
        <w:t xml:space="preserve"> </w:t>
      </w:r>
      <w:r>
        <w:t xml:space="preserve">Two further lines are adjacent rather than comparable. Adaptive operator</w:t>
      </w:r>
      <w:r>
        <w:t xml:space="preserve"> </w:t>
      </w:r>
      <w:r>
        <w:t xml:space="preserve">selection adapts the choice of operator rather than the search geometry, and</w:t>
      </w:r>
      <w:r>
        <w:t xml:space="preserve"> </w:t>
      </w:r>
      <w:r>
        <w:t xml:space="preserve">grounds the framing of DT-GSK’s ACE controller</w:t>
      </w:r>
      <w:r>
        <w:t xml:space="preserve"> </w:t>
      </w:r>
      <w:r>
        <w:t xml:space="preserve">only </w:t>
      </w:r>
      <w:r>
        <w:fldChar w:fldCharType="begin"/>
      </w:r>
      <w:r>
        <w:instrText xml:space="preserve"> CITATION fialho2010adaptive \l 1033 \m auer2002finite </w:instrText>
      </w:r>
      <w:r>
        <w:fldChar w:fldCharType="separate"/>
      </w:r>
      <w:r>
        <w:t xml:space="preserve">[25,26]</w:t>
      </w:r>
      <w:r>
        <w:fldChar w:fldCharType="end"/>
      </w:r>
      <w:r>
        <w:t xml:space="preserve">: ACE is not claimed to</w:t>
      </w:r>
      <w:r>
        <w:t xml:space="preserve"> </w:t>
      </w:r>
      <w:r>
        <w:t xml:space="preserve">instantiate any specific bandit policy, and no regret guarantee transfers to</w:t>
      </w:r>
      <w:r>
        <w:t xml:space="preserve"> </w:t>
      </w:r>
      <w:r>
        <w:t xml:space="preserve">the drifting rewards of an evolutionary run. Direct-search methods, in turn,</w:t>
      </w:r>
      <w:r>
        <w:t xml:space="preserve"> </w:t>
      </w:r>
      <w:r>
        <w:t xml:space="preserve">refine a single solution without derivatives and carry no learned</w:t>
      </w:r>
      <w:r>
        <w:t xml:space="preserve"> </w:t>
      </w:r>
      <w:r>
        <w:t xml:space="preserve">structure </w:t>
      </w:r>
      <w:r>
        <w:fldChar w:fldCharType="begin"/>
      </w:r>
      <w:r>
        <w:instrText xml:space="preserve"> CITATION kolda2003directsearch \l 1033 \m nelder1965simplex </w:instrText>
      </w:r>
      <w:r>
        <w:fldChar w:fldCharType="separate"/>
      </w:r>
      <w:r>
        <w:t xml:space="preserve">[27,28]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The interaction-structure memory occupies a point none of these covers. It</w:t>
      </w:r>
      <w:r>
        <w:t xml:space="preserve"> </w:t>
      </w:r>
      <w:r>
        <w:t xml:space="preserve">updates online from</w:t>
      </w:r>
      <w:r>
        <w:t xml:space="preserve"> </w:t>
      </w:r>
      <w:r>
        <w:rPr>
          <w:i/>
          <w:iCs/>
        </w:rPr>
        <w:t xml:space="preserve">accepted</w:t>
      </w:r>
      <w:r>
        <w:t xml:space="preserve"> </w:t>
      </w:r>
      <w:r>
        <w:t xml:space="preserve">moves only, into a decaying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), confidence- and evidence-gated pair</w:t>
      </w:r>
      <w:r>
        <w:t xml:space="preserve"> </w:t>
      </w:r>
      <w:r>
        <w:t xml:space="preserve">graph.</w:t>
      </w:r>
      <w:r>
        <w:t xml:space="preserve"> </w:t>
      </w:r>
      <w:r>
        <w:t xml:space="preserve">It spends no additional objective evaluations — it learns from evaluations the</w:t>
      </w:r>
      <w:r>
        <w:t xml:space="preserve"> </w:t>
      </w:r>
      <w:r>
        <w:t xml:space="preserve">run already made — at a compute-only cost of a per-generation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decay</w:t>
      </w:r>
      <w:r>
        <w:t xml:space="preserve"> </w:t>
      </w:r>
      <w:r>
        <w:t xml:space="preserve">plus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i"/>
          </m:rPr>
          <m:t>P</m:t>
        </m:r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worst-case accumulation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–</w:t>
      </w:r>
      <m:oMath>
        <m:r>
          <m:t>99</m:t>
        </m:r>
      </m:oMath>
      <w:r>
        <w:t xml:space="preserve"> </w:t>
      </w:r>
      <w:r>
        <w:t xml:space="preserve">(thinned to every tenth generation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) and one terminal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eigendecomposition.</w:t>
      </w:r>
      <w:r>
        <w:t xml:space="preserve"> </w:t>
      </w:r>
      <w:r>
        <w:t xml:space="preserve">What it learns is soft, signed pairwise evidence rather than a hard partition, a</w:t>
      </w:r>
      <w:r>
        <w:t xml:space="preserve"> </w:t>
      </w:r>
      <w:r>
        <w:t xml:space="preserve">full sampling covariance, or an instantaneous eigenbasis; the distinction is not</w:t>
      </w:r>
      <w:r>
        <w:t xml:space="preserve"> </w:t>
      </w:r>
      <w:r>
        <w:t xml:space="preserve">the type of object but the accepted-move-only, signed, decaying accumulation and</w:t>
      </w:r>
      <w:r>
        <w:t xml:space="preserve"> </w:t>
      </w:r>
      <w:r>
        <w:t xml:space="preserve">a discrete exploitation that leaves the GSK operator numerics unchanged. Two</w:t>
      </w:r>
      <w:r>
        <w:t xml:space="preserve"> </w:t>
      </w:r>
      <w:r>
        <w:t xml:space="preserve">boundaries are explicit. The component-isolation evidence for this memory stops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: it is isolated only on the bound-constrained suites, so the</w:t>
      </w:r>
      <w:r>
        <w:t xml:space="preserve"> </w:t>
      </w:r>
      <w:r>
        <w:t xml:space="preserve">family’s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standing is not attributed to it — in either direction —</w:t>
      </w:r>
      <w:r>
        <w:t xml:space="preserve"> </w:t>
      </w:r>
      <w:r>
        <w:t xml:space="preserve">and the large-scale suite is a whole-algorithm family comparison, not a</w:t>
      </w:r>
      <w:r>
        <w:t xml:space="preserve"> </w:t>
      </w:r>
      <w:r>
        <w:t xml:space="preserve">component contrast.</w:t>
      </w:r>
      <w:r>
        <w:t xml:space="preserve"> </w:t>
      </w:r>
      <w:r>
        <w:t xml:space="preserve">And ISM is not claimed to recover the objective’s true interaction structure</w:t>
      </w:r>
      <w:r>
        <w:t xml:space="preserve"> </w:t>
      </w:r>
      <w:r>
        <w:t xml:space="preserve">or to confer rotational invariance; it accumulates heuristic evidence from</w:t>
      </w:r>
      <w:r>
        <w:t xml:space="preserve"> </w:t>
      </w:r>
      <w:r>
        <w:t xml:space="preserve">strictly improving accepted moves.</w:t>
      </w:r>
    </w:p>
    <w:bookmarkStart w:id="13" w:name="lbl_tab_taxonomy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52" w:name="ref_tab_taxonomy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</w:t>
      </w:r>
      <w:r>
        <w:fldChar w:fldCharType="end"/>
      </w:r>
      <w:bookmarkEnd w:id="152"/>
      <w:r>
        <w:rPr>
          <w:b/>
        </w:rPr>
        <w:t xml:space="preserve">. </w:t>
      </w:r>
      <w:r>
        <w:t xml:space="preserve"> Structure-learning taxonomy positioning ISM against</w:t>
      </w:r>
      <w:r>
        <w:t xml:space="preserve"> </w:t>
      </w:r>
      <w:r>
        <w:t xml:space="preserve">differential-grouping and covariance/eigenbasis methods on four</w:t>
      </w:r>
      <w:r>
        <w:t xml:space="preserve"> </w:t>
      </w:r>
      <w:r>
        <w:t xml:space="preserve">dimensions: update trigger, evaluation cost, what is learned, and how it</w:t>
      </w:r>
      <w:r>
        <w:t xml:space="preserve"> </w:t>
      </w:r>
      <w:r>
        <w:t xml:space="preserve">is exploited. ISM updates from strictly improving accepted moves at no extra objective</w:t>
      </w:r>
      <w:r>
        <w:t xml:space="preserve"> </w:t>
      </w:r>
      <w:r>
        <w:t xml:space="preserve">evaluations (not</w:t>
      </w:r>
      <w:r>
        <w:t xml:space="preserve"> </w:t>
      </w:r>
      <w:r>
        <w:t xml:space="preserve">“free”</w:t>
      </w:r>
      <w:r>
        <w:t xml:space="preserve">: a per-generation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decay plus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i"/>
          </m:rPr>
          <m:t>P</m:t>
        </m:r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worst-case accumulation, with linkage blocks</w:t>
      </w:r>
      <w:r>
        <w:t xml:space="preserve"> </w:t>
      </w:r>
      <w:r>
        <w:t xml:space="preserve">re-extracted every fifth generation at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99</m:t>
        </m:r>
      </m:oMath>
      <w:r>
        <w:t xml:space="preserve"> </w:t>
      </w:r>
      <w:r>
        <w:t xml:space="preserve">and every</w:t>
      </w:r>
      <w:r>
        <w:t xml:space="preserve"> </w:t>
      </w:r>
      <w:r>
        <w:t xml:space="preserve">twentieth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). Authored from literature facts drawn from the cited sources</w:t>
      </w:r>
      <w:r>
        <w:t xml:space="preserve"> </w:t>
      </w:r>
      <w:r>
        <w:t xml:space="preserve">only.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ructure-learning taxonomy positioning ISM against differential-grouping and covariance/eigenbasis methods on four dimensions: update trigger, evaluation cost, what is learned, and how it is exploited. ISM updates from strictly improving accepted moves at no extra objective evaluations (not “free”: a per-generation O(D^2) decay plus an O(NP ·D^2) worst-case accumulation, with linkage blocks re-extracted every fifth generation at 50 ≤D ≤99 and every twentieth at D ≥100). Authored from literature facts drawn from the cited sources only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Differential grouping (DG)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CMA-ES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Eigenvector 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ISM (this work)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grouping stage before optimization (pairwise probes)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generation, from selected steps + evolution-path 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generation: covariance of the current population (no cumulative 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online, on every strictly improving accepted move (ties excluded); decaying memory (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), confidence- and evidence-gated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objective evaluations for the probing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evaluations; full-covariance compute/storage; amortized eigendecomposition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evaluations; per-generation eigendecomposition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evaluations — learns from evaluations already made; sparse updates, one terminal eigendecomposition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non-separability decisions — a hard variable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mutation covariance — a complete sampling-distribution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eigenbasis of the population covariance — instantaneous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weighted, signed coordinate-pair graph — soft, decaying evidence (not a hard partition)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How exploited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decomposition into cooperative-coevolution subcomponents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reshapes every mutation the strategy samples (rotation + scaling)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crossover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rotate-back, with fixed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GSK numerics unchanged: linkage blocks and eigenframe polish (coordinate local search)</w:t>
            </w:r>
          </w:p>
        </w:tc>
      </w:tr>
    </w:tbl>
    <w:bookmarkEnd w:id="13"/>
    <w:bookmarkEnd w:id="14"/>
    <w:bookmarkStart w:id="15" w:name="lbl_sec_rel_positioning"/>
    <w:p>
      <w:pPr>
        <w:pStyle w:val="Heading2"/>
      </w:pPr>
      <w:bookmarkStart w:id="153" w:name="ref_sec_rel_positioning"/>
      <w:r>
        <w:t xml:space="preserve">2.3.</w:t>
      </w:r>
      <w:bookmarkEnd w:id="153"/>
      <w:r>
        <w:tab/>
      </w:r>
      <w:r>
        <w:t xml:space="preserve"> Positioning of DT-GSK Against the GSK Family</w:t>
      </w:r>
    </w:p>
    <w:p>
      <w:pPr>
        <w:pStyle w:val="FirstParagraph"/>
      </w:pPr>
      <w:r>
        <w:t xml:space="preserve">Three technical deficiencies, each traceable to the variants reviewed</w:t>
      </w:r>
      <w:r>
        <w:t xml:space="preserve"> </w:t>
      </w:r>
      <w:r>
        <w:t xml:space="preserve">above, define the gap DT-GSK addresses. This subsection argues need</w:t>
      </w:r>
      <w:r>
        <w:t xml:space="preserve"> </w:t>
      </w:r>
      <w:r>
        <w:t xml:space="preserve">only; effect is assessed in Section </w:t>
      </w:r>
      <w:r>
        <w:fldChar w:fldCharType="begin"/>
      </w:r>
      <w:r>
        <w:instrText xml:space="preserve"> REF ref_sec_experiments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i/>
          <w:iCs/>
        </w:rPr>
        <w:t xml:space="preserve">structure blindness</w:t>
      </w:r>
      <w:r>
        <w:t xml:space="preserve">. Every variant in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ref_tab_family_review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adapts scalar control parameters, donor or</w:t>
      </w:r>
      <w:r>
        <w:t xml:space="preserve"> </w:t>
      </w:r>
      <w:r>
        <w:t xml:space="preserve">selection policy, or population composition. Within the GSK-family variants</w:t>
      </w:r>
      <w:r>
        <w:t xml:space="preserve"> </w:t>
      </w:r>
      <w:r>
        <w:t xml:space="preserve">cited in this paper — a bounded review of the GSK lineage rather than an</w:t>
      </w:r>
      <w:r>
        <w:t xml:space="preserve"> </w:t>
      </w:r>
      <w:r>
        <w:t xml:space="preserve">exhaustive systematic search of the wider metaheuristic literature — none</w:t>
      </w:r>
      <w:r>
        <w:t xml:space="preserve"> </w:t>
      </w:r>
      <w:r>
        <w:t xml:space="preserve">learns or exploits the interaction</w:t>
      </w:r>
      <w:r>
        <w:t xml:space="preserve"> </w:t>
      </w:r>
      <w:r>
        <w:t xml:space="preserve">structure of the moves the run has already accepted. The survey scope is explicit and reproducible. It covers the original GSK</w:t>
      </w:r>
      <w:r>
        <w:t xml:space="preserve"> </w:t>
      </w:r>
      <w:r>
        <w:t xml:space="preserve">and the published GSK-family variants of Table </w:t>
      </w:r>
      <w:r>
        <w:fldChar w:fldCharType="begin"/>
      </w:r>
      <w:r>
        <w:instrText xml:space="preserve"> REF ref_tab_family_review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For</w:t>
      </w:r>
      <w:r>
        <w:t xml:space="preserve"> </w:t>
      </w:r>
      <w:r>
        <w:t xml:space="preserve">each, we inspected the stated adaptation target — control parameters,</w:t>
      </w:r>
      <w:r>
        <w:t xml:space="preserve"> </w:t>
      </w:r>
      <w:r>
        <w:t xml:space="preserve">donor/selection policy, or population sizing — for any online,</w:t>
      </w:r>
      <w:r>
        <w:t xml:space="preserve"> </w:t>
      </w:r>
      <w:r>
        <w:t xml:space="preserve">evaluation-free learning of coordinate-pair interaction structure. The</w:t>
      </w:r>
      <w:r>
        <w:t xml:space="preserve"> </w:t>
      </w:r>
      <w:r>
        <w:t xml:space="preserve">resulting claim is bounded to this lineage; it is not a state-of-the-art</w:t>
      </w:r>
      <w:r>
        <w:t xml:space="preserve"> </w:t>
      </w:r>
      <w:r>
        <w:t xml:space="preserve">priority claim over the wider literature.</w:t>
      </w:r>
      <w:r>
        <w:t xml:space="preserve"> </w:t>
      </w:r>
      <w:r>
        <w:t xml:space="preserve">DT-GSK’s interaction-structure memory and its two active consumers —</w:t>
      </w:r>
      <w:r>
        <w:t xml:space="preserve"> </w:t>
      </w:r>
      <w:r>
        <w:t xml:space="preserve">the linkage-aware block crossover and the signed-graph eigenframe polish</w:t>
      </w:r>
      <w:r>
        <w:t xml:space="preserve"> </w:t>
      </w:r>
      <w:r>
        <w:t xml:space="preserve">(an ISM-block subspace local search is implemented but not enabled</w:t>
      </w:r>
      <w:r>
        <w:t xml:space="preserve"> </w:t>
      </w:r>
      <w:r>
        <w:t xml:space="preserve">in the frozen configuration) — are designed for exactly this quantity.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endgame refinement without determinism or budget safety</w:t>
      </w:r>
      <w:r>
        <w:t xml:space="preserve">.</w:t>
      </w:r>
      <w:r>
        <w:t xml:space="preserve"> </w:t>
      </w:r>
      <w:r>
        <w:t xml:space="preserve">The family’s two late-refinement mechanisms are eGSK’s SQP escape,</w:t>
      </w:r>
      <w:r>
        <w:t xml:space="preserve"> </w:t>
      </w:r>
      <w:r>
        <w:t xml:space="preserve">which depends on a gradient-based solver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, and</w:t>
      </w:r>
      <w:r>
        <w:t xml:space="preserve"> </w:t>
      </w:r>
      <w:r>
        <w:t xml:space="preserve">ATMALS-GSK’s randomized shrinking local search, whose computational</w:t>
      </w:r>
      <w:r>
        <w:t xml:space="preserve"> </w:t>
      </w:r>
      <w:r>
        <w:t xml:space="preserve">overhead its authors acknowledge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. DT-GSK’s</w:t>
      </w:r>
      <w:r>
        <w:t xml:space="preserve"> </w:t>
      </w:r>
      <w:r>
        <w:t xml:space="preserve">deterministic final polish is instead one-shot, RNG-free, hard-capped by</w:t>
      </w:r>
      <w:r>
        <w:t xml:space="preserve"> </w:t>
      </w:r>
      <w:r>
        <w:t xml:space="preserve">the final budget slice, and runs on the eigenbasis the ISM has already</w:t>
      </w:r>
      <w:r>
        <w:t xml:space="preserve"> </w:t>
      </w:r>
      <w:r>
        <w:t xml:space="preserve">learned; no convergence guarantee is claimed for it.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i/>
          <w:iCs/>
        </w:rPr>
        <w:t xml:space="preserve">regime-limited adaptation evidence</w:t>
      </w:r>
      <w:r>
        <w:t xml:space="preserve">. AGSK’s and</w:t>
      </w:r>
      <w:r>
        <w:t xml:space="preserve"> </w:t>
      </w:r>
      <w:r>
        <w:t xml:space="preserve">APGSK’s adaptive machinery was evaluated on CEC2020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 </w:t>
      </w:r>
      <w:r>
        <w:fldChar w:fldCharType="begin"/>
      </w:r>
      <w:r>
        <w:instrText xml:space="preserve"> CITATION mohamed2020agsk \l 1033 \m apgsk2021 </w:instrText>
      </w:r>
      <w:r>
        <w:fldChar w:fldCharType="separate"/>
      </w:r>
      <w:r>
        <w:t xml:space="preserve">[6,7]</w:t>
      </w:r>
      <w:r>
        <w:fldChar w:fldCharType="end"/>
      </w:r>
      <w:r>
        <w:t xml:space="preserve">, and FDB-AGSK at a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budget without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 </w:t>
      </w:r>
      <w:r>
        <w:fldChar w:fldCharType="begin"/>
      </w:r>
      <w:r>
        <w:instrText xml:space="preserve"> CITATION fdbagsk2023 \l 1033 </w:instrText>
      </w:r>
      <w:r>
        <w:fldChar w:fldCharType="separate"/>
      </w:r>
      <w:r>
        <w:t xml:space="preserve">[8]</w:t>
      </w:r>
      <w:r>
        <w:fldChar w:fldCharType="end"/>
      </w:r>
      <w:r>
        <w:t xml:space="preserve">. The two</w:t>
      </w:r>
      <w:r>
        <w:t xml:space="preserve"> </w:t>
      </w:r>
      <w:r>
        <w:t xml:space="preserve">strongest variants also share a low-dimension weakness on CEC2017: eGSK is</w:t>
      </w:r>
      <w:r>
        <w:t xml:space="preserve"> </w:t>
      </w:r>
      <w:r>
        <w:t xml:space="preserve">significantly worse than AGSK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, and</w:t>
      </w:r>
      <w:r>
        <w:t xml:space="preserve"> </w:t>
      </w:r>
      <w:r>
        <w:t xml:space="preserve">ATMALS-GSK is competitive-only there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.</w:t>
      </w:r>
      <w:r>
        <w:t xml:space="preserve"> </w:t>
      </w:r>
      <w:r>
        <w:t xml:space="preserve">Across these variants the axis of adaptation is the parameter</w:t>
      </w:r>
      <w:r>
        <w:t xml:space="preserve"> </w:t>
      </w:r>
      <w:r>
        <w:rPr>
          <w:i/>
          <w:iCs/>
        </w:rPr>
        <w:t xml:space="preserve">value</w:t>
      </w:r>
      <w:r>
        <w:t xml:space="preserve">:</w:t>
      </w:r>
      <w:r>
        <w:t xml:space="preserve"> </w:t>
      </w:r>
      <w:r>
        <w:t xml:space="preserve">ATMALS-GSK, for instance, drives five scalar parameters from a Gaussian and</w:t>
      </w:r>
      <w:r>
        <w:t xml:space="preserve"> </w:t>
      </w:r>
      <w:r>
        <w:t xml:space="preserve">weighted-moving-average memory of their past effect on fitness, but resolves</w:t>
      </w:r>
      <w:r>
        <w:t xml:space="preserve"> </w:t>
      </w:r>
      <w:r>
        <w:t xml:space="preserve">them within one control regime that is not itself a function of problem</w:t>
      </w:r>
      <w:r>
        <w:t xml:space="preserve"> </w:t>
      </w:r>
      <w:r>
        <w:t xml:space="preserve">dimension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. This paper meets that regime head-on:</w:t>
      </w:r>
      <w:r>
        <w:t xml:space="preserve"> </w:t>
      </w:r>
      <w:r>
        <w:t xml:space="preserve">CEC2020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serves as the pre-registered confirmatory suite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ref_sec_exp_cec2020 \h </w:instrText>
      </w:r>
      <w:r>
        <w:fldChar w:fldCharType="separate"/>
      </w:r>
      <w:r>
        <w:t xml:space="preserve">4.5</w:t>
      </w:r>
      <w:r>
        <w:fldChar w:fldCharType="end"/>
      </w:r>
      <w:r>
        <w:t xml:space="preserve">). DT-GSK responds on an orthogonal axis,</w:t>
      </w:r>
      <w:r>
        <w:t xml:space="preserve"> </w:t>
      </w:r>
      <w:r>
        <w:t xml:space="preserve">resolving the control regime</w:t>
      </w:r>
      <w:r>
        <w:t xml:space="preserve"> </w:t>
      </w:r>
      <w:r>
        <w:rPr>
          <w:i/>
          <w:iCs/>
        </w:rPr>
        <w:t xml:space="preserve">by dimension</w:t>
      </w:r>
      <w:r>
        <w:t xml:space="preserve"> </w:t>
      </w:r>
      <w:r>
        <w:t xml:space="preserve">rather than only the values</w:t>
      </w:r>
      <w:r>
        <w:t xml:space="preserve"> </w:t>
      </w:r>
      <w:r>
        <w:t xml:space="preserve">inside it: a dimension-tiered adaptive scaffold, resolved from a</w:t>
      </w:r>
      <w:r>
        <w:t xml:space="preserve"> </w:t>
      </w:r>
      <w:r>
        <w:t xml:space="preserve">single frozen configuration per dimension tier. Its parts are the ACE</w:t>
      </w:r>
      <w:r>
        <w:t xml:space="preserve"> </w:t>
      </w:r>
      <w:r>
        <w:t xml:space="preserve">credit-based selector with ARGP pruning, the tier-floored NLPSR schedule (a</w:t>
      </w:r>
      <w:r>
        <w:t xml:space="preserve"> </w:t>
      </w:r>
      <w:r>
        <w:t xml:space="preserve">variant of the APGSK NLPSR schedule, not claimed as</w:t>
      </w:r>
      <w:r>
        <w:t xml:space="preserve"> </w:t>
      </w:r>
      <w:r>
        <w:t xml:space="preserve">new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), the budget-safe escape</w:t>
      </w:r>
      <w:r>
        <w:t xml:space="preserve"> </w:t>
      </w:r>
      <w:r>
        <w:t xml:space="preserve">in the JADE/SHADE archive lineage </w:t>
      </w:r>
      <w:r>
        <w:fldChar w:fldCharType="begin"/>
      </w:r>
      <w:r>
        <w:instrText xml:space="preserve"> CITATION zhang2009jade \l 1033 \m tanabe2013shade </w:instrText>
      </w:r>
      <w:r>
        <w:fldChar w:fldCharType="separate"/>
      </w:r>
      <w:r>
        <w:t xml:space="preserve">[21,29]</w:t>
      </w:r>
      <w:r>
        <w:fldChar w:fldCharType="end"/>
      </w:r>
      <w:r>
        <w:t xml:space="preserve">,</w:t>
      </w:r>
      <w:r>
        <w:t xml:space="preserve"> </w:t>
      </w:r>
      <w:r>
        <w:t xml:space="preserve">and a deep-stall restart that preserves the global best.</w:t>
      </w:r>
    </w:p>
    <w:p>
      <w:pPr>
        <w:pStyle w:val="BodyText"/>
      </w:pPr>
      <w:r>
        <w:t xml:space="preserve">The bounded gap is therefore:</w:t>
      </w:r>
      <w:r>
        <w:t xml:space="preserve"> </w:t>
      </w:r>
      <w:r>
        <w:rPr>
          <w:i/>
          <w:iCs/>
        </w:rPr>
        <w:t xml:space="preserve">within the GSK operator style,</w:t>
      </w:r>
      <w:r>
        <w:rPr>
          <w:i/>
          <w:iCs/>
        </w:rPr>
        <w:t xml:space="preserve"> </w:t>
      </w:r>
      <w:r>
        <w:rPr>
          <w:i/>
          <w:iCs/>
        </w:rPr>
        <w:t xml:space="preserve">exploit the interaction structure of the moves the run has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accepted, at the upper tested tiers (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i/>
          <w:iCs/>
        </w:rPr>
        <w:t xml:space="preserve">), without spending any additional objective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evaluations and without replacing the base operator</w:t>
      </w:r>
      <w:r>
        <w:t xml:space="preserve">.</w:t>
      </w:r>
      <w:r>
        <w:t xml:space="preserve"> </w:t>
      </w:r>
      <w:r>
        <w:t xml:space="preserve">The junior and senior gaining-sharing vector-update equations are inherited</w:t>
      </w:r>
      <w:r>
        <w:t xml:space="preserve"> </w:t>
      </w:r>
      <w:r>
        <w:t xml:space="preserve">unchanged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, while the surrounding generation mechanics</w:t>
      </w:r>
      <w:r>
        <w:t xml:space="preserve"> </w:t>
      </w:r>
      <w:r>
        <w:t xml:space="preserve">are modified; DT-GSK’s contribution is an</w:t>
      </w:r>
      <w:r>
        <w:t xml:space="preserve"> </w:t>
      </w:r>
      <w:r>
        <w:t xml:space="preserve">adaptive configuration-and-budget scaffold, a deterministic final polish, and a controlled</w:t>
      </w:r>
      <w:r>
        <w:t xml:space="preserve"> </w:t>
      </w:r>
      <w:r>
        <w:t xml:space="preserve">family evaluation layered on those inherited equations, with an interaction-structure memory</w:t>
      </w:r>
      <w:r>
        <w:t xml:space="preserve"> </w:t>
      </w:r>
      <w:r>
        <w:t xml:space="preserve">as a supporting mechanism.</w:t>
      </w:r>
      <w:r>
        <w:t xml:space="preserve"> </w:t>
      </w:r>
      <w:r>
        <w:t xml:space="preserve">Whether this closes the gap is an empirical question, answered within</w:t>
      </w:r>
      <w:r>
        <w:t xml:space="preserve"> </w:t>
      </w:r>
      <w:r>
        <w:t xml:space="preserve">the seven-algorithm GSK-family panel in Section </w:t>
      </w:r>
      <w:r>
        <w:fldChar w:fldCharType="begin"/>
      </w:r>
      <w:r>
        <w:instrText xml:space="preserve"> REF ref_sec_experiments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</w:p>
    <w:bookmarkEnd w:id="15"/>
    <w:bookmarkEnd w:id="16"/>
    <w:bookmarkStart w:id="50" w:name="lbl_sec_algorithm"/>
    <w:p>
      <w:pPr>
        <w:pStyle w:val="Heading1"/>
      </w:pPr>
      <w:bookmarkStart w:id="154" w:name="ref_sec_algorithm"/>
      <w:r>
        <w:t xml:space="preserve">3.</w:t>
      </w:r>
      <w:bookmarkEnd w:id="154"/>
      <w:r>
        <w:tab/>
      </w:r>
      <w:r>
        <w:t xml:space="preserve"> Proposed DT-GSK Algorithm</w:t>
      </w:r>
    </w:p>
    <w:p>
      <w:pPr>
        <w:pStyle w:val="FirstParagraph"/>
      </w:pPr>
      <w:r>
        <w:t xml:space="preserve">DT-GSK retains the junior and senior gaining-sharing</w:t>
      </w:r>
      <w:r>
        <w:t xml:space="preserve"> </w:t>
      </w:r>
      <w:r>
        <w:rPr>
          <w:i/>
          <w:iCs/>
        </w:rPr>
        <w:t xml:space="preserve">vector-update</w:t>
      </w:r>
      <w:r>
        <w:rPr>
          <w:i/>
          <w:iCs/>
        </w:rPr>
        <w:t xml:space="preserve"> </w:t>
      </w:r>
      <w:r>
        <w:rPr>
          <w:i/>
          <w:iCs/>
        </w:rPr>
        <w:t xml:space="preserve">equations</w:t>
      </w:r>
      <w:r>
        <w:t xml:space="preserve"> </w:t>
      </w:r>
      <w:r>
        <w:t xml:space="preserve">of GSK verbatim (Eqs. (</w:t>
      </w:r>
      <w:r>
        <w:fldChar w:fldCharType="begin"/>
      </w:r>
      <w:r>
        <w:instrText xml:space="preserve"> REF ref_eq_junior_idx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)–(</w:t>
      </w:r>
      <w:r>
        <w:fldChar w:fldCharType="begin"/>
      </w:r>
      <w:r>
        <w:instrText xml:space="preserve"> REF ref_eq_gsk_update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)).</w:t>
      </w:r>
      <w:r>
        <w:t xml:space="preserve"> </w:t>
      </w:r>
      <w:r>
        <w:t xml:space="preserve">What it modifies is the generation mechanics that surround them: the crossover</w:t>
      </w:r>
      <w:r>
        <w:t xml:space="preserve"> </w:t>
      </w:r>
      <w:r>
        <w:t xml:space="preserve">mask (linkage blocks, 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)), tie handling in the greedy</w:t>
      </w:r>
      <w:r>
        <w:t xml:space="preserve"> </w:t>
      </w:r>
      <w:r>
        <w:t xml:space="preserve">selection (</w:t>
      </w:r>
      <m:oMath>
        <m:r>
          <m:rPr>
            <m:sty m:val="p"/>
          </m:rPr>
          <m:t>≤</m:t>
        </m:r>
      </m:oMath>
      <w:r>
        <w:t xml:space="preserve">, Eq. (</w:t>
      </w:r>
      <w:r>
        <w:fldChar w:fldCharType="begin"/>
      </w:r>
      <w:r>
        <w:instrText xml:space="preserve"> REF ref_eq_greedy_accept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)), the</w:t>
      </w:r>
      <w:r>
        <w:t xml:space="preserve"> </w:t>
      </w:r>
      <m:oMath>
        <m:r>
          <m:t>K</m:t>
        </m:r>
        <m:r>
          <m:t>R</m:t>
        </m:r>
      </m:oMath>
      <w:r>
        <w:t xml:space="preserve"> </w:t>
      </w:r>
      <w:r>
        <w:t xml:space="preserve">floor, an optional</w:t>
      </w:r>
      <w:r>
        <w:t xml:space="preserve"> </w:t>
      </w:r>
      <w:r>
        <w:t xml:space="preserve">DE trial arm, the senior partition, and the population size (NLPSR). On top of</w:t>
      </w:r>
      <w:r>
        <w:t xml:space="preserve"> </w:t>
      </w:r>
      <w:r>
        <w:t xml:space="preserve">that core it layers four kinds of machinery: control, budget, structure-memory,</w:t>
      </w:r>
      <w:r>
        <w:t xml:space="preserve"> </w:t>
      </w:r>
      <w:r>
        <w:t xml:space="preserve">and polish.</w:t>
      </w:r>
      <w:r>
        <w:t xml:space="preserve"> </w:t>
      </w:r>
      <w:r>
        <w:t xml:space="preserve">The contribution boundaries are marked explicitly throughout: no new base</w:t>
      </w:r>
      <w:r>
        <w:t xml:space="preserve"> </w:t>
      </w:r>
      <w:r>
        <w:t xml:space="preserve">operator is claimed, the dimension-tiered adaptive scaffold is C2, the</w:t>
      </w:r>
      <w:r>
        <w:t xml:space="preserve"> </w:t>
      </w:r>
      <w:r>
        <w:t xml:space="preserve">deterministic final polish is C1, and the determinism layer is C3; the</w:t>
      </w:r>
      <w:r>
        <w:t xml:space="preserve"> </w:t>
      </w:r>
      <w:r>
        <w:t xml:space="preserve">interaction-structure memory is a supporting mechanism, not a contribution.</w:t>
      </w:r>
      <w:r>
        <w:t xml:space="preserve"> </w:t>
      </w:r>
      <w:r>
        <w:t xml:space="preserve">Every mechanism below is presented as proposed and fully specified, and</w:t>
      </w:r>
      <w:r>
        <w:t xml:space="preserve"> </w:t>
      </w:r>
      <w:r>
        <w:t xml:space="preserve">each design constant is either justified in one sentence or labeled a</w:t>
      </w:r>
      <w:r>
        <w:t xml:space="preserve"> </w:t>
      </w:r>
      <w:r>
        <w:t xml:space="preserve">frozen default of the single shipped configuration.</w:t>
      </w:r>
    </w:p>
    <w:bookmarkStart w:id="18" w:name="lbl_sec_alg_notation"/>
    <w:p>
      <w:pPr>
        <w:pStyle w:val="Heading2"/>
      </w:pPr>
      <w:bookmarkStart w:id="155" w:name="ref_sec_alg_notation"/>
      <w:r>
        <w:t xml:space="preserve">3.1.</w:t>
      </w:r>
      <w:bookmarkEnd w:id="155"/>
      <w:r>
        <w:tab/>
      </w:r>
      <w:r>
        <w:t xml:space="preserve"> Notation and Base-GSK Recap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ref_tab_notation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collects the core problem, population, and base-GSK</w:t>
      </w:r>
      <w:r>
        <w:t xml:space="preserve"> </w:t>
      </w:r>
      <w:r>
        <w:t xml:space="preserve">symbols; the subsystem symbols are introduced with their sections</w:t>
      </w:r>
      <w:r>
        <w:t xml:space="preserve"> </w:t>
      </w:r>
      <w:r>
        <w:t xml:space="preserve">(Tables </w:t>
      </w:r>
      <w:r>
        <w:fldChar w:fldCharType="begin"/>
      </w:r>
      <w:r>
        <w:instrText xml:space="preserve"> REF ref_tab_notation_scaffold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and </w:t>
      </w:r>
      <w:r>
        <w:fldChar w:fldCharType="begin"/>
      </w:r>
      <w:r>
        <w:instrText xml:space="preserve"> REF ref_tab_notation_ism \h </w:instrText>
      </w:r>
      <w:r>
        <w:fldChar w:fldCharType="separate"/>
      </w:r>
      <w:r>
        <w:t xml:space="preserve">8</w:t>
      </w:r>
      <w:r>
        <w:fldChar w:fldCharType="end"/>
      </w:r>
      <w:r>
        <w:t xml:space="preserve">) and the RNG</w:t>
      </w:r>
      <w:r>
        <w:t xml:space="preserve"> </w:t>
      </w:r>
      <w:r>
        <w:t xml:space="preserve">substream key with the reproducibility material (Supplementary Materials, Section S5). Throughout,</w:t>
      </w:r>
      <w:r>
        <w:t xml:space="preserve"> </w:t>
      </w:r>
      <w:r>
        <w:t xml:space="preserve">symbols keep one casing and one meaning across prose, equations, pseudocode,</w:t>
      </w:r>
      <w:r>
        <w:t xml:space="preserve"> </w:t>
      </w:r>
      <w:r>
        <w:t xml:space="preserve">and tables.</w:t>
      </w:r>
    </w:p>
    <w:bookmarkStart w:id="17" w:name="lbl_tab_notation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56" w:name="ref_tab_notation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</w:t>
      </w:r>
      <w:r>
        <w:fldChar w:fldCharType="end"/>
      </w:r>
      <w:bookmarkEnd w:id="156"/>
      <w:r>
        <w:rPr>
          <w:b/>
        </w:rPr>
        <w:t xml:space="preserve">. </w:t>
      </w:r>
      <w:r>
        <w:t xml:space="preserve"> Core notation: problem, population, and base-GSK symbols used in the</w:t>
      </w:r>
      <w:r>
        <w:t xml:space="preserve"> </w:t>
      </w:r>
      <w:r>
        <w:t xml:space="preserve">pseudocode (Algorithm </w:t>
      </w:r>
      <w:r>
        <w:fldChar w:fldCharType="begin"/>
      </w:r>
      <w:r>
        <w:instrText xml:space="preserve"> REF ref_alg_dt_gsk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 and the equation registry</w:t>
      </w:r>
      <w:r>
        <w:t xml:space="preserve"> </w:t>
      </w:r>
      <w:r>
        <w:t xml:space="preserve">(Eqs. </w:t>
      </w:r>
      <w:r>
        <w:fldChar w:fldCharType="begin"/>
      </w:r>
      <w:r>
        <w:instrText xml:space="preserve"> REF ref_eq_junior_idx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ref_eq_rng_substreams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). Subsystem symbols are</w:t>
      </w:r>
      <w:r>
        <w:t xml:space="preserve"> </w:t>
      </w:r>
      <w:r>
        <w:t xml:space="preserve">defined with their sections (Tables </w:t>
      </w:r>
      <w:r>
        <w:fldChar w:fldCharType="begin"/>
      </w:r>
      <w:r>
        <w:instrText xml:space="preserve"> REF ref_tab_notation_scaffold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</w:t>
      </w:r>
      <w:r>
        <w:t xml:space="preserve">and </w:t>
      </w:r>
      <w:r>
        <w:fldChar w:fldCharType="begin"/>
      </w:r>
      <w:r>
        <w:instrText xml:space="preserve"> REF ref_tab_notation_ism \h </w:instrText>
      </w:r>
      <w:r>
        <w:fldChar w:fldCharType="separate"/>
      </w:r>
      <w:r>
        <w:t xml:space="preserve">8</w:t>
      </w:r>
      <w:r>
        <w:fldChar w:fldCharType="end"/>
      </w:r>
      <w:r>
        <w:t xml:space="preserve">); per-equation GSK trial/mask symbols (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are defined in place, and constants take the frozen-configuration</w:t>
      </w:r>
      <w:r>
        <w:t xml:space="preserve"> </w:t>
      </w:r>
      <w:r>
        <w:t xml:space="preserve">values (Table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notation: problem, population, and base-GSK symbols used in the pseudocode (Algorithm 1) and the equation registry (Eqs. 1–13). Subsystem symbols are defined with their sections (Tables 6 and 8); per-equation GSK trial/mask symbols (u_i, v_i, m_ij) are defined in place, and constants take the frozen-configuration values (Table 10)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Problem and population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: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objective (minimized)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box bounds (</w:t>
            </w:r>
            <m:oMath>
              <m:r>
                <m:t>ℓ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 </w:t>
            </w:r>
            <w:r>
              <w:t xml:space="preserve">scalar, or per-coordinate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MaxFES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evaluation budget (suite-dependent; Section </w:t>
            </w:r>
            <w:r>
              <w:fldChar w:fldCharType="begin"/>
            </w:r>
            <w:r>
              <w:instrText xml:space="preserve"> REF ref_sec_alg_complexity \h </w:instrText>
            </w:r>
            <w:r>
              <w:fldChar w:fldCharType="separate"/>
            </w:r>
            <w:r>
              <w:t xml:space="preserve">3.8</w:t>
            </w:r>
            <w:r>
              <w:fldChar w:fldCharType="end"/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evaluations used so far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MaxFES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fraction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initial population size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NLPSR floor (12 bare; 25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population size (NLPSR schedule)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t>P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population (rows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working incumbent and its 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g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t>g</m:t>
                  </m:r>
                  <m:r>
                    <m:t>b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global-best (preserved across restarts)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GSK operator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knowledge-source indices (junior: rank-neighbors;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senior: top/mid/worst groups)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junior/senior comparison sign (Eq. </w:t>
            </w:r>
            <w:r>
              <w:fldChar w:fldCharType="begin"/>
            </w:r>
            <w:r>
              <w:instrText xml:space="preserve"> REF ref_eq_gsk_update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):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the compared source (</w:t>
            </w:r>
            <m:oMath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junior,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senior) is fitter than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knowledge factor (step scale)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knowledge ratio (per-dimension update probability)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junior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senior dimension-schedule exponent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jun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⌈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exp</m:t>
                      </m:r>
                    </m:sub>
                  </m:sSub>
                </m:sup>
              </m:sSup>
              <m:r>
                <m:rPr>
                  <m:sty m:val="p"/>
                </m:rPr>
                <m:t>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expected</w:t>
            </w:r>
            <w:r>
              <w:t xml:space="preserve"> </w:t>
            </w:r>
            <w:r>
              <w:t xml:space="preserve">junior-phase coordinate count; a coordinate joins the junior phase with marginal probability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jun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jun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, drawn independently per coordinate on the scalar-mask rows and per block on the linkage-blockwise rows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senior partition fraction (group size</w:t>
            </w:r>
            <w:r>
              <w:t xml:space="preserve"> </w:t>
            </w:r>
            <m:oMath>
              <m:r>
                <m:rPr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</w:tbl>
    <w:bookmarkEnd w:id="17"/>
    <w:p>
      <w:pPr>
        <w:pStyle w:val="BodyText"/>
      </w:pPr>
      <w:r>
        <w:t xml:space="preserve">We consider bound-constrained minimization 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over the box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ℓ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, whose bounds are given per coordinate</w:t>
      </w:r>
      <w:r>
        <w:t xml:space="preserve"> </w:t>
      </w:r>
      <w:r>
        <w:t xml:space="preserve">(the uniform case</w:t>
      </w:r>
      <w:r>
        <w:t xml:space="preserve"> </w:t>
      </w:r>
      <m:oMath>
        <m:sSub>
          <m:e>
            <m:r>
              <m:t>ℓ</m:t>
            </m:r>
          </m:e>
          <m:sub>
            <m:r>
              <m:t>j</m:t>
            </m:r>
          </m:sub>
        </m:sSub>
        <m:r>
          <m:rPr>
            <m:sty m:val="p"/>
          </m:rPr>
          <m:t>≡</m:t>
        </m:r>
        <m:r>
          <m:t>ℓ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≡</m:t>
        </m:r>
        <m:r>
          <m:t>u</m:t>
        </m:r>
      </m:oMath>
      <w:r>
        <w:t xml:space="preserve"> </w:t>
      </w:r>
      <w:r>
        <w:t xml:space="preserve">recovers the scalar</w:t>
      </w:r>
      <w:r>
        <w:t xml:space="preserve"> </w:t>
      </w:r>
      <w:r>
        <w:t xml:space="preserve">box</w:t>
      </w:r>
      <w:r>
        <w:t xml:space="preserve"> </w:t>
      </w:r>
      <m:oMath>
        <m:r>
          <m:rPr>
            <m:sty m:val="p"/>
          </m:rPr>
          <m:t>[</m:t>
        </m:r>
        <m:r>
          <m:t>ℓ</m:t>
        </m:r>
        <m:r>
          <m:rPr>
            <m:sty m:val="p"/>
          </m:rPr>
          <m:t>,</m:t>
        </m:r>
        <m:r>
          <m:t>u</m:t>
        </m:r>
        <m:sSup>
          <m:e>
            <m:r>
              <m:rPr>
                <m:sty m:val="p"/>
              </m:rPr>
              <m:t>]</m:t>
            </m:r>
          </m:e>
          <m:sup>
            <m:r>
              <m:t>D</m:t>
            </m:r>
          </m:sup>
        </m:sSup>
      </m:oMath>
      <w:r>
        <w:t xml:space="preserve">), under a fixed</w:t>
      </w:r>
      <w:r>
        <w:t xml:space="preserve"> </w:t>
      </w:r>
      <w:r>
        <w:t xml:space="preserve">evaluation budget MaxFES.</w:t>
      </w:r>
      <w:r>
        <w:t xml:space="preserve"> </w:t>
      </w:r>
      <w:r>
        <w:t xml:space="preserve">GSK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 evolves a population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through a</w:t>
      </w:r>
      <w:r>
        <w:t xml:space="preserve"> </w:t>
      </w:r>
      <w:r>
        <w:t xml:space="preserve">junior (gaining) and a senior (sharing) knowledge-transfer phase.</w:t>
      </w:r>
      <w:r>
        <w:t xml:space="preserve"> </w:t>
      </w:r>
      <w:r>
        <w:t xml:space="preserve">In the junior phase, each individual at fitness rank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draws its</w:t>
      </w:r>
      <w:r>
        <w:t xml:space="preserve"> </w:t>
      </w:r>
      <w:r>
        <w:t xml:space="preserve">knowledge sources from its rank neighbors and one random peer,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ref_eq_junior_idx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). In the senior phase the sources come from</w:t>
      </w:r>
      <w:r>
        <w:t xml:space="preserve"> </w:t>
      </w:r>
      <w:r>
        <w:t xml:space="preserve">the top, middle, and worst partitions of the ranked population, with</w:t>
      </w:r>
      <w:r>
        <w:t xml:space="preserve"> </w:t>
      </w:r>
      <w:r>
        <w:t xml:space="preserve">the outer group sizes set by the partition fraction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ref_eq_senior_idx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).</w:t>
      </w:r>
      <w:r>
        <w:t xml:space="preserve"> </w:t>
      </w:r>
      <w:r>
        <w:t xml:space="preserve">The expected number of coordinates treated by the junior rule decays with the</w:t>
      </w:r>
      <w:r>
        <w:t xml:space="preserve"> </w:t>
      </w:r>
      <w:r>
        <w:t xml:space="preserve">consumed budget fraction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rPr>
            <m:nor/>
            <m:sty m:val="p"/>
          </m:rPr>
          <m:t>MaxFES</m:t>
        </m:r>
      </m:oMath>
      <w:r>
        <w:t xml:space="preserve"> </w:t>
      </w:r>
      <w:r>
        <w:t xml:space="preserve">through the schedule of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ref_eq_kexp_schedule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), where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</m:oMath>
      <w:r>
        <w:t xml:space="preserve"> </w:t>
      </w:r>
      <w:r>
        <w:t xml:space="preserve">is the schedule exponent</w:t>
      </w:r>
      <w:r>
        <w:t xml:space="preserve"> </w:t>
      </w:r>
      <w:r>
        <w:t xml:space="preserve">(frozen default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).</w:t>
      </w:r>
      <w:r>
        <w:t xml:space="preserve"> </w:t>
      </w:r>
      <w:r>
        <w:t xml:space="preserve">Both phases apply the gaining-sharing update of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ref_eq_gsk_update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), where</w:t>
      </w:r>
      <w:r>
        <w:t xml:space="preserve"> </w:t>
      </w:r>
      <m:oMath>
        <m:r>
          <m:t>K</m:t>
        </m:r>
        <m:r>
          <m:t>F</m:t>
        </m:r>
      </m:oMath>
      <w:r>
        <w:t xml:space="preserve"> </w:t>
      </w:r>
      <w:r>
        <w:t xml:space="preserve">scales the step 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the sign of the fitness comparison between the</w:t>
      </w:r>
      <w:r>
        <w:t xml:space="preserve"> </w:t>
      </w:r>
      <w:r>
        <w:t xml:space="preserve">individual and the knowledge source its phase compares against. That source is</w:t>
      </w:r>
      <w:r>
        <w:t xml:space="preserve"> </w:t>
      </w:r>
      <w:r>
        <w:t xml:space="preserve">the random peer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junior phase and the middle-group source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senior phase, exactly as in the published operator.</w:t>
      </w:r>
      <w:r>
        <w:t xml:space="preserve"> </w:t>
      </w:r>
      <w:r>
        <w:t xml:space="preserve">Out-of-bounds components are repaired to the midpoint of the parent and</w:t>
      </w:r>
      <w:r>
        <w:t xml:space="preserve"> </w:t>
      </w:r>
      <w:r>
        <w:t xml:space="preserve">the violated bound, Eq. (</w:t>
      </w:r>
      <w:r>
        <w:fldChar w:fldCharType="begin"/>
      </w:r>
      <w:r>
        <w:instrText xml:space="preserve"> REF ref_eq_midpoint_repair \h </w:instrText>
      </w:r>
      <w:r>
        <w:fldChar w:fldCharType="separate"/>
      </w:r>
      <w:r>
        <w:t xml:space="preserve">8</w:t>
      </w:r>
      <w:r>
        <w:fldChar w:fldCharType="end"/>
      </w:r>
      <w:r>
        <w:t xml:space="preserve">), the rule introduced</w:t>
      </w:r>
      <w:r>
        <w:t xml:space="preserve"> </w:t>
      </w:r>
      <w:r>
        <w:t xml:space="preserve">with JADE </w:t>
      </w:r>
      <w:r>
        <w:fldChar w:fldCharType="begin"/>
      </w:r>
      <w:r>
        <w:instrText xml:space="preserve"> CITATION zhang2009jade \l 1033 </w:instrText>
      </w:r>
      <w:r>
        <w:fldChar w:fldCharType="separate"/>
      </w:r>
      <w:r>
        <w:t xml:space="preserve">[29]</w:t>
      </w:r>
      <w:r>
        <w:fldChar w:fldCharType="end"/>
      </w:r>
      <w:r>
        <w:t xml:space="preserve"> and carried through the L-SHADE</w:t>
      </w:r>
      <w:r>
        <w:t xml:space="preserve"> </w:t>
      </w:r>
      <w:r>
        <w:t xml:space="preserve">lineage </w:t>
      </w:r>
      <w:r>
        <w:fldChar w:fldCharType="begin"/>
      </w:r>
      <w:r>
        <w:instrText xml:space="preserve"> CITATION tanabe2014improving \l 1033 </w:instrText>
      </w:r>
      <w:r>
        <w:fldChar w:fldCharType="separate"/>
      </w:r>
      <w:r>
        <w:t xml:space="preserve">[11]</w:t>
      </w:r>
      <w:r>
        <w:fldChar w:fldCharType="end"/>
      </w:r>
      <w:r>
        <w:t xml:space="preserve">, and survivors are chosen by</w:t>
      </w:r>
      <w:r>
        <w:t xml:space="preserve"> </w:t>
      </w:r>
      <w:r>
        <w:t xml:space="preserve">greedy elitist selection, Eq. (</w:t>
      </w:r>
      <w:r>
        <w:fldChar w:fldCharType="begin"/>
      </w:r>
      <w:r>
        <w:instrText xml:space="preserve"> REF ref_eq_greedy_accept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): a</w:t>
      </w:r>
      <w:r>
        <w:t xml:space="preserve"> </w:t>
      </w:r>
      <w:r>
        <w:t xml:space="preserve">child replaces its parent if it is no worse (</w:t>
      </w:r>
      <m:oMath>
        <m:r>
          <m:rPr>
            <m:sty m:val="p"/>
          </m:rPr>
          <m:t>≤</m:t>
        </m:r>
      </m:oMath>
      <w:r>
        <w:t xml:space="preserve">; ties accepted).</w:t>
      </w:r>
    </w:p>
    <w:p>
      <w:pPr>
        <w:pStyle w:val="BodyText"/>
      </w:pPr>
      <w:r>
        <w:t xml:space="preserve">These four elements — the junior/senior operator with its index</w:t>
      </w:r>
      <w:r>
        <w:t xml:space="preserve"> </w:t>
      </w:r>
      <w:r>
        <w:t xml:space="preserve">rules, the junior-dimension schedule, the midpoint bound repair, and</w:t>
      </w:r>
      <w:r>
        <w:t xml:space="preserve"> </w:t>
      </w:r>
      <w:r>
        <w:t xml:space="preserve">the greedy selection — are inherited from their cited</w:t>
      </w:r>
      <w:r>
        <w:t xml:space="preserve"> </w:t>
      </w:r>
      <w:r>
        <w:t xml:space="preserve">sources </w:t>
      </w:r>
      <w:r>
        <w:fldChar w:fldCharType="begin"/>
      </w:r>
      <w:r>
        <w:instrText xml:space="preserve"> CITATION mohamed2020gaining \l 1033 \m tanabe2014improving </w:instrText>
      </w:r>
      <w:r>
        <w:fldChar w:fldCharType="separate"/>
      </w:r>
      <w:r>
        <w:t xml:space="preserve">[5,11]</w:t>
      </w:r>
      <w:r>
        <w:fldChar w:fldCharType="end"/>
      </w:r>
      <w:r>
        <w:t xml:space="preserve"> with their</w:t>
      </w:r>
      <w:r>
        <w:t xml:space="preserve"> </w:t>
      </w:r>
      <w:r>
        <w:t xml:space="preserve">vector-update numerics unchanged; the only relaxation is the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tie-handling in selection (accepting equal-fitness trials).</w:t>
      </w:r>
      <w:r>
        <w:t xml:space="preserve"> </w:t>
      </w:r>
      <w:r>
        <w:t xml:space="preserve">For single-source reference, the complete frozen set of update rules</w:t>
      </w:r>
      <w:r>
        <w:t xml:space="preserve"> </w:t>
      </w:r>
      <w:r>
        <w:t xml:space="preserve">for DT-GSK is reproduced below:</w:t>
      </w:r>
      <w:r>
        <w:t xml:space="preserve"> </w:t>
      </w:r>
      <w:r>
        <w:t xml:space="preserve">Eqs. (</w:t>
      </w:r>
      <w:r>
        <w:fldChar w:fldCharType="begin"/>
      </w:r>
      <w:r>
        <w:instrText xml:space="preserve"> REF ref_eq_junior_idx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)–(</w:t>
      </w:r>
      <w:r>
        <w:fldChar w:fldCharType="begin"/>
      </w:r>
      <w:r>
        <w:instrText xml:space="preserve"> REF ref_eq_gsk_update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),</w:t>
      </w:r>
      <w:r>
        <w:t xml:space="preserve"> </w:t>
      </w:r>
      <w:r>
        <w:t xml:space="preserve">(</w:t>
      </w:r>
      <w:r>
        <w:fldChar w:fldCharType="begin"/>
      </w:r>
      <w:r>
        <w:instrText xml:space="preserve"> REF ref_eq_midpoint_repair \h </w:instrText>
      </w:r>
      <w:r>
        <w:fldChar w:fldCharType="separate"/>
      </w:r>
      <w:r>
        <w:t xml:space="preserve">8</w:t>
      </w:r>
      <w:r>
        <w:fldChar w:fldCharType="end"/>
      </w:r>
      <w:r>
        <w:t xml:space="preserve">), and (</w:t>
      </w:r>
      <w:r>
        <w:fldChar w:fldCharType="begin"/>
      </w:r>
      <w:r>
        <w:instrText xml:space="preserve"> REF ref_eq_greedy_accept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) are the</w:t>
      </w:r>
      <w:r>
        <w:t xml:space="preserve"> </w:t>
      </w:r>
      <w:r>
        <w:t xml:space="preserve">inherited rules just discussed.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 (crossover mask) is discussed with the linkage</w:t>
      </w:r>
      <w:r>
        <w:t xml:space="preserve"> </w:t>
      </w:r>
      <w:r>
        <w:t xml:space="preserve">channel in Section </w:t>
      </w:r>
      <w:r>
        <w:fldChar w:fldCharType="begin"/>
      </w:r>
      <w:r>
        <w:instrText xml:space="preserve"> REF ref_sec_alg_ism \h </w:instrText>
      </w:r>
      <w:r>
        <w:fldChar w:fldCharType="separate"/>
      </w:r>
      <w:r>
        <w:t xml:space="preserve">3.4</w:t>
      </w:r>
      <w:r>
        <w:fldChar w:fldCharType="end"/>
      </w:r>
      <w:r>
        <w:t xml:space="preserve">.</w:t>
      </w:r>
      <w:r>
        <w:t xml:space="preserve"> </w:t>
      </w:r>
      <w:r>
        <w:t xml:space="preserve">Eqs. (</w:t>
      </w:r>
      <w:r>
        <w:fldChar w:fldCharType="begin"/>
      </w:r>
      <w:r>
        <w:instrText xml:space="preserve"> REF ref_eq_nlpsr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), (</w:t>
      </w:r>
      <w:r>
        <w:fldChar w:fldCharType="begin"/>
      </w:r>
      <w:r>
        <w:instrText xml:space="preserve"> REF ref_eq_ace_update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), and</w:t>
      </w:r>
      <w:r>
        <w:t xml:space="preserve"> </w:t>
      </w:r>
      <w:r>
        <w:t xml:space="preserve">(</w:t>
      </w:r>
      <w:r>
        <w:fldChar w:fldCharType="begin"/>
      </w:r>
      <w:r>
        <w:instrText xml:space="preserve"> REF ref_eq_bse_cauchy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 belong to the scaffold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ref_sec_alg_scaffold \h </w:instrText>
      </w:r>
      <w:r>
        <w:fldChar w:fldCharType="separate"/>
      </w:r>
      <w:r>
        <w:t xml:space="preserve">3.3</w:t>
      </w:r>
      <w:r>
        <w:fldChar w:fldCharType="end"/>
      </w:r>
      <w:r>
        <w:t xml:space="preserve">.</w:t>
      </w:r>
      <w:r>
        <w:t xml:space="preserve"> </w:t>
      </w:r>
      <w:r>
        <w:t xml:space="preserve">Eqs. (</w:t>
      </w:r>
      <w:r>
        <w:fldChar w:fldCharType="begin"/>
      </w:r>
      <w:r>
        <w:instrText xml:space="preserve"> REF ref_eq_sgsm_graph \h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) and (</w:t>
      </w:r>
      <w:r>
        <w:fldChar w:fldCharType="begin"/>
      </w:r>
      <w:r>
        <w:instrText xml:space="preserve"> REF ref_eq_eigen_polish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) define the</w:t>
      </w:r>
      <w:r>
        <w:t xml:space="preserve"> </w:t>
      </w:r>
      <w:r>
        <w:t xml:space="preserve">structure memory and the polish</w:t>
      </w:r>
      <w:r>
        <w:t xml:space="preserve"> </w:t>
      </w:r>
      <w:r>
        <w:t xml:space="preserve">(Sections </w:t>
      </w:r>
      <w:r>
        <w:fldChar w:fldCharType="begin"/>
      </w:r>
      <w:r>
        <w:instrText xml:space="preserve"> REF ref_sec_alg_ism \h </w:instrText>
      </w:r>
      <w:r>
        <w:fldChar w:fldCharType="separate"/>
      </w:r>
      <w:r>
        <w:t xml:space="preserve">3.4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ref_sec_alg_polish \h </w:instrText>
      </w:r>
      <w:r>
        <w:fldChar w:fldCharType="separate"/>
      </w:r>
      <w:r>
        <w:t xml:space="preserve">3.5</w:t>
      </w:r>
      <w:r>
        <w:fldChar w:fldCharType="end"/>
      </w:r>
      <w:r>
        <w:t xml:space="preserve">). Finally,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ref_eq_rng_substreams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) defines the determinism layer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ref_sec_alg_profile \h </w:instrText>
      </w:r>
      <w:r>
        <w:fldChar w:fldCharType="separate"/>
      </w:r>
      <w:r>
        <w:t xml:space="preserve">3.7</w:t>
      </w:r>
      <w:r>
        <w:fldChar w:fldCharType="end"/>
      </w:r>
      <w:r>
        <w:t xml:space="preserve">).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\</m:t>
            </m:r>
            <m:r>
              <m:rPr>
                <m:sty m:val="p"/>
              </m:rPr>
              <m:t>{</m:t>
            </m:r>
            <m:r>
              <m:t>i</m:t>
            </m:r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}</m:t>
            </m:r>
          </m:e>
        </m:d>
      </m:oMath>
      <w:r>
        <w:tab/>
      </w:r>
      <w:r>
        <w:t xml:space="preserve">(</w:t>
      </w:r>
      <w:bookmarkStart w:id="157" w:name="ref_eq_junior_idx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</w:t>
      </w:r>
      <w:r>
        <w:fldChar w:fldCharType="end"/>
      </w:r>
      <w:bookmarkEnd w:id="157"/>
      <w:r>
        <w:t xml:space="preserve">)</w:t>
      </w:r>
    </w:p>
    <w:p>
      <w:pPr>
        <w:pStyle w:val="BodyText"/>
      </w:pPr>
      <w:r>
        <w:t xml:space="preserve">At the rank boundaries the neighbour pair is taken from the two nearest interior ranks: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best individual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worst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), as in the reference GSK implementation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best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 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mid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 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worst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best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worst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round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⋅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ab/>
      </w:r>
      <w:r>
        <w:t xml:space="preserve">(</w:t>
      </w:r>
      <w:bookmarkStart w:id="158" w:name="ref_eq_senior_idx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2</w:t>
      </w:r>
      <w:r>
        <w:fldChar w:fldCharType="end"/>
      </w:r>
      <w:bookmarkEnd w:id="158"/>
      <w:r>
        <w:t xml:space="preserve">)</w:t>
      </w:r>
    </w:p>
    <w:p>
      <w:pPr>
        <w:pStyle w:val="BodyText"/>
      </w:pPr>
      <w:r>
        <w:t xml:space="preserve">The fraction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population-wide below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.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the frozen profile enables a conditional two-rate partition: while the trailing ten-generation mean acceptance is at most</w:t>
      </w:r>
      <w:r>
        <w:t xml:space="preserve"> </w:t>
      </w:r>
      <m:oMath>
        <m:r>
          <m:t>0.10</m:t>
        </m:r>
      </m:oMath>
      <w:r>
        <w:t xml:space="preserve">, the worse-ranked half of the population draws its senior sources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and the better-ranked half keeps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; whenever acceptance is above that floor the single rate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used for the whole population.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jun</m:t>
            </m:r>
          </m:sub>
        </m:sSub>
        <m:r>
          <m:rPr>
            <m:sty m:val="p"/>
          </m:rPr>
          <m:t>=</m:t>
        </m:r>
        <m:d>
          <m:dPr>
            <m:begChr m:val="⌈"/>
            <m:sepChr m:val=""/>
            <m:endChr m:val="⌉"/>
            <m:grow/>
          </m:dPr>
          <m:e>
            <m:r>
              <m:t>D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exp</m:t>
                    </m:r>
                  </m:sub>
                </m:sSub>
              </m:sup>
            </m:sSup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jun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jun</m:t>
                </m:r>
              </m:sub>
            </m:sSub>
          </m:num>
          <m:den>
            <m:r>
              <m:t>D</m:t>
            </m:r>
          </m:den>
        </m:f>
        <m:r>
          <m:rPr>
            <m:sty m:val="p"/>
          </m:rPr>
          <m:t>,</m:t>
        </m:r>
        <m:r>
          <m:t>  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rPr>
                <m:nor/>
                <m:sty m:val="p"/>
              </m:rPr>
              <m:t>MaxFES</m:t>
            </m:r>
          </m:den>
        </m:f>
      </m:oMath>
      <w:r>
        <w:tab/>
      </w:r>
      <w:r>
        <w:t xml:space="preserve">(</w:t>
      </w:r>
      <w:bookmarkStart w:id="159" w:name="ref_eq_kexp_schedule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3</w:t>
      </w:r>
      <w:r>
        <w:fldChar w:fldCharType="end"/>
      </w:r>
      <w:bookmarkEnd w:id="159"/>
      <w:r>
        <w:t xml:space="preserve">)</w:t>
      </w:r>
    </w:p>
    <w:p>
      <w:pPr>
        <w:pStyle w:val="BodyText"/>
      </w:pPr>
      <w:r>
        <w:t xml:space="preserve">Each coordinate joins the junior phase with marginal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jun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jun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expected</w:t>
      </w:r>
      <w:r>
        <w:t xml:space="preserve">, not the realized, junior-coordinate count. The assignment is an independent per-coordinate Bernoulli draw only on the rows that take the scalar mask; on a linkage-blockwise row (Eq.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)) a single draw is shared across a whole block, so coordinates within a block are perfectly correlated and the realized count is more dispersed than the independent case.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eqArr>
          <m:e>
            <m:r>
              <m:rPr>
                <m:nor/>
                <m:sty m:val="p"/>
              </m:rPr>
              <m:t>junior:</m:t>
            </m:r>
            <m:r>
              <m:t> 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 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  <m:r>
              <m:t>F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</m:e>
            </m:d>
            <m:r>
              <m:rPr>
                <m:sty m:val="p"/>
              </m:rPr>
              <m:t>,</m:t>
            </m:r>
          </m:e>
          <m:e>
            <m:r>
              <m:rPr>
                <m:nor/>
                <m:sty m:val="p"/>
              </m:rPr>
              <m:t>senior:</m:t>
            </m:r>
            <m:r>
              <m:t> 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 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  <m:r>
              <m:t>F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s</m:t>
                    </m:r>
                  </m:e>
                  <m:sub>
                    <m:r>
                      <m:t>S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</m:e>
            </m:d>
            <m:r>
              <m:rPr>
                <m:sty m:val="p"/>
              </m:rPr>
              <m:t>,</m:t>
            </m:r>
          </m:e>
          <m:e>
            <m:sSub>
              <m:e>
                <m:r>
                  <m:t>s</m:t>
                </m:r>
              </m:e>
              <m:sub>
                <m:r>
                  <m:t>J</m:t>
                </m:r>
              </m:sub>
            </m:sSub>
            <m:r>
              <m:t> 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+</m:t>
            </m:r>
            <m:r>
              <m:t>1</m:t>
            </m:r>
            <m:r>
              <m:t> </m:t>
            </m:r>
            <m:r>
              <m:rPr>
                <m:nor/>
                <m:sty m:val="p"/>
              </m:rPr>
              <m:t> if 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R</m:t>
                    </m:r>
                  </m:e>
                  <m:sub>
                    <m:r>
                      <m:t>3</m:t>
                    </m:r>
                  </m:sub>
                </m:sSub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nor/>
                <m:sty m:val="p"/>
              </m:rPr>
              <m:t> else 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</m:e>
          <m:e>
            <m:sSub>
              <m:e>
                <m:r>
                  <m:t>s</m:t>
                </m:r>
              </m:e>
              <m:sub>
                <m:r>
                  <m:t>S</m:t>
                </m:r>
              </m:sub>
            </m:sSub>
            <m:r>
              <m:t> 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+</m:t>
            </m:r>
            <m:r>
              <m:t>1</m:t>
            </m:r>
            <m:r>
              <m:t> </m:t>
            </m:r>
            <m:r>
              <m:rPr>
                <m:nor/>
                <m:sty m:val="p"/>
              </m:rPr>
              <m:t> if 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nor/>
                <m:sty m:val="p"/>
              </m:rPr>
              <m:t> else </m:t>
            </m:r>
            <m:r>
              <m:rPr>
                <m:sty m:val="p"/>
              </m:rPr>
              <m:t>−</m:t>
            </m:r>
            <m:r>
              <m:t>1</m:t>
            </m:r>
          </m:e>
        </m:eqArr>
      </m:oMath>
      <w:r>
        <w:tab/>
      </w:r>
      <w:r>
        <w:t xml:space="preserve">(</w:t>
      </w:r>
      <w:bookmarkStart w:id="160" w:name="ref_eq_gsk_update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4</w:t>
      </w:r>
      <w:r>
        <w:fldChar w:fldCharType="end"/>
      </w:r>
      <w:bookmarkEnd w:id="160"/>
      <w:r>
        <w:t xml:space="preserve">)</w:t>
      </w:r>
    </w:p>
    <w:p>
      <w:pPr>
        <w:pStyle w:val="BodyText"/>
      </w:pPr>
      <w:r>
        <w:t xml:space="preserve">Here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are the signs of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fitness</w:t>
      </w:r>
      <w:r>
        <w:t xml:space="preserve"> </w:t>
      </w:r>
      <w:r>
        <w:t xml:space="preserve">comparisons: the junior phase compares the random source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whereas the senior phase compares the middle source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Both follow the same convention—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when the compared source is fitter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so that the step is oriented towards it, 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(an exact tie takes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).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  <m:e>
                  <m:r>
                    <m:rPr>
                      <m:nor/>
                      <m:sty m:val="p"/>
                    </m:rPr>
                    <m:t>otherwise</m:t>
                  </m:r>
                </m:e>
              </m:mr>
            </m:m>
          </m:e>
        </m:d>
        <m:r>
          <m:t>  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∼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Bernoulli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e>
                  <m:r>
                    <m:rPr>
                      <m:nor/>
                      <m:sty m:val="p"/>
                    </m:rPr>
                    <m:t>per-coordinate mask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shared across a linkage block </m:t>
                  </m:r>
                  <m:r>
                    <m:t>B</m:t>
                  </m:r>
                  <m:r>
                    <m:rPr>
                      <m:sty m:val="p"/>
                    </m:rPr>
                    <m:t>∋</m:t>
                  </m:r>
                  <m:r>
                    <m:t>j</m:t>
                  </m:r>
                </m:e>
                <m:e>
                  <m:r>
                    <m:rPr>
                      <m:nor/>
                      <m:sty m:val="p"/>
                    </m:rPr>
                    <m:t>linkage-blockwise mode</m:t>
                  </m:r>
                </m:e>
              </m:mr>
            </m:m>
          </m:e>
        </m:d>
      </m:oMath>
      <w:r>
        <w:tab/>
      </w:r>
      <w:r>
        <w:t xml:space="preserve">(</w:t>
      </w:r>
      <w:bookmarkStart w:id="161" w:name="ref_eq_kr_mask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5</w:t>
      </w:r>
      <w:r>
        <w:fldChar w:fldCharType="end"/>
      </w:r>
      <w:bookmarkEnd w:id="161"/>
      <w:r>
        <w:t xml:space="preserve">)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K</m:t>
        </m:r>
        <m:r>
          <m:t>R</m:t>
        </m:r>
      </m:oMath>
      <w:r>
        <w:t xml:space="preserve"> </w:t>
      </w:r>
      <w:r>
        <w:t xml:space="preserve">is not the single frozen value of 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but the rate carried by the ACE arm that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drew this generation, so it varies per individual and per generation over the arm pool. It is additionally floored at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κ</m:t>
            </m:r>
          </m:e>
          <m:sub>
            <m:r>
              <m:rPr>
                <m:sty m:val="p"/>
              </m:rPr>
              <m:t>dim</m:t>
            </m:r>
          </m:sub>
        </m:sSub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dim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/</m:t>
        </m:r>
        <m:r>
          <m:t>40</m:t>
        </m:r>
      </m:oMath>
      <w:r>
        <w:t xml:space="preserve"> </w:t>
      </w:r>
      <w:r>
        <w:t xml:space="preserve">by tier, which raises the low-</w:t>
      </w:r>
      <m:oMath>
        <m:r>
          <m:t>K</m:t>
        </m:r>
        <m:r>
          <m:t>R</m:t>
        </m:r>
      </m:oMath>
      <w:r>
        <w:t xml:space="preserve"> </w:t>
      </w:r>
      <w:r>
        <w:t xml:space="preserve">arms above their nominal rates at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. Finally, a force-nonzero guarantee applies after mask assembly in both modes: if a row’s mask would leave the trial identical to its parent, one coordinate is set at random so that every trial differs from its parent in at least one coordinate.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r>
          <m:t>N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round</m:t>
            </m:r>
          </m:e>
          <m:sub>
            <m:r>
              <m:rPr>
                <m:sty m:val="p"/>
              </m:rPr>
              <m:t>↑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init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N</m:t>
                </m:r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init</m:t>
                    </m:r>
                  </m:sub>
                </m:sSub>
              </m:e>
            </m:d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rPr>
            <m:sty m:val="p"/>
          </m:rPr>
          <m:t>,</m:t>
        </m:r>
        <m:r>
          <m:t>  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rPr>
                <m:nor/>
                <m:sty m:val="p"/>
              </m:rPr>
              <m:t>MaxFES</m:t>
            </m:r>
          </m:den>
        </m:f>
      </m:oMath>
      <w:r>
        <w:tab/>
      </w:r>
      <w:r>
        <w:t xml:space="preserve">(</w:t>
      </w:r>
      <w:bookmarkStart w:id="162" w:name="ref_eq_nlpsr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6</w:t>
      </w:r>
      <w:r>
        <w:fldChar w:fldCharType="end"/>
      </w:r>
      <w:bookmarkEnd w:id="162"/>
      <w:r>
        <w:t xml:space="preserve">)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arg min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≥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min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m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m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lim>
              </m:limLow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mr>
          <m:mr>
            <m:e>
              <m:r>
                <m:t>τ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d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 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max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  <m:r>
                          <m:t> </m:t>
                        </m:r>
                        <m:r>
                          <m:rPr>
                            <m:nor/>
                            <m:sty m:val="p"/>
                          </m:rPr>
                          <m:t> and </m:t>
                        </m:r>
                        <m:r>
                          <m:t> </m:t>
                        </m:r>
                        <m:limLow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  <m:lim>
                            <m:r>
                              <m:t>m</m:t>
                            </m:r>
                          </m:lim>
                        </m:limLow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</m:m>
                </m:e>
              </m:d>
            </m:e>
          </m:mr>
          <m:mr>
            <m:e>
              <m:r>
                <m:t>π</m:t>
              </m:r>
              <m:r>
                <m:rPr>
                  <m:sty m:val="p"/>
                </m:rPr>
                <m:t>←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cr m:val="script"/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c</m:t>
                            </m:r>
                            <m:r>
                              <m:t> 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τ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τ</m:t>
                        </m:r>
                        <m:r>
                          <m:rPr>
                            <m:nor/>
                            <m:sty m:val="p"/>
                          </m:rPr>
                          <m:t> defined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rPr>
                            <m:scr m:val="script"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otherwise.</m:t>
                        </m:r>
                      </m:e>
                    </m:mr>
                  </m:m>
                </m:e>
              </m:d>
            </m:e>
          </m:mr>
        </m:m>
      </m:oMath>
      <w:r>
        <w:tab/>
      </w:r>
      <w:r>
        <w:t xml:space="preserve">(</w:t>
      </w:r>
      <w:bookmarkStart w:id="163" w:name="ref_eq_ace_update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7</w:t>
      </w:r>
      <w:r>
        <w:fldChar w:fldCharType="end"/>
      </w:r>
      <w:bookmarkEnd w:id="163"/>
      <w:r>
        <w:t xml:space="preserve">)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←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mr>
              <m:m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mr>
            </m:m>
          </m:e>
        </m:d>
      </m:oMath>
      <w:r>
        <w:tab/>
      </w:r>
      <w:r>
        <w:t xml:space="preserve">(</w:t>
      </w:r>
      <w:bookmarkStart w:id="164" w:name="ref_eq_midpoint_repair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8</w:t>
      </w:r>
      <w:r>
        <w:fldChar w:fldCharType="end"/>
      </w:r>
      <w:bookmarkEnd w:id="164"/>
      <w:r>
        <w:t xml:space="preserve">)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←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 </m:t>
        </m:r>
        <m:r>
          <m:rPr>
            <m:nor/>
            <m:sty m:val="p"/>
          </m:rPr>
          <m:t>iff</m:t>
        </m:r>
        <m:r>
          <m:t> </m:t>
        </m:r>
        <m:r>
          <m:t>f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ab/>
      </w:r>
      <w:r>
        <w:t xml:space="preserve">(</w:t>
      </w:r>
      <w:bookmarkStart w:id="165" w:name="ref_eq_greedy_accept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9</w:t>
      </w:r>
      <w:r>
        <w:fldChar w:fldCharType="end"/>
      </w:r>
      <w:bookmarkEnd w:id="165"/>
      <w:r>
        <w:t xml:space="preserve">)</w:t>
      </w:r>
    </w:p>
    <w:p>
      <w:pPr>
        <w:pStyle w:val="BodyText"/>
      </w:pPr>
      <w:r>
        <w:t xml:space="preserve">The tie-accepting form above is the base rule and is what runs at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.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the late-acceptance clip can replace it, late in the budget and after a stall streak, with the strict test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ϵ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ϵ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(a distinct symbol from the stagnation tolerance</w:t>
      </w:r>
      <w:r>
        <w:t xml:space="preserve"> </w:t>
      </w:r>
      <m:oMath>
        <m:r>
          <m:t>ϵ</m:t>
        </m:r>
      </m:oMath>
      <w:r>
        <w:t xml:space="preserve">), which rejects ties; the clip’s own gates are given in Supplementary Section S5.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repair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γ</m:t>
            </m:r>
            <m:r>
              <m:t> </m:t>
            </m:r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,</m:t>
        </m:r>
        <m:r>
          <m:t> </m:t>
        </m:r>
        <m:r>
          <m:t>γ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t> 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−</m:t>
            </m:r>
            <m:r>
              <m:t>ℓ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den>
        </m:f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worst </m:t>
        </m:r>
        <m:r>
          <m:rPr>
            <m:sty m:val="p"/>
          </m:rPr>
          <m:t>round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  <m:r>
          <m:rPr>
            <m:nor/>
            <m:sty m:val="p"/>
          </m:rPr>
          <m:t> unfrozen rows, kept iff </m:t>
        </m:r>
        <m:r>
          <m:rPr>
            <m:sty m:val="p"/>
          </m:rPr>
          <m:t>≤</m:t>
        </m:r>
      </m:oMath>
      <w:r>
        <w:tab/>
      </w:r>
      <w:r>
        <w:t xml:space="preserve">(</w:t>
      </w:r>
      <w:bookmarkStart w:id="166" w:name="ref_eq_bse_cauchy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10</w:t>
      </w:r>
      <w:r>
        <w:fldChar w:fldCharType="end"/>
      </w:r>
      <w:bookmarkEnd w:id="166"/>
      <w:r>
        <w:t xml:space="preserve">)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eqArr>
          <m:e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•</m:t>
                </m:r>
              </m:sub>
            </m:sSub>
            <m:r>
              <m:t> </m:t>
            </m:r>
            <m:r>
              <m:rPr>
                <m:sty m:val="p"/>
              </m:rPr>
              <m:t>←</m:t>
            </m:r>
            <m:r>
              <m:t>λ</m:t>
            </m:r>
            <m:r>
              <m:t> </m:t>
            </m:r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•</m:t>
                </m:r>
              </m:sub>
            </m:sSub>
            <m:r>
              <m:rPr>
                <m:sty m:val="p"/>
              </m:rPr>
              <m:t>+</m:t>
            </m:r>
            <m:r>
              <m:t>η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t> </m:t>
                </m:r>
                <m:r>
                  <m:rPr>
                    <m:sty m:val="p"/>
                  </m:rPr>
                  <m:t>∈</m:t>
                </m:r>
                <m:r>
                  <m:t> </m:t>
                </m:r>
                <m:sSup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ϕ</m:t>
                </m:r>
              </m:e>
              <m:sub>
                <m:r>
                  <m:rPr>
                    <m:sty m:val="p"/>
                  </m:rPr>
                  <m:t>•</m:t>
                </m:r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r>
                  <m:t>ϕ</m:t>
                </m:r>
              </m:e>
              <m:sub>
                <m:r>
                  <m:rPr>
                    <m:sty m:val="p"/>
                  </m:rPr>
                  <m:t>•</m:t>
                </m:r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​</m:t>
                </m:r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r>
              <m:t>  </m:t>
            </m:r>
            <m:sSub>
              <m:e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Δ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sSub>
                  <m:e>
                    <m:d>
                      <m:dPr>
                        <m:begChr m:val="‖"/>
                        <m:sepChr m:val=""/>
                        <m:endChr m:val="‖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</m:e>
          <m:e>
            <m:r>
              <m:t> 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•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b>
                  <m:e>
                    <m:r>
                      <m:t>ϕ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t>ϕ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d</m:t>
                </m:r>
              </m:e>
            </m:d>
            <m:r>
              <m:rPr>
                <m:sty m:val="p"/>
              </m:rPr>
              <m:t>,</m:t>
            </m:r>
          </m:e>
        </m:eqArr>
      </m:oMath>
      <w:r>
        <w:tab/>
      </w:r>
      <w:r>
        <w:t xml:space="preserve">(</w:t>
      </w:r>
      <w:bookmarkStart w:id="167" w:name="ref_eq_sgsm_graph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11</w:t>
      </w:r>
      <w:r>
        <w:fldChar w:fldCharType="end"/>
      </w:r>
      <w:bookmarkEnd w:id="167"/>
      <w:r>
        <w:t xml:space="preserve">)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rPr>
            <m:sty m:val="p"/>
          </m:rPr>
          <m:t>CompassSearch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eig</m:t>
            </m:r>
            <m:r>
              <m:rPr>
                <m:sty m:val="p"/>
              </m:rPr>
              <m:t>(</m:t>
            </m:r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ab/>
      </w:r>
      <w:r>
        <w:t xml:space="preserve">(</w:t>
      </w:r>
      <w:bookmarkStart w:id="168" w:name="ref_eq_eigen_polish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12</w:t>
      </w:r>
      <w:r>
        <w:fldChar w:fldCharType="end"/>
      </w:r>
      <w:bookmarkEnd w:id="168"/>
      <w:r>
        <w:t xml:space="preserve">)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eqArr>
          <m:e>
            <m:sSub>
              <m:e>
                <m:r>
                  <m:rPr>
                    <m:nor/>
                    <m:sty m:val="p"/>
                  </m:rPr>
                  <m:t>stream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threefry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seed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  </m:t>
            </m:r>
            <m:sSub>
              <m:e>
                <m:r>
                  <m:rPr>
                    <m:nor/>
                    <m:sty m:val="p"/>
                  </m:rPr>
                  <m:t>stream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threefry</m:t>
            </m:r>
            <m:r>
              <m:rPr>
                <m:sty m:val="p"/>
              </m:rPr>
              <m:t>(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</m:e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t> 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seed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000</m:t>
            </m:r>
            <m:r>
              <m:rPr>
                <m:sty m:val="p"/>
              </m:rPr>
              <m:t>,</m:t>
            </m:r>
            <m:r>
              <m:t>003</m:t>
            </m:r>
            <m:r>
              <m:t> 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 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}</m:t>
            </m:r>
          </m:e>
        </m:eqArr>
      </m:oMath>
      <w:r>
        <w:tab/>
      </w:r>
      <w:r>
        <w:t xml:space="preserve">(</w:t>
      </w:r>
      <w:bookmarkStart w:id="169" w:name="ref_eq_rng_substreams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13</w:t>
      </w:r>
      <w:r>
        <w:fldChar w:fldCharType="end"/>
      </w:r>
      <w:bookmarkEnd w:id="169"/>
      <w:r>
        <w:t xml:space="preserve">)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t>147</m:t>
        </m:r>
        <m:r>
          <m:t> </m:t>
        </m:r>
        <m:r>
          <m:t>483</m:t>
        </m:r>
        <m:r>
          <m:t> </m:t>
        </m:r>
        <m:r>
          <m:t>646</m:t>
        </m:r>
      </m:oMath>
      <w:r>
        <w:t xml:space="preserve"> </w:t>
      </w:r>
      <w:r>
        <w:t xml:space="preserve">is the child-seed modulus</w:t>
      </w:r>
      <w:r>
        <w:t xml:space="preserve"> </w:t>
      </w:r>
      <w:r>
        <w:t xml:space="preserve">(Supplementary Material, Section S5).</w:t>
      </w:r>
    </w:p>
    <w:bookmarkEnd w:id="18"/>
    <w:bookmarkStart w:id="29" w:name="lbl_sec_alg_overview"/>
    <w:p>
      <w:pPr>
        <w:pStyle w:val="Heading2"/>
      </w:pPr>
      <w:bookmarkStart w:id="170" w:name="ref_sec_alg_overview"/>
      <w:r>
        <w:t xml:space="preserve">3.2.</w:t>
      </w:r>
      <w:bookmarkEnd w:id="170"/>
      <w:r>
        <w:tab/>
      </w:r>
      <w:r>
        <w:t xml:space="preserve"> Architecture Overview and Execution Order</w:t>
      </w:r>
    </w:p>
    <w:p>
      <w:pPr>
        <w:pStyle w:val="FirstParagraph"/>
      </w:pPr>
      <w:r>
        <w:t xml:space="preserve">DT-GSK ships as a single frozen configuration,</w:t>
      </w:r>
      <w:r>
        <w:t xml:space="preserve"> </w:t>
      </w:r>
      <w:r>
        <w:t xml:space="preserve">which resolves every setting from the problem dimension and is</w:t>
      </w:r>
      <w:r>
        <w:t xml:space="preserve"> </w:t>
      </w:r>
      <w:r>
        <w:t xml:space="preserve">hash-frozen (Section </w:t>
      </w:r>
      <w:r>
        <w:fldChar w:fldCharType="begin"/>
      </w:r>
      <w:r>
        <w:instrText xml:space="preserve"> REF ref_sec_alg_profile \h </w:instrText>
      </w:r>
      <w:r>
        <w:fldChar w:fldCharType="separate"/>
      </w:r>
      <w:r>
        <w:t xml:space="preserve">3.7</w:t>
      </w:r>
      <w:r>
        <w:fldChar w:fldCharType="end"/>
      </w:r>
      <w:r>
        <w:t xml:space="preserve">); no per-suite or per-run</w:t>
      </w:r>
      <w:r>
        <w:t xml:space="preserve"> </w:t>
      </w:r>
      <w:r>
        <w:t xml:space="preserve">tuning exists on the four bound-constrained suites, and the single</w:t>
      </w:r>
      <w:r>
        <w:t xml:space="preserve"> </w:t>
      </w:r>
      <w:r>
        <w:t xml:space="preserve">large-scale exception — two linkage-block-size entries for</w:t>
      </w:r>
      <w:r>
        <w:t xml:space="preserve"> </w:t>
      </w:r>
      <w:r>
        <w:t xml:space="preserve">CEC2013LSGO’s native dimensions — is disclosed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ref_sec_alg_profile \h </w:instrText>
      </w:r>
      <w:r>
        <w:fldChar w:fldCharType="separate"/>
      </w:r>
      <w:r>
        <w:t xml:space="preserve">3.7</w:t>
      </w:r>
      <w:r>
        <w:fldChar w:fldCharType="end"/>
      </w:r>
      <w:r>
        <w:t xml:space="preserve"> and Supplementary Section S7.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ref_tab_architecture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shows how the subsystems compose around</w:t>
      </w:r>
      <w:r>
        <w:t xml:space="preserve"> </w:t>
      </w:r>
      <w:r>
        <w:t xml:space="preserve">the unchanged GSK vector-update equations, Algorithm </w:t>
      </w:r>
      <w:r>
        <w:fldChar w:fldCharType="begin"/>
      </w:r>
      <w:r>
        <w:instrText xml:space="preserve"> REF ref_alg_dt_gsk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gives the</w:t>
      </w:r>
      <w:r>
        <w:t xml:space="preserve"> </w:t>
      </w:r>
      <w:r>
        <w:t xml:space="preserve">canonical loop, and Figures </w:t>
      </w:r>
      <w:r>
        <w:fldChar w:fldCharType="begin"/>
      </w:r>
      <w:r>
        <w:instrText xml:space="preserve"> REF ref_fig_gsk_flowchart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</w:t>
      </w:r>
      <w:r>
        <w:t xml:space="preserve">and </w:t>
      </w:r>
      <w:r>
        <w:fldChar w:fldCharType="begin"/>
      </w:r>
      <w:r>
        <w:instrText xml:space="preserve"> REF ref_fig_dtgsk_flowchart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chart the control flow of base GSK and</w:t>
      </w:r>
      <w:r>
        <w:t xml:space="preserve"> </w:t>
      </w:r>
      <w:r>
        <w:t xml:space="preserve">DT-GSK, respectively.</w:t>
      </w:r>
    </w:p>
    <w:bookmarkStart w:id="19" w:name="lbl_tab_architecture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71" w:name="ref_tab_architecture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</w:t>
      </w:r>
      <w:r>
        <w:fldChar w:fldCharType="end"/>
      </w:r>
      <w:bookmarkEnd w:id="171"/>
      <w:r>
        <w:rPr>
          <w:b/>
        </w:rPr>
        <w:t xml:space="preserve">. </w:t>
      </w:r>
      <w:r>
        <w:t xml:space="preserve"> Architecture of DT-GSK: the eight subsystems composed</w:t>
      </w:r>
      <w:r>
        <w:t xml:space="preserve"> </w:t>
      </w:r>
      <w:r>
        <w:t xml:space="preserve">around the unchanged GSK vector-update operator, with each subsystem’s category</w:t>
      </w:r>
      <w:r>
        <w:t xml:space="preserve"> </w:t>
      </w:r>
      <w:r>
        <w:t xml:space="preserve">(inherited / scaffold / dimension-gated), active tier, and role. Every</w:t>
      </w:r>
      <w:r>
        <w:t xml:space="preserve"> </w:t>
      </w:r>
      <w:r>
        <w:t xml:space="preserve">objective evaluation — trials, escapes, local-search and polish probes,</w:t>
      </w:r>
      <w:r>
        <w:t xml:space="preserve"> </w:t>
      </w:r>
      <w:r>
        <w:t xml:space="preserve">restart resamples — is charged through one budget controller, and all</w:t>
      </w:r>
      <w:r>
        <w:t xml:space="preserve"> </w:t>
      </w:r>
      <w:r>
        <w:t xml:space="preserve">randomness draws from the 13-substream RNG rail</w:t>
      </w:r>
      <w:r>
        <w:t xml:space="preserve"> </w:t>
      </w:r>
      <w:r>
        <w:t xml:space="preserve">(Eq. (</w:t>
      </w:r>
      <w:r>
        <w:fldChar w:fldCharType="begin"/>
      </w:r>
      <w:r>
        <w:instrText xml:space="preserve"> REF ref_eq_rng_substreams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)); the deep-stall restart preserves the global</w:t>
      </w:r>
      <w:r>
        <w:t xml:space="preserve"> </w:t>
      </w:r>
      <w:r>
        <w:t xml:space="preserve">best.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chitecture of DT-GSK: the eight subsystems composed around the unchanged GSK vector-update operator, with each subsystem’s category (inherited / scaffold / dimension-gated), active tier, and role. Every objective evaluation — trials, escapes, local-search and polish probes, restart resamples — is charged through one budget controller, and all randomness draws from the 13-substream RNG rail (Eq. (13)); the deep-stall restart preserves the global best.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Subsystem (Eq.)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 in the composition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Inherited GSK core (Eqs. (</w:t>
            </w:r>
            <w:r>
              <w:fldChar w:fldCharType="begin"/>
            </w:r>
            <w:r>
              <w:instrText xml:space="preserve"> REF ref_eq_junior_idx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)–(</w:t>
            </w:r>
            <w:r>
              <w:fldChar w:fldCharType="begin"/>
            </w:r>
            <w:r>
              <w:instrText xml:space="preserve"> REF ref_eq_gsk_update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), (</w:t>
            </w:r>
            <w:r>
              <w:fldChar w:fldCharType="begin"/>
            </w:r>
            <w:r>
              <w:instrText xml:space="preserve"> REF ref_eq_midpoint_repair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junior/senior gaining-sharing vector update and midpoint repair (numerics unchanged); the crossover mask is modified (row 3; Eq. (</w:t>
            </w:r>
            <w:r>
              <w:fldChar w:fldCharType="begin"/>
            </w:r>
            <w:r>
              <w:instrText xml:space="preserve"> REF ref_eq_kr_mask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)) and the selection rule accepts ties (Eq. (</w:t>
            </w:r>
            <w:r>
              <w:fldChar w:fldCharType="begin"/>
            </w:r>
            <w:r>
              <w:instrText xml:space="preserve"> REF ref_eq_greedy_accept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  <w:r>
              <w:t xml:space="preserve">))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NLPSR schedule (Eq. (</w:t>
            </w:r>
            <w:r>
              <w:fldChar w:fldCharType="begin"/>
            </w:r>
            <w:r>
              <w:instrText xml:space="preserve"> REF ref_eq_nlpsr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tier-floored population-size reduction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 ACE selector + ARGP pruning (Eq. (</w:t>
            </w:r>
            <w:r>
              <w:fldChar w:fldCharType="begin"/>
            </w:r>
            <w:r>
              <w:instrText xml:space="preserve"> REF ref_eq_ace_update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operator-pool control from aggregate fitness improvement; recoverably soft-freezes stalled arms to the probability floor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Linkage-aware block crossover (Eq. (</w:t>
            </w:r>
            <w:r>
              <w:fldChar w:fldCharType="begin"/>
            </w:r>
            <w:r>
              <w:instrText xml:space="preserve"> REF ref_eq_kr_mask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block mask (arbitrary index subsets,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contiguous ranges) on a tier-dependent fraction of rows (rest keep the</w:t>
            </w:r>
            <w:r>
              <w:t xml:space="preserve"> </w:t>
            </w:r>
            <m:oMath>
              <m:r>
                <m:t>K</m:t>
              </m:r>
              <m:r>
                <m:t>R</m:t>
              </m:r>
            </m:oMath>
            <w:r>
              <w:t xml:space="preserve"> </w:t>
            </w:r>
            <w:r>
              <w:t xml:space="preserve">mask); ISM-fed blocks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ISM interaction-structure memory (Eq. (</w:t>
            </w:r>
            <w:r>
              <w:fldChar w:fldCharType="begin"/>
            </w:r>
            <w:r>
              <w:instrText xml:space="preserve"> REF ref_eq_sgsm_graph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strictly-improving-accepted-move EMA graph; linkage blocks act when</w:t>
            </w:r>
            <w:r>
              <w:t xml:space="preserve"> </w:t>
            </w:r>
            <m:oMath>
              <m:r>
                <m:rPr>
                  <m:sty m:val="p"/>
                </m:rPr>
                <m:t>conf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; the signed-graph polish channel is ungated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5. Local search (coordinate)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axis-aligned coordinate search; an ISM-block</w:t>
            </w:r>
            <w:r>
              <w:t xml:space="preserve"> </w:t>
            </w:r>
            <w:r>
              <w:rPr>
                <w:i/>
                <w:iCs/>
              </w:rPr>
              <w:t xml:space="preserve">subspace</w:t>
            </w:r>
            <w:r>
              <w:t xml:space="preserve"> </w:t>
            </w:r>
            <w:r>
              <w:t xml:space="preserve">variant is implemented but not enabled in the frozen configuration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6. BSE budget-safe escape (Eq. (</w:t>
            </w:r>
            <w:r>
              <w:fldChar w:fldCharType="begin"/>
            </w:r>
            <w:r>
              <w:instrText xml:space="preserve"> REF ref_eq_bse_cauchy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  <w:r>
              <w:t xml:space="preserve">)) + diversity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hard-capped stagnation escape; reseeds from the archive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 Upper-tier controllers (basin memory, subspace-sampling floor, late-accept clip, frozen-broaden, linkage random-mix)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method-level protections at upper tier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8. Deterministic final polish (Eq. (</w:t>
            </w:r>
            <w:r>
              <w:fldChar w:fldCharType="begin"/>
            </w:r>
            <w:r>
              <w:instrText xml:space="preserve"> REF ref_eq_eigen_polish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one-shot, RNG-free compass search on the ISM eigenbasis, in the final budget slice</w:t>
            </w:r>
          </w:p>
        </w:tc>
      </w:tr>
    </w:tbl>
    <w:bookmarkEnd w:id="19"/>
    <w:p>
      <w:pPr>
        <w:pStyle w:val="BodyText"/>
      </w:pPr>
      <w:r>
        <w:t xml:space="preserve">One configuration asymmetry follows from running each algorithm at its own</w:t>
      </w:r>
      <w:r>
        <w:t xml:space="preserve"> </w:t>
      </w:r>
      <w:r>
        <w:t xml:space="preserve">reference configuration rather than at a common population size. The six</w:t>
      </w:r>
      <w:r>
        <w:t xml:space="preserve"> </w:t>
      </w:r>
      <w:r>
        <w:t xml:space="preserve">comparators use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at every dimension — the setting of the family’s</w:t>
      </w:r>
      <w:r>
        <w:t xml:space="preserve"> </w:t>
      </w:r>
      <w:r>
        <w:t xml:space="preserve">shipped reference implementations re-executed here, which for some</w:t>
      </w:r>
      <w:r>
        <w:t xml:space="preserve"> </w:t>
      </w:r>
      <w:r>
        <w:t xml:space="preserve">comparators differs from the dimension-scaled populations of their source</w:t>
      </w:r>
      <w:r>
        <w:t xml:space="preserve"> </w:t>
      </w:r>
      <w:r>
        <w:t xml:space="preserve">papers — whereas DT-GSK initializes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(Table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</w:t>
      </w:r>
      <w:r>
        <w:t xml:space="preserve"> </w:t>
      </w:r>
      <w:r>
        <w:t xml:space="preserve">before the NLPSR reduction;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that is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100</m:t>
        </m:r>
      </m:oMath>
      <w:r>
        <w:t xml:space="preserve">. All seven</w:t>
      </w:r>
      <w:r>
        <w:t xml:space="preserve"> </w:t>
      </w:r>
      <w:r>
        <w:t xml:space="preserve">receive the identical evaluation budget, so the difference lies in how each</w:t>
      </w:r>
      <w:r>
        <w:t xml:space="preserve"> </w:t>
      </w:r>
      <w:r>
        <w:t xml:space="preserve">algorithm spends that budget rather than in how much it is given. Both</w:t>
      </w:r>
      <w:r>
        <w:t xml:space="preserve"> </w:t>
      </w:r>
      <w:r>
        <w:t xml:space="preserve">settings are protocol-conformant: each suite’s protocol fixes its evaluation</w:t>
      </w:r>
      <w:r>
        <w:t xml:space="preserve"> </w:t>
      </w:r>
      <w:r>
        <w:t xml:space="preserve">budget and run count (Table </w:t>
      </w:r>
      <w:r>
        <w:fldChar w:fldCharType="begin"/>
      </w:r>
      <w:r>
        <w:instrText xml:space="preserve"> REF ref_tab_protocol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) and prescribes no population</w:t>
      </w:r>
      <w:r>
        <w:t xml:space="preserve"> </w:t>
      </w:r>
      <w:r>
        <w:t xml:space="preserve">size. We state it</w:t>
      </w:r>
      <w:r>
        <w:t xml:space="preserve"> </w:t>
      </w:r>
      <w:r>
        <w:t xml:space="preserve">explicitly because population size is a design choice that can materially</w:t>
      </w:r>
      <w:r>
        <w:t xml:space="preserve"> </w:t>
      </w:r>
      <w:r>
        <w:t xml:space="preserve">affect upper-tier behavior, and a reader comparing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should</w:t>
      </w:r>
      <w:r>
        <w:t xml:space="preserve"> </w:t>
      </w:r>
      <w:r>
        <w:t xml:space="preserve">know the initial populations differ by a factor of five. A common-initial-</w:t>
      </w:r>
      <m:oMath>
        <m:r>
          <m:t>N</m:t>
        </m:r>
        <m:r>
          <m:t>P</m:t>
        </m:r>
      </m:oMath>
      <w:r>
        <w:t xml:space="preserve"> </w:t>
      </w:r>
      <w:r>
        <w:t xml:space="preserve">replication was carried out on CEC2017, with DT-GSK’s own reduction law and</w:t>
      </w:r>
      <w:r>
        <w:t xml:space="preserve"> </w:t>
      </w:r>
      <w:r>
        <w:t xml:space="preserve">tier floors retained: at the comparators’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100</m:t>
        </m:r>
      </m:oMath>
      <w:r>
        <w:t xml:space="preserve">, DT-GSK remains first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second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</m:oMath>
      <w:r>
        <w:t xml:space="preserve">, with the paired difference</w:t>
      </w:r>
      <w:r>
        <w:t xml:space="preserve"> </w:t>
      </w:r>
      <w:r>
        <w:t xml:space="preserve">significant 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(Supplementary Materials,</w:t>
      </w:r>
      <w:r>
        <w:t xml:space="preserve"> </w:t>
      </w:r>
      <w:r>
        <w:t xml:space="preserve">Section S9.2). On CEC2013LSGO the corresponding ratio at initialization is</w:t>
      </w:r>
      <w:r>
        <w:t xml:space="preserve"> </w:t>
      </w:r>
      <w:r>
        <w:t xml:space="preserve">fifty-fold; it is disclosed but not controlled (Supplementary Materials,</w:t>
      </w:r>
      <w:r>
        <w:t xml:space="preserve"> </w:t>
      </w:r>
      <w:r>
        <w:t xml:space="preserve">Section S7).</w:t>
      </w:r>
    </w:p>
    <w:p>
      <w:pPr>
        <w:pStyle w:val="TableCaption"/>
        <w:keepNext/>
        <w:keepLines/>
      </w:pPr>
      <w:r>
        <w:rPr>
          <w:b/>
        </w:rPr>
        <w:t xml:space="preserve">Algorithm </w:t>
      </w:r>
      <w:bookmarkStart w:id="172" w:name="ref_alg_dt_gsk"/>
      <w:r>
        <w:fldChar w:fldCharType="begin"/>
      </w:r>
      <w:r>
        <w:instrText xml:space="preserve"> SEQ Algorithm \* ARABIC </w:instrText>
      </w:r>
      <w:r>
        <w:fldChar w:fldCharType="separate"/>
      </w:r>
      <w:r>
        <w:rPr>
          <w:b/>
        </w:rPr>
        <w:t xml:space="preserve">1</w:t>
      </w:r>
      <w:r>
        <w:fldChar w:fldCharType="end"/>
      </w:r>
      <w:bookmarkEnd w:id="172"/>
      <w:r>
        <w:rPr>
          <w:b/>
        </w:rPr>
        <w:t xml:space="preserve">. </w:t>
      </w:r>
      <w:r>
        <w:rPr>
          <w:b/>
          <w:bCs/>
        </w:rPr>
        <w:t xml:space="preserve">Pseudo-code of the DT-GSK algorithm.</w:t>
      </w:r>
      <w:r>
        <w:t xml:space="preserve"> </w:t>
      </w:r>
      <w:r>
        <w:t xml:space="preserve">The junior and senior</w:t>
      </w:r>
      <w:r>
        <w:t xml:space="preserve"> </w:t>
      </w:r>
      <w:r>
        <w:t xml:space="preserve">gaining-sharing</w:t>
      </w:r>
      <w:r>
        <w:t xml:space="preserve"> </w:t>
      </w:r>
      <w:r>
        <w:rPr>
          <w:i/>
          <w:iCs/>
        </w:rPr>
        <w:t xml:space="preserve">vector-update equations</w:t>
      </w:r>
      <w:r>
        <w:t xml:space="preserve"> </w:t>
      </w:r>
      <w:r>
        <w:t xml:space="preserve">are retained unchanged; the</w:t>
      </w:r>
      <w:r>
        <w:t xml:space="preserve"> </w:t>
      </w:r>
      <w:r>
        <w:t xml:space="preserve">generation around them is not—crossover masking, tie handling, the population</w:t>
      </w:r>
      <w:r>
        <w:t xml:space="preserve"> </w:t>
      </w:r>
      <w:r>
        <w:t xml:space="preserve">size, and the senior partition are all modified. The added subsystems and their</w:t>
      </w:r>
      <w:r>
        <w:t xml:space="preserve"> </w:t>
      </w:r>
      <w:r>
        <w:t xml:space="preserve">fixed execution order are listed in Section </w:t>
      </w:r>
      <w:r>
        <w:fldChar w:fldCharType="begin"/>
      </w:r>
      <w:r>
        <w:instrText xml:space="preserve"> REF ref_sec_algorithm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</w:t>
      </w:r>
    </w:p>
    <w:p>
      <w:pPr>
        <w:pStyle w:val="AlgorithmLine"/>
      </w:pPr>
      <w:r>
        <w:t xml:space="preserve">    </w:t>
      </w:r>
      <w:r>
        <w:rPr>
          <w:b/>
          <w:bCs/>
        </w:rPr>
        <w:t xml:space="preserve">Require:</w:t>
      </w:r>
      <w:r>
        <w:t xml:space="preserve"> </w:t>
      </w:r>
      <w:r>
        <w:t xml:space="preserve">objective</w:t>
      </w:r>
      <w:r>
        <w:t xml:space="preserve"> </w:t>
      </w:r>
      <m:oMath>
        <m:r>
          <m:t>f</m:t>
        </m:r>
      </m:oMath>
      <w:r>
        <w:t xml:space="preserve">, dimension</w:t>
      </w:r>
      <w:r>
        <w:t xml:space="preserve"> </w:t>
      </w:r>
      <m:oMath>
        <m:r>
          <m:t>D</m:t>
        </m:r>
      </m:oMath>
      <w:r>
        <w:t xml:space="preserve">, bounds</w:t>
      </w:r>
      <w:r>
        <w:t xml:space="preserve"> </w:t>
      </w:r>
      <m:oMath>
        <m:r>
          <m:rPr>
            <m:sty m:val="p"/>
          </m:rPr>
          <m:t>[</m:t>
        </m:r>
        <m:r>
          <m:t>ℓ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, budget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t xml:space="preserve">(suite-dependent; Section </w:t>
      </w:r>
      <w:r>
        <w:fldChar w:fldCharType="begin"/>
      </w:r>
      <w:r>
        <w:instrText xml:space="preserve"> REF ref_sec_alg_complexity \h </w:instrText>
      </w:r>
      <w:r>
        <w:fldChar w:fldCharType="separate"/>
      </w:r>
      <w:r>
        <w:t xml:space="preserve">3.8</w:t>
      </w:r>
      <w:r>
        <w:fldChar w:fldCharType="end"/>
      </w:r>
      <w:r>
        <w:t xml:space="preserve">), seed</w:t>
      </w:r>
    </w:p>
    <w:p>
      <w:pPr>
        <w:pStyle w:val="AlgorithmLine"/>
      </w:pPr>
      <w:r>
        <w:t xml:space="preserve">    </w:t>
      </w:r>
      <w:r>
        <w:rPr>
          <w:b/>
          <w:bCs/>
        </w:rPr>
        <w:t xml:space="preserve">Ensure:</w:t>
      </w:r>
      <w:r>
        <w:t xml:space="preserve"> </w:t>
      </w:r>
      <w:r>
        <w:t xml:space="preserve">global best solution</w:t>
      </w:r>
      <w:r>
        <w:t xml:space="preserve"> </w:t>
      </w:r>
      <m:oMath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</m:oMath>
    </w:p>
    <w:p>
      <w:pPr>
        <w:pStyle w:val="AlgorithmLine"/>
      </w:pPr>
      <w:r>
        <w:t xml:space="preserve">        </w:t>
      </w:r>
      <w:r>
        <w:rPr>
          <w:i/>
          <w:iCs/>
        </w:rPr>
        <w:t xml:space="preserve">Initialization</w:t>
      </w:r>
    </w:p>
    <w:p>
      <w:pPr>
        <w:pStyle w:val="AlgorithmLine"/>
      </w:pPr>
      <w:r>
        <w:t xml:space="preserve"> 1: </w:t>
      </w:r>
      <w:r>
        <w:t xml:space="preserve"> Initialize the interaction graphs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←</m:t>
        </m:r>
        <m:r>
          <m:t>0</m:t>
        </m:r>
      </m:oMath>
      <w:r>
        <w:t xml:space="preserve"> </w:t>
      </w:r>
      <w:r>
        <w:t xml:space="preserve">(allocated only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)</w:t>
      </w:r>
    </w:p>
    <w:p>
      <w:pPr>
        <w:pStyle w:val="AlgorithmLine"/>
      </w:pPr>
      <w:r>
        <w:t xml:space="preserve"> 2: </w:t>
      </w:r>
      <w:r>
        <w:t xml:space="preserve"> Set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and the GSK parameters</w:t>
      </w:r>
      <w:r>
        <w:t xml:space="preserve"> </w:t>
      </w:r>
      <m:oMath>
        <m:r>
          <m:t>K</m:t>
        </m:r>
        <m:r>
          <m:t>F</m:t>
        </m:r>
        <m:r>
          <m:rPr>
            <m:sty m:val="p"/>
          </m:rPr>
          <m:t>,</m:t>
        </m:r>
        <m:r>
          <m:t> </m:t>
        </m:r>
        <m:r>
          <m:t>K</m:t>
        </m:r>
        <m:r>
          <m:t>R</m:t>
        </m:r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,</m:t>
        </m:r>
        <m:r>
          <m:t> </m:t>
        </m:r>
        <m:r>
          <m:t>p</m:t>
        </m:r>
      </m:oMath>
    </w:p>
    <w:p>
      <w:pPr>
        <w:pStyle w:val="AlgorithmLine"/>
      </w:pPr>
      <w:r>
        <w:t xml:space="preserve"> 3: </w:t>
      </w:r>
      <w:r>
        <w:t xml:space="preserve"> Open the 13 RNG substreams for dimension</w:t>
      </w:r>
      <w:r>
        <w:t xml:space="preserve"> </w:t>
      </w:r>
      <m:oMath>
        <m:r>
          <m:t>D</m:t>
        </m:r>
      </m:oMath>
    </w:p>
    <w:p>
      <w:pPr>
        <w:pStyle w:val="AlgorithmLine"/>
      </w:pPr>
      <w:r>
        <w:t xml:space="preserve"> 4: </w:t>
      </w:r>
      <w:r>
        <w:t xml:space="preserve"> Create a random population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t>P</m:t>
            </m:r>
          </m:sup>
        </m:sSubSup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ℓ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</w:p>
    <w:p>
      <w:pPr>
        <w:pStyle w:val="AlgorithmLine"/>
      </w:pPr>
      <w:r>
        <w:t xml:space="preserve"> 5: </w:t>
      </w:r>
      <w:r>
        <w:t xml:space="preserve"> Evaluate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set the global best</w:t>
      </w:r>
      <w:r>
        <w:t xml:space="preserve"> </w:t>
      </w:r>
      <m:oMath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</m:oMath>
    </w:p>
    <w:p>
      <w:pPr>
        <w:pStyle w:val="AlgorithmLine"/>
      </w:pPr>
      <w:r>
        <w:t xml:space="preserve"> 6: </w:t>
      </w:r>
      <w:r>
        <w:rPr>
          <w:b/>
          <w:bCs/>
        </w:rPr>
        <w:t xml:space="preserve">while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rPr>
          <w:b/>
          <w:bCs/>
        </w:rPr>
        <w:t xml:space="preserve">do</w:t>
      </w:r>
    </w:p>
    <w:p>
      <w:pPr>
        <w:pStyle w:val="AlgorithmLine"/>
      </w:pPr>
      <w:r>
        <w:t xml:space="preserve">            </w:t>
      </w:r>
      <w:r>
        <w:rPr>
          <w:i/>
          <w:iCs/>
        </w:rPr>
        <w:t xml:space="preserve">Adapt and build trials</w:t>
      </w:r>
    </w:p>
    <w:p>
      <w:pPr>
        <w:pStyle w:val="AlgorithmLine"/>
      </w:pPr>
      <w:r>
        <w:t xml:space="preserve"> 7:     </w:t>
      </w:r>
      <w:r>
        <w:t xml:space="preserve"> Reduce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by the NLPSR schedule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ref_eq_nlpsr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 8:     </w:t>
      </w:r>
      <w:r>
        <w:t xml:space="preserve"> Assign each individual an ACE arm   </w:t>
      </w:r>
      <m:oMath>
        <m:r>
          <m:rPr>
            <m:sty m:val="p"/>
          </m:rPr>
          <m:t>⊳</m:t>
        </m:r>
      </m:oMath>
      <w:r>
        <w:t xml:space="preserve"> </w:t>
      </w:r>
      <m:oMath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,</m:t>
        </m:r>
        <m:r>
          <m:t>K</m:t>
        </m:r>
        <m:r>
          <m:t>R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)</m:t>
        </m:r>
      </m:oMath>
      <w:r>
        <w:t xml:space="preserve">; a sixth DE arm at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</w:p>
    <w:p>
      <w:pPr>
        <w:pStyle w:val="AlgorithmLine"/>
      </w:pPr>
      <w:r>
        <w:t xml:space="preserve"> 9:     </w:t>
      </w:r>
      <w:r>
        <w:t xml:space="preserve"> Count the gained and shared dimensions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ref_eq_kexp_schedule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10:     </w:t>
      </w:r>
      <w:r>
        <w:t xml:space="preserve"> Apply the junior gaining-sharing phase</w:t>
      </w:r>
    </w:p>
    <w:p>
      <w:pPr>
        <w:pStyle w:val="AlgorithmLine"/>
      </w:pPr>
      <w:r>
        <w:t xml:space="preserve">11:     </w:t>
      </w:r>
      <w:r>
        <w:t xml:space="preserve"> Apply the senior gaining-sharing phase</w:t>
      </w:r>
    </w:p>
    <w:p>
      <w:pPr>
        <w:pStyle w:val="AlgorithmLine"/>
      </w:pPr>
      <w:r>
        <w:t xml:space="preserve">12:     </w:t>
      </w:r>
      <w:r>
        <w:t xml:space="preserve"> Form the crossover mask: a tier-dependent fraction of rows take a linkage block (learned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random otherwise, and only when the confidence gate passes); the remaining rows take the</w:t>
      </w:r>
      <w:r>
        <w:t xml:space="preserve"> </w:t>
      </w:r>
      <m:oMath>
        <m:r>
          <m:t>K</m:t>
        </m:r>
        <m:r>
          <m:t>R</m:t>
        </m:r>
      </m:oMath>
      <w:r>
        <w:t xml:space="preserve"> </w:t>
      </w:r>
      <w:r>
        <w:t xml:space="preserve">mask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13:     </w:t>
      </w:r>
      <w:r>
        <w:rPr>
          <w:b/>
          <w:bCs/>
        </w:rPr>
        <w:t xml:space="preserve">if</w:t>
      </w:r>
      <w:r>
        <w:t xml:space="preserve"> </w:t>
      </w:r>
      <w:r>
        <w:t xml:space="preserve">DE arm: overwrite the trial’s binomially masked coordinates with a DE/rand/1 mutant   </w:t>
      </w:r>
      <m:oMath>
        <m:r>
          <m:rPr>
            <m:sty m:val="p"/>
          </m:rPr>
          <m:t>⊳</m:t>
        </m:r>
      </m:oMath>
      <w:r>
        <w:t xml:space="preserve"> </w:t>
      </w:r>
      <m:oMath>
        <m:r>
          <m:t>F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C</m:t>
        </m:r>
        <m:r>
          <m:t>R</m:t>
        </m:r>
        <m:r>
          <m:rPr>
            <m:sty m:val="p"/>
          </m:rPr>
          <m:t>=</m:t>
        </m:r>
        <m:r>
          <m:t>0.9</m:t>
        </m:r>
      </m:oMath>
    </w:p>
    <w:p>
      <w:pPr>
        <w:pStyle w:val="AlgorithmLine"/>
      </w:pPr>
      <w:r>
        <w:t xml:space="preserve">14:     </w:t>
      </w:r>
      <w:r>
        <w:t xml:space="preserve"> Repair the out-of-bound coordinates</w:t>
      </w:r>
    </w:p>
    <w:p>
      <w:pPr>
        <w:pStyle w:val="AlgorithmLine"/>
      </w:pPr>
      <w:r>
        <w:t xml:space="preserve">15:     </w:t>
      </w:r>
      <w:r>
        <w:t xml:space="preserve"> Evaluate the maximal prefix of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that fits the remaining budget   </w:t>
      </w:r>
      <m:oMath>
        <m:r>
          <m:rPr>
            <m:sty m:val="p"/>
          </m:rPr>
          <m:t>⊳</m:t>
        </m:r>
      </m:oMath>
      <w:r>
        <w:t xml:space="preserve"> unevaluated rows are non-selectable</w:t>
      </w:r>
    </w:p>
    <w:p>
      <w:pPr>
        <w:pStyle w:val="AlgorithmLine"/>
      </w:pPr>
      <w:r>
        <w:t xml:space="preserve">16:     </w:t>
      </w:r>
      <w:r>
        <w:t xml:space="preserve"> Greedily keep each no-worse trial and update the diversity archive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ref_eq_greedy_accept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            </w:t>
      </w:r>
      <w:r>
        <w:rPr>
          <w:i/>
          <w:iCs/>
        </w:rPr>
        <w:t xml:space="preserve">Learn, escape, and refine</w:t>
      </w:r>
      <w:r>
        <w:rPr>
          <w:i/>
          <w:iCs/>
        </w:rPr>
        <w:t xml:space="preserve"> </w:t>
      </w:r>
      <w:r>
        <w:rPr>
          <w:i/>
          <w:iCs/>
        </w:rPr>
        <w:t xml:space="preserve">(dimension-gated)</w:t>
      </w:r>
    </w:p>
    <w:p>
      <w:pPr>
        <w:pStyle w:val="AlgorithmLine"/>
      </w:pPr>
      <w:r>
        <w:t xml:space="preserve">17:     </w:t>
      </w:r>
      <w:r>
        <w:rPr>
          <w:b/>
          <w:bCs/>
        </w:rP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: update the interaction-structure memory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ref_eq_sgsm_graph \h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18:     </w:t>
      </w:r>
      <w:r>
        <w:t xml:space="preserve"> Update the ACE credit and prune stalled arms (ARGP)</w:t>
      </w:r>
    </w:p>
    <w:p>
      <w:pPr>
        <w:pStyle w:val="AlgorithmLine"/>
      </w:pPr>
      <w:r>
        <w:t xml:space="preserve">19:     </w:t>
      </w:r>
      <w:r>
        <w:rPr>
          <w:b/>
          <w:bCs/>
        </w:rPr>
        <w:t xml:space="preserve">if</w:t>
      </w:r>
      <w:r>
        <w:t xml:space="preserve"> </w:t>
      </w:r>
      <w:r>
        <w:t xml:space="preserve">stagnating: apply the budget-safe escape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ref_eq_bse_cauchy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20:     </w:t>
      </w:r>
      <w:r>
        <w:rPr>
          <w:b/>
          <w:bCs/>
        </w:rPr>
        <w:t xml:space="preserve">if</w:t>
      </w:r>
      <w:r>
        <w:t xml:space="preserve"> </w:t>
      </w:r>
      <w:r>
        <w:t xml:space="preserve">in the endgame slice, under the evaluation cap and past cooldown: charged coordinate local search on the elite rows   </w:t>
      </w:r>
      <m:oMath>
        <m:r>
          <m:rPr>
            <m:sty m:val="p"/>
          </m:rPr>
          <m:t>⊳</m:t>
        </m:r>
      </m:oMath>
      <w:r>
        <w:t xml:space="preserve"> 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≥</m:t>
        </m:r>
        <m:r>
          <m:t>0.70</m:t>
        </m:r>
      </m:oMath>
      <w:r>
        <w:t xml:space="preserve"> </w:t>
      </w:r>
      <w:r>
        <w:t xml:space="preserve">above</w:t>
      </w:r>
    </w:p>
    <w:p>
      <w:pPr>
        <w:pStyle w:val="AlgorithmLine"/>
      </w:pPr>
      <w:r>
        <w:t xml:space="preserve">            </w:t>
      </w:r>
      <w:r>
        <w:rPr>
          <w:i/>
          <w:iCs/>
        </w:rPr>
        <w:t xml:space="preserve">Note.</w:t>
      </w:r>
      <w:r>
        <w:t xml:space="preserve"> </w:t>
      </w: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upper-tier controllers are cross-cutting, not a stage after the local search: they act at population reduction (subspace-sampling floor), trial construction (frozen-streak broaden and late linkage random-mix), acceptance (late-acceptance clip and basin-memory update), and escape (basin-novelty reseed); a budget/ROI gate additionally gates the local search (a matching hook exists on the escape but never blocks it in the frozen configuration).</w:t>
      </w:r>
    </w:p>
    <w:p>
      <w:pPr>
        <w:pStyle w:val="AlgorithmLine"/>
      </w:pPr>
      <w:r>
        <w:t xml:space="preserve">21:     </w:t>
      </w:r>
      <w:r>
        <w:rPr>
          <w:b/>
          <w:bCs/>
        </w:rP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: polish the working incumbent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once, in the final budget slice   </w:t>
      </w:r>
      <m:oMath>
        <m:r>
          <m:rPr>
            <m:sty m:val="p"/>
          </m:rPr>
          <m:t>⊳</m:t>
        </m:r>
      </m:oMath>
      <w:r>
        <w:t xml:space="preserve"> Eq. (</w:t>
      </w:r>
      <w:r>
        <w:fldChar w:fldCharType="begin"/>
      </w:r>
      <w:r>
        <w:instrText xml:space="preserve"> REF ref_eq_eigen_polish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)</w:t>
      </w:r>
    </w:p>
    <w:p>
      <w:pPr>
        <w:pStyle w:val="AlgorithmLine"/>
      </w:pPr>
      <w:r>
        <w:t xml:space="preserve">            </w:t>
      </w:r>
      <w:r>
        <w:rPr>
          <w:i/>
          <w:iCs/>
        </w:rPr>
        <w:t xml:space="preserve">Update and restart</w:t>
      </w:r>
    </w:p>
    <w:p>
      <w:pPr>
        <w:pStyle w:val="AlgorithmLine"/>
      </w:pPr>
      <w:r>
        <w:t xml:space="preserve">22:     </w:t>
      </w:r>
      <w:r>
        <w:t xml:space="preserve"> Update the global best</w:t>
      </w:r>
      <w:r>
        <w:t xml:space="preserve"> </w:t>
      </w:r>
      <m:oMath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</m:oMath>
    </w:p>
    <w:p>
      <w:pPr>
        <w:pStyle w:val="AlgorithmLine"/>
      </w:pPr>
      <w:r>
        <w:t xml:space="preserve">23:     </w:t>
      </w:r>
      <w:r>
        <w:rPr>
          <w:b/>
          <w:bCs/>
        </w:rPr>
        <w:t xml:space="preserve">if</w:t>
      </w:r>
      <w:r>
        <w:t xml:space="preserve"> </w:t>
      </w:r>
      <w:r>
        <w:t xml:space="preserve">deep-stalled: restart the population, keeping</w:t>
      </w:r>
      <w:r>
        <w:t xml:space="preserve"> </w:t>
      </w:r>
      <m:oMath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</m:oMath>
    </w:p>
    <w:p>
      <w:pPr>
        <w:pStyle w:val="AlgorithmLine"/>
      </w:pPr>
      <w:r>
        <w:t xml:space="preserve">24: </w:t>
      </w:r>
      <w:r>
        <w:rPr>
          <w:b/>
          <w:bCs/>
        </w:rPr>
        <w:t xml:space="preserve">end while</w:t>
      </w:r>
    </w:p>
    <w:p>
      <w:pPr>
        <w:pStyle w:val="AlgorithmLine"/>
      </w:pPr>
      <w:r>
        <w:t xml:space="preserve">25: </w:t>
      </w:r>
      <w:r>
        <w:rPr>
          <w:b/>
          <w:bCs/>
        </w:rPr>
        <w:t xml:space="preserve">return</w:t>
      </w:r>
      <w:r>
        <w:t xml:space="preserve"> </w:t>
      </w:r>
      <m:oMath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</m:oMath>
    </w:p>
    <w:bookmarkStart w:id="23" w:name="lbl_fig_gsk_flowchart"/>
    <w:p>
      <w:pPr>
        <w:pStyle w:val="CaptionedFigure"/>
        <w:keepNext/>
        <w:keepLines/>
      </w:pPr>
      <w:r>
        <w:object w:dxaOrig="5964" w:dyaOrig="106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98.2pt;height:531.2pt" o:ole="">
            <v:imagedata r:id="rId20" o:title=""/>
          </v:shape>
          <o:OLEObject Type="Embed" ProgID="Visio.Drawing.15" ShapeID="_x0000_i1026" DrawAspect="Content" ObjectID="_1600000000" r:id="rId9002"/>
        </w:object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173" w:name="ref_fig_gsk_flowchart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</w:t>
      </w:r>
      <w:r>
        <w:fldChar w:fldCharType="end"/>
      </w:r>
      <w:bookmarkEnd w:id="173"/>
      <w:r>
        <w:rPr>
          <w:b/>
        </w:rPr>
        <w:t xml:space="preserve">. </w:t>
      </w:r>
      <w:r>
        <w:t xml:space="preserve"> Flowchart of the base GSK algorithm of Mohamed et</w:t>
      </w:r>
      <w:r>
        <w:t xml:space="preserve"> </w:t>
      </w:r>
      <w:r>
        <w:t xml:space="preserve">al.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, redrawn here from that paper’s description: a</w:t>
      </w:r>
      <w:r>
        <w:t xml:space="preserve"> </w:t>
      </w:r>
      <w:r>
        <w:t xml:space="preserve">single generation loop of</w:t>
      </w:r>
      <w:r>
        <w:t xml:space="preserve"> </w:t>
      </w:r>
      <w:r>
        <w:t xml:space="preserve">fitness evaluation, gained–shared dimension counting, the junior and senior</w:t>
      </w:r>
      <w:r>
        <w:t xml:space="preserve"> </w:t>
      </w:r>
      <w:r>
        <w:t xml:space="preserve">gaining-sharing knowledge phases, and greedy update, repeated until the</w:t>
      </w:r>
      <w:r>
        <w:t xml:space="preserve"> </w:t>
      </w:r>
      <w:r>
        <w:t xml:space="preserve">termination criterion is met. The figure depicts prior work and contributes</w:t>
      </w:r>
      <w:r>
        <w:t xml:space="preserve"> </w:t>
      </w:r>
      <w:r>
        <w:t xml:space="preserve">nothing new; it is included so the DT-GSK flowchart in</w:t>
      </w:r>
      <w:r>
        <w:t xml:space="preserve"> </w:t>
      </w:r>
      <w:r>
        <w:t xml:space="preserve">Figure </w:t>
      </w:r>
      <w:r>
        <w:fldChar w:fldCharType="begin"/>
      </w:r>
      <w:r>
        <w:instrText xml:space="preserve"> REF ref_fig_dtgsk_flowchart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can be read against its parent.</w:t>
      </w:r>
    </w:p>
    <w:bookmarkEnd w:id="23"/>
    <w:bookmarkStart w:id="27" w:name="lbl_fig_dtgsk_flowchart"/>
    <w:p>
      <w:pPr>
        <w:pStyle w:val="CaptionedFigure"/>
        <w:keepNext/>
        <w:keepLines/>
      </w:pPr>
      <w:r>
        <w:object w:dxaOrig="5089" w:dyaOrig="137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54.5pt;height:685.5pt" o:ole="">
            <v:imagedata r:id="rId24" o:title=""/>
          </v:shape>
          <o:OLEObject Type="Embed" ProgID="Visio.Drawing.15" ShapeID="_x0000_i1027" DrawAspect="Content" ObjectID="_1600000001" r:id="rId9003"/>
        </w:object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174" w:name="ref_fig_dtgsk_flowchart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</w:t>
      </w:r>
      <w:r>
        <w:fldChar w:fldCharType="end"/>
      </w:r>
      <w:bookmarkEnd w:id="174"/>
      <w:r>
        <w:rPr>
          <w:b/>
        </w:rPr>
        <w:t xml:space="preserve">. </w:t>
      </w:r>
      <w:r>
        <w:t xml:space="preserve"> Flowchart of the DT-GSK algorithm, drawn in the same style as</w:t>
      </w:r>
      <w:r>
        <w:t xml:space="preserve"> </w:t>
      </w:r>
      <w:r>
        <w:t xml:space="preserve">Figure </w:t>
      </w:r>
      <w:r>
        <w:fldChar w:fldCharType="begin"/>
      </w:r>
      <w:r>
        <w:instrText xml:space="preserve"> REF ref_fig_gsk_flowchart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for direct comparison. The GSK core (fitness</w:t>
      </w:r>
      <w:r>
        <w:t xml:space="preserve"> </w:t>
      </w:r>
      <w:r>
        <w:t xml:space="preserve">evaluation, dimension counting, the junior and senior phases, and the update) is</w:t>
      </w:r>
      <w:r>
        <w:t xml:space="preserve"> </w:t>
      </w:r>
      <w:r>
        <w:t xml:space="preserve">retained; the boxes with a</w:t>
      </w:r>
      <w:r>
        <w:t xml:space="preserve"> </w:t>
      </w:r>
      <w:r>
        <w:rPr>
          <w:b/>
          <w:bCs/>
        </w:rPr>
        <w:t xml:space="preserve">light shaded fill</w:t>
      </w:r>
      <w:r>
        <w:t xml:space="preserve"> </w:t>
      </w:r>
      <w:r>
        <w:t xml:space="preserve">are the mechanisms DT-GSK</w:t>
      </w:r>
      <w:r>
        <w:t xml:space="preserve"> </w:t>
      </w:r>
      <w:r>
        <w:t xml:space="preserve">adds: the nonlinear population-size reduction (NLPSR) and the ACE selector with</w:t>
      </w:r>
      <w:r>
        <w:t xml:space="preserve"> </w:t>
      </w:r>
      <w:r>
        <w:t xml:space="preserve">acceptance-gated pruning, the linkage-aware block crossover, the dimension-gated</w:t>
      </w:r>
      <w:r>
        <w:t xml:space="preserve"> </w:t>
      </w:r>
      <w:r>
        <w:t xml:space="preserve">interaction-structure memory, the coordinate local search, the</w:t>
      </w:r>
      <w:r>
        <w:t xml:space="preserve"> </w:t>
      </w:r>
      <w:r>
        <w:t xml:space="preserve">budget-safe escape with deep-stall restart,</w:t>
      </w:r>
      <w:r>
        <w:t xml:space="preserve"> </w:t>
      </w:r>
      <w:r>
        <w:t xml:space="preserve">and the one-shot deterministic final polish.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the upper-tier controllers are cross-cutting rather than a single stage — they act within the population-reduction, trial-construction, acceptance, and escape steps above (and gate the local search) — so they are not drawn as a separate node. The global best is preserved</w:t>
      </w:r>
      <w:r>
        <w:t xml:space="preserve"> </w:t>
      </w:r>
      <w:r>
        <w:t xml:space="preserve">throughout.</w:t>
      </w:r>
    </w:p>
    <w:bookmarkEnd w:id="27"/>
    <w:p>
      <w:pPr>
        <w:pStyle w:val="BodyText"/>
      </w:pPr>
      <w:r>
        <w:t xml:space="preserve">Within one generation the subsystems execute in the fixed order below,</w:t>
      </w:r>
      <w:r>
        <w:t xml:space="preserve"> </w:t>
      </w:r>
      <w:r>
        <w:t xml:space="preserve">which Algorithm </w:t>
      </w:r>
      <w:r>
        <w:fldChar w:fldCharType="begin"/>
      </w:r>
      <w:r>
        <w:instrText xml:space="preserve"> REF ref_alg_dt_gsk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lists and</w:t>
      </w:r>
      <w:r>
        <w:t xml:space="preserve"> </w:t>
      </w:r>
      <w:r>
        <w:t xml:space="preserve">Figure </w:t>
      </w:r>
      <w:r>
        <w:fldChar w:fldCharType="begin"/>
      </w:r>
      <w:r>
        <w:instrText xml:space="preserve"> REF ref_fig_dtgsk_flowchart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charts.</w:t>
      </w:r>
    </w:p>
    <w:p>
      <w:pPr>
        <w:numPr>
          <w:ilvl w:val="0"/>
          <w:numId w:val="1002"/>
        </w:numPr>
      </w:pPr>
      <w:r>
        <w:t xml:space="preserve">Nonlinear Population-Size Reduction (NLPSR).</w:t>
      </w:r>
    </w:p>
    <w:p>
      <w:pPr>
        <w:numPr>
          <w:ilvl w:val="0"/>
          <w:numId w:val="1002"/>
        </w:numPr>
      </w:pPr>
      <w:r>
        <w:t xml:space="preserve">Operator-arm sampling by the Adaptive Configuration Engine (ACE).</w:t>
      </w:r>
    </w:p>
    <w:p>
      <w:pPr>
        <w:numPr>
          <w:ilvl w:val="0"/>
          <w:numId w:val="1002"/>
        </w:numPr>
      </w:pPr>
      <w:r>
        <w:t xml:space="preserve">Junior/senior trial construction and crossover masking.</w:t>
      </w:r>
    </w:p>
    <w:p>
      <w:pPr>
        <w:numPr>
          <w:ilvl w:val="0"/>
          <w:numId w:val="1002"/>
        </w:numPr>
      </w:pPr>
      <w:r>
        <w:t xml:space="preserve">Bound repair and evaluation.</w:t>
      </w:r>
    </w:p>
    <w:p>
      <w:pPr>
        <w:numPr>
          <w:ilvl w:val="0"/>
          <w:numId w:val="1002"/>
        </w:numPr>
      </w:pPr>
      <w:r>
        <w:t xml:space="preserve">Elitist acceptance and the diversity-archive update.</w:t>
      </w:r>
    </w:p>
    <w:p>
      <w:pPr>
        <w:numPr>
          <w:ilvl w:val="0"/>
          <w:numId w:val="1002"/>
        </w:numPr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the interaction-graph (ISM) update from strictly improving accepted moves.</w:t>
      </w:r>
    </w:p>
    <w:p>
      <w:pPr>
        <w:numPr>
          <w:ilvl w:val="0"/>
          <w:numId w:val="1002"/>
        </w:numPr>
      </w:pPr>
      <w:r>
        <w:t xml:space="preserve">The operator-credit update and Acceptance-Rate Gated Pruning (ARGP)</w:t>
      </w:r>
      <w:r>
        <w:t xml:space="preserve"> </w:t>
      </w:r>
      <w:r>
        <w:t xml:space="preserve">of the operator pool.</w:t>
      </w:r>
    </w:p>
    <w:p>
      <w:pPr>
        <w:numPr>
          <w:ilvl w:val="0"/>
          <w:numId w:val="1002"/>
        </w:numPr>
      </w:pPr>
      <w:r>
        <w:t xml:space="preserve">Stagnation escape by the Budget-Safe Escape (BSE) mechanism.</w:t>
      </w:r>
    </w:p>
    <w:p>
      <w:pPr>
        <w:numPr>
          <w:ilvl w:val="0"/>
          <w:numId w:val="1002"/>
        </w:numPr>
      </w:pPr>
      <w:r>
        <w:t xml:space="preserve">The charged coordinate local search.</w:t>
      </w:r>
    </w:p>
    <w:p>
      <w:pPr>
        <w:numPr>
          <w:ilvl w:val="0"/>
          <w:numId w:val="1002"/>
        </w:numPr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the one-shot deterministic final polish in the final</w:t>
      </w:r>
      <w:r>
        <w:t xml:space="preserve"> </w:t>
      </w:r>
      <w:r>
        <w:t xml:space="preserve">budget slice.</w:t>
      </w:r>
    </w:p>
    <w:p>
      <w:pPr>
        <w:numPr>
          <w:ilvl w:val="0"/>
          <w:numId w:val="1002"/>
        </w:numPr>
      </w:pPr>
      <w:r>
        <w:t xml:space="preserve">Global-best update.</w:t>
      </w:r>
    </w:p>
    <w:p>
      <w:pPr>
        <w:numPr>
          <w:ilvl w:val="0"/>
          <w:numId w:val="1002"/>
        </w:numPr>
      </w:pPr>
      <w:r>
        <w:t xml:space="preserve">The deep-stall restart check.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upper-tier controllers do not form a separate step in this order: they are cross-cutting, acting within population reduction (the subspace-sampling floor), trial construction (frozen-streak broaden and late linkage random-mix), acceptance (the late-acceptance clip and the basin-memory update), and the budget-safe escape (basin-novelty reseed); a budget/ROI gate additionally gates the local search (a matching hook exists on the escape but never blocks it in the frozen configuration).</w:t>
      </w:r>
    </w:p>
    <w:p>
      <w:pPr>
        <w:pStyle w:val="BodyText"/>
      </w:pPr>
      <w:r>
        <w:t xml:space="preserve">A step written</w:t>
      </w:r>
      <w:r>
        <w:t xml:space="preserve"> </w:t>
      </w:r>
      <w:r>
        <w:t xml:space="preserve">“</w:t>
      </w:r>
      <w:r>
        <w:rPr>
          <w:b/>
          <w:bCs/>
        </w:rP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d</m:t>
        </m:r>
      </m:oMath>
      <w:r>
        <w:t xml:space="preserve">”</w:t>
      </w:r>
      <w:r>
        <w:t xml:space="preserve"> </w:t>
      </w:r>
      <w:r>
        <w:t xml:space="preserve">in Algorithm </w:t>
      </w:r>
      <w:r>
        <w:fldChar w:fldCharType="begin"/>
      </w:r>
      <w:r>
        <w:instrText xml:space="preserve"> REF ref_alg_dt_gsk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is</w:t>
      </w:r>
      <w:r>
        <w:t xml:space="preserve"> </w:t>
      </w:r>
      <w:r>
        <w:t xml:space="preserve">inactive below tier </w:t>
      </w:r>
      <m:oMath>
        <m:r>
          <m:t>d</m:t>
        </m:r>
      </m:oMath>
      <w:r>
        <w:t xml:space="preserve">. Every subsystem is elitist with respect to the</w:t>
      </w:r>
      <w:r>
        <w:t xml:space="preserve"> </w:t>
      </w:r>
      <w:r>
        <w:t xml:space="preserve">working population — it cannot return a population whose best is worse</w:t>
      </w:r>
      <w:r>
        <w:t xml:space="preserve"> </w:t>
      </w:r>
      <w:r>
        <w:t xml:space="preserve">than the incumbent it was given — with one deliberate exception: the</w:t>
      </w:r>
      <w:r>
        <w:t xml:space="preserve"> </w:t>
      </w:r>
      <w:r>
        <w:t xml:space="preserve">deep-stall restart resamples the working population outright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ref_sec_alg_deepstall \h </w:instrText>
      </w:r>
      <w:r>
        <w:fldChar w:fldCharType="separate"/>
      </w:r>
      <w:r>
        <w:t xml:space="preserve">3.3.5</w:t>
      </w:r>
      <w:r>
        <w:fldChar w:fldCharType="end"/>
      </w:r>
      <w:r>
        <w:t xml:space="preserve">). The global best</w:t>
      </w:r>
      <w:r>
        <w:t xml:space="preserve"> </w:t>
      </w:r>
      <m:oMath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</m:oMath>
      <w:r>
        <w:t xml:space="preserve"> </w:t>
      </w:r>
      <w:r>
        <w:t xml:space="preserve">is held</w:t>
      </w:r>
      <w:r>
        <w:t xml:space="preserve"> </w:t>
      </w:r>
      <w:r>
        <w:t xml:space="preserve">separately from the working population, is never re-initialized, and is</w:t>
      </w:r>
      <w:r>
        <w:t xml:space="preserve"> </w:t>
      </w:r>
      <w:r>
        <w:t xml:space="preserve">what the run returns; it therefore never loses ground.</w:t>
      </w:r>
    </w:p>
    <w:p>
      <w:pPr>
        <w:pStyle w:val="BodyText"/>
      </w:pPr>
      <w:r>
        <w:t xml:space="preserve">Dimension-tier gating is stated once and holds everywhere.</w:t>
      </w:r>
      <w:r>
        <w:t xml:space="preserve"> </w:t>
      </w:r>
      <w:r>
        <w:t xml:space="preserve">The blockwise linkage mask is active from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</m:oMath>
      <w:r>
        <w:t xml:space="preserve">, applied to a</w:t>
      </w:r>
      <w:r>
        <w:t xml:space="preserve"> </w:t>
      </w:r>
      <w:r>
        <w:t xml:space="preserve">tier-dependent fraction of the population, with the remainder keeping</w:t>
      </w:r>
      <w:r>
        <w:t xml:space="preserve"> </w:t>
      </w:r>
      <w:r>
        <w:t xml:space="preserve">the per-coordinate</w:t>
      </w:r>
      <w:r>
        <w:t xml:space="preserve"> </w:t>
      </w:r>
      <m:oMath>
        <m:r>
          <m:t>K</m:t>
        </m:r>
        <m:r>
          <m:t>R</m:t>
        </m:r>
      </m:oMath>
      <w:r>
        <w:t xml:space="preserve"> </w:t>
      </w:r>
      <w:r>
        <w:t xml:space="preserve">mask of 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).</w:t>
      </w:r>
      <w:r>
        <w:t xml:space="preserve"> </w:t>
      </w:r>
      <w:r>
        <w:t xml:space="preserve">The interaction-structure memory and the</w:t>
      </w:r>
      <w:r>
        <w:t xml:space="preserve"> </w:t>
      </w:r>
      <w:r>
        <w:t xml:space="preserve">deterministic final polish activate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while the coordinate local search</w:t>
      </w:r>
      <w:r>
        <w:t xml:space="preserve"> </w:t>
      </w:r>
      <w:r>
        <w:t xml:space="preserve">is active at all tiers. The protective</w:t>
      </w:r>
      <w:r>
        <w:t xml:space="preserve"> </w:t>
      </w:r>
      <w:r>
        <w:t xml:space="preserve">controllers activate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.</w:t>
      </w:r>
      <w:r>
        <w:t xml:space="preserve"> </w:t>
      </w:r>
      <w:r>
        <w:t xml:space="preserve">Below its tier, each gated block is a no-op.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ref_tab_dim_gating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gives the activation pattern.</w:t>
      </w:r>
    </w:p>
    <w:bookmarkStart w:id="28" w:name="lbl_tab_dim_gating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75" w:name="ref_tab_dim_gating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5</w:t>
      </w:r>
      <w:r>
        <w:fldChar w:fldCharType="end"/>
      </w:r>
      <w:bookmarkEnd w:id="175"/>
      <w:r>
        <w:rPr>
          <w:b/>
        </w:rPr>
        <w:t xml:space="preserve">. </w:t>
      </w:r>
      <w:r>
        <w:t xml:space="preserve"> Subsystem activation across the frozen configuration’s four</w:t>
      </w:r>
      <w:r>
        <w:t xml:space="preserve"> </w:t>
      </w:r>
      <w:r>
        <w:t xml:space="preserve">dimension tiers (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,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99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; the CEC benchmark</w:t>
      </w:r>
      <w:r>
        <w:t xml:space="preserve"> </w:t>
      </w:r>
      <w:r>
        <w:t xml:space="preserve">dimensions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are the respective tier representatives).</w:t>
      </w:r>
      <w:r>
        <w:t xml:space="preserve"> </w:t>
      </w:r>
      <w:r>
        <w:rPr>
          <w:i/>
          <w:iCs/>
        </w:rPr>
        <w:t xml:space="preserve">on</w:t>
      </w:r>
      <w:r>
        <w:t xml:space="preserve">/</w:t>
      </w:r>
      <w:r>
        <w:rPr>
          <w:i/>
          <w:iCs/>
        </w:rPr>
        <w:t xml:space="preserve">off</w:t>
      </w:r>
      <w:r>
        <w:t xml:space="preserve"> </w:t>
      </w:r>
      <w:r>
        <w:t xml:space="preserve">give the activation state per tier and the last column the</w:t>
      </w:r>
      <w:r>
        <w:t xml:space="preserve"> </w:t>
      </w:r>
      <w:r>
        <w:t xml:space="preserve">tier-varying parameters. The threshold structure follows the frozen parameter</w:t>
      </w:r>
      <w:r>
        <w:t xml:space="preserve"> </w:t>
      </w:r>
      <w:r>
        <w:t xml:space="preserve">table (Table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). Within the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tier the linkage mask</w:t>
      </w:r>
      <w:r>
        <w:t xml:space="preserve"> </w:t>
      </w:r>
      <w:r>
        <w:t xml:space="preserve">carries its own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gate (Table </w:t>
      </w:r>
      <w:r>
        <w:fldChar w:fldCharType="begin"/>
      </w:r>
      <w:r>
        <w:instrText xml:space="preserve"> REF ref_tab_architecture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), so it is</w:t>
      </w:r>
      <w:r>
        <w:t xml:space="preserve"> </w:t>
      </w:r>
      <w:r>
        <w:t xml:space="preserve">additionally inactive at the CEC2020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cells.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bsystem activation across the frozen configuration’s four dimension tiers (D&lt;20, 20–49, 50–99, D≥100; the CEC benchmark dimensions 10/30/50/100 are the respective tier representatives). on/off give the activation state per tier and the last column the tier-varying parameters. The threshold structure follows the frozen parameter table (Table 10). Within the D&lt;20 tier the linkage mask carries its own D≥10 gate (Table 4), so it is additionally inactive at the CEC2020 D=5 cell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Subsystem (Eq.)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20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49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99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parameters (by tier)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Inherited GSK core (Eqs. (</w:t>
            </w:r>
            <w:r>
              <w:fldChar w:fldCharType="begin"/>
            </w:r>
            <w:r>
              <w:instrText xml:space="preserve"> REF ref_eq_junior_idx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)–(</w:t>
            </w:r>
            <w:r>
              <w:fldChar w:fldCharType="begin"/>
            </w:r>
            <w:r>
              <w:instrText xml:space="preserve"> REF ref_eq_gsk_update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), (</w:t>
            </w:r>
            <w:r>
              <w:fldChar w:fldCharType="begin"/>
            </w:r>
            <w:r>
              <w:instrText xml:space="preserve"> REF ref_eq_midpoint_repair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  <w:r>
              <w:t xml:space="preserve">); (</w:t>
            </w:r>
            <w:r>
              <w:fldChar w:fldCharType="begin"/>
            </w:r>
            <w:r>
              <w:instrText xml:space="preserve"> REF ref_eq_kr_mask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), (</w:t>
            </w:r>
            <w:r>
              <w:fldChar w:fldCharType="begin"/>
            </w:r>
            <w:r>
              <w:instrText xml:space="preserve"> REF ref_eq_greedy_accept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  <w:r>
              <w:t xml:space="preserve">) as modified)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0.15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20</m:t>
              </m:r>
            </m:oMath>
            <w:r>
              <w:t xml:space="preserve">–</w:t>
            </w:r>
            <m:oMath>
              <m:r>
                <m:t>49</m:t>
              </m:r>
            </m:oMath>
            <w:r>
              <w:t xml:space="preserve">), split-bottom</w:t>
            </w:r>
            <w:r>
              <w:t xml:space="preserve"> </w:t>
            </w:r>
            <m:oMath>
              <m:r>
                <m:t>0.10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NLPSR schedule (Eq. (</w:t>
            </w:r>
            <w:r>
              <w:fldChar w:fldCharType="begin"/>
            </w:r>
            <w:r>
              <w:instrText xml:space="preserve"> REF ref_eq_nlpsr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m:oMath>
              <m:r>
                <m:t>12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25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ACE selector + ARGP (Eq. (</w:t>
            </w:r>
            <w:r>
              <w:fldChar w:fldCharType="begin"/>
            </w:r>
            <w:r>
              <w:instrText xml:space="preserve"> REF ref_eq_ace_update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memory, then top/bottom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20</m:t>
              </m:r>
            </m:oMath>
            <w:r>
              <w:t xml:space="preserve">; DE arm on for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Linkage block crossover (Eq. (</w:t>
            </w:r>
            <w:r>
              <w:fldChar w:fldCharType="begin"/>
            </w:r>
            <w:r>
              <w:instrText xml:space="preserve"> REF ref_eq_kr_mask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10</m:t>
              </m:r>
            </m:oMath>
            <w:r>
              <w:t xml:space="preserve">; mix</w:t>
            </w:r>
            <w:r>
              <w:t xml:space="preserve"> </w:t>
            </w:r>
            <m:oMath>
              <m:r>
                <m:t>0.70</m:t>
              </m:r>
              <m:r>
                <m:rPr>
                  <m:sty m:val="p"/>
                </m:rPr>
                <m:t>/</m:t>
              </m:r>
              <m:r>
                <m:t>0.40</m:t>
              </m:r>
              <m:r>
                <m:rPr>
                  <m:sty m:val="p"/>
                </m:rPr>
                <m:t>/</m:t>
              </m:r>
              <m:r>
                <m:t>0.70</m:t>
              </m:r>
              <m:r>
                <m:rPr>
                  <m:sty m:val="p"/>
                </m:rPr>
                <m:t>/</m:t>
              </m:r>
              <m:r>
                <m:t>0.70</m:t>
              </m:r>
            </m:oMath>
            <w:r>
              <w:t xml:space="preserve">; ISM-fed blocks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ISM memory (Eq. (</w:t>
            </w:r>
            <w:r>
              <w:fldChar w:fldCharType="begin"/>
            </w:r>
            <w:r>
              <w:instrText xml:space="preserve"> REF ref_eq_sgsm_graph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, gate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0.35</m:t>
              </m:r>
            </m:oMath>
            <w:r>
              <w:t xml:space="preserve"> </w:t>
            </w:r>
            <w:r>
              <w:t xml:space="preserve">(adaptive)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Local search (coordinate)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axis-aligned; charged; ISM-subspace variant off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BSE escape (Eq. (</w:t>
            </w:r>
            <w:r>
              <w:fldChar w:fldCharType="begin"/>
            </w:r>
            <w:r>
              <w:instrText xml:space="preserve"> REF ref_eq_bse_cauchy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  <w:r>
              <w:t xml:space="preserve">)) + archive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m:oMath>
              <m:r>
                <m:t>0.10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 </w:t>
            </w:r>
            <m:oMath>
              <m:r>
                <m:t>0.30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0.10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by tier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Upper-tier controllers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basin memory, subspace floor, late-accept clip, frozen-broaden, linkage random-mix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Deterministic final polish (Eq. (</w:t>
            </w:r>
            <w:r>
              <w:fldChar w:fldCharType="begin"/>
            </w:r>
            <w:r>
              <w:instrText xml:space="preserve"> REF ref_eq_eigen_polish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one-shot, start</w:t>
            </w:r>
            <w:r>
              <w:t xml:space="preserve"> </w:t>
            </w:r>
            <m:oMath>
              <m:r>
                <m:t>0.96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Deep-stall restart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  <w:r>
              <w:t xml:space="preserve"> </w:t>
            </w:r>
            <m:oMath>
              <m:r>
                <m:t>0.25</m:t>
              </m:r>
            </m:oMath>
            <w:r>
              <w:t xml:space="preserve">; global best preserved</w:t>
            </w:r>
          </w:p>
        </w:tc>
      </w:tr>
    </w:tbl>
    <w:bookmarkEnd w:id="28"/>
    <w:bookmarkEnd w:id="29"/>
    <w:bookmarkStart w:id="37" w:name="lbl_sec_alg_scaffold"/>
    <w:p>
      <w:pPr>
        <w:pStyle w:val="Heading2"/>
      </w:pPr>
      <w:bookmarkStart w:id="176" w:name="ref_sec_alg_scaffold"/>
      <w:r>
        <w:t xml:space="preserve">3.3.</w:t>
      </w:r>
      <w:bookmarkEnd w:id="176"/>
      <w:r>
        <w:tab/>
      </w:r>
      <w:r>
        <w:t xml:space="preserve"> Dimension-Tiered Adaptive Scaffold (Contribution C2)</w:t>
      </w:r>
    </w:p>
    <w:p>
      <w:pPr>
        <w:pStyle w:val="FirstParagraph"/>
      </w:pPr>
      <w:r>
        <w:t xml:space="preserve">The scaffold answers a control and budget problem: a single frozen</w:t>
      </w:r>
      <w:r>
        <w:t xml:space="preserve"> </w:t>
      </w:r>
      <w:r>
        <w:t xml:space="preserve">configuration must remain usable from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without</w:t>
      </w:r>
      <w:r>
        <w:t xml:space="preserve"> </w:t>
      </w:r>
      <w:r>
        <w:t xml:space="preserve">per-problem tuning, under a greedy selection rule (a trial replaces its</w:t>
      </w:r>
      <w:r>
        <w:t xml:space="preserve"> </w:t>
      </w:r>
      <w:r>
        <w:t xml:space="preserve">parent when no worse,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 Eq. (</w:t>
      </w:r>
      <w:r>
        <w:fldChar w:fldCharType="begin"/>
      </w:r>
      <w:r>
        <w:instrText xml:space="preserve"> REF ref_eq_greedy_accept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)) that can</w:t>
      </w:r>
      <w:r>
        <w:t xml:space="preserve"> </w:t>
      </w:r>
      <w:r>
        <w:t xml:space="preserve">starve the search of accepted moves.</w:t>
      </w:r>
      <w:r>
        <w:t xml:space="preserve"> </w:t>
      </w:r>
      <w:r>
        <w:t xml:space="preserve">Its five sub-mechanisms are labeled honestly: ACE, NLPSR, BSE, the</w:t>
      </w:r>
      <w:r>
        <w:t xml:space="preserve"> </w:t>
      </w:r>
      <w:r>
        <w:t xml:space="preserve">diversity archive, and the deep-stall restart are modifications of cited</w:t>
      </w:r>
      <w:r>
        <w:t xml:space="preserve"> </w:t>
      </w:r>
      <w:r>
        <w:t xml:space="preserve">antecedents; we did not find ARGP’s acceptance-rate-gated arm-freezing</w:t>
      </w:r>
      <w:r>
        <w:t xml:space="preserve"> </w:t>
      </w:r>
      <w:r>
        <w:t xml:space="preserve">rule among the surveyed GSK variants.</w:t>
      </w:r>
      <w:r>
        <w:t xml:space="preserve"> </w:t>
      </w:r>
      <w:r>
        <w:t xml:space="preserve">The individual contribution of the scaffold subsystems is examined in a</w:t>
      </w:r>
      <w:r>
        <w:t xml:space="preserve"> </w:t>
      </w:r>
      <w:r>
        <w:t xml:space="preserve">remove-one component study in the Supplementary Materials (with</w:t>
      </w:r>
      <w:r>
        <w:t xml:space="preserve"> </w:t>
      </w:r>
      <w:r>
        <w:t xml:space="preserve">the interaction-structure memory held off in every cell); ARGP, the final</w:t>
      </w:r>
      <w:r>
        <w:t xml:space="preserve"> </w:t>
      </w:r>
      <w:r>
        <w:t xml:space="preserve">polish and the deep-stall restart are prespecified exclusions from that study</w:t>
      </w:r>
      <w:r>
        <w:t xml:space="preserve"> </w:t>
      </w:r>
      <w:r>
        <w:t xml:space="preserve">and are therefore not isolated. A direct isolation</w:t>
      </w:r>
      <w:r>
        <w:t xml:space="preserve"> </w:t>
      </w:r>
      <w:r>
        <w:t xml:space="preserve">of the memory overlay itself is reported in the Supplementary Materials</w:t>
      </w:r>
      <w:r>
        <w:t xml:space="preserve"> </w:t>
      </w:r>
      <w:r>
        <w:t xml:space="preserve">(Section S6.5) and finds no significant standalone benefit at the</w:t>
      </w:r>
      <w:r>
        <w:t xml:space="preserve"> </w:t>
      </w:r>
      <w:r>
        <w:t xml:space="preserve">memory’s active tiers. The dimension-tiering itself — resolving control</w:t>
      </w:r>
      <w:r>
        <w:t xml:space="preserve"> </w:t>
      </w:r>
      <w:r>
        <w:t xml:space="preserve">by dimension rather than at a single fixed operating point — is likewise</w:t>
      </w:r>
      <w:r>
        <w:t xml:space="preserve"> </w:t>
      </w:r>
      <w:r>
        <w:t xml:space="preserve">not isolated by the component studies above. A controlled</w:t>
      </w:r>
      <w:r>
        <w:t xml:space="preserve"> </w:t>
      </w:r>
      <w:r>
        <w:t xml:space="preserve">tiered-versus-tier-constant contrast (Supplementary Materials,</w:t>
      </w:r>
      <w:r>
        <w:t xml:space="preserve"> </w:t>
      </w:r>
      <w:r>
        <w:t xml:space="preserve">Section S9.3) separates the</w:t>
      </w:r>
      <w:r>
        <w:t xml:space="preserve"> </w:t>
      </w:r>
      <w:r>
        <w:t xml:space="preserve">two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against a high-dimension transplant, while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 low-dimension transplant outperforms the shipped configuration. C2 is</w:t>
      </w:r>
      <w:r>
        <w:t xml:space="preserve"> </w:t>
      </w:r>
      <w:r>
        <w:t xml:space="preserve">therefore claimed for the dimensions where tiering was demonstrated, with the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tier disclosed as mis-specified, rather than as evidence that</w:t>
      </w:r>
      <w:r>
        <w:t xml:space="preserve"> </w:t>
      </w:r>
      <w:r>
        <w:t xml:space="preserve">dimension-tiering is individually causal at every tier.</w:t>
      </w:r>
    </w:p>
    <w:p>
      <w:pPr>
        <w:pStyle w:val="BodyText"/>
      </w:pPr>
      <w:r>
        <w:t xml:space="preserve">Here each mechanism is specified with its trigger,</w:t>
      </w:r>
      <w:r>
        <w:t xml:space="preserve"> </w:t>
      </w:r>
      <w:r>
        <w:t xml:space="preserve">timing, and cost. Table </w:t>
      </w:r>
      <w:r>
        <w:fldChar w:fldCharType="begin"/>
      </w:r>
      <w:r>
        <w:instrText xml:space="preserve"> REF ref_tab_notation_scaffold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lists the symbols this</w:t>
      </w:r>
      <w:r>
        <w:t xml:space="preserve"> </w:t>
      </w:r>
      <w:r>
        <w:t xml:space="preserve">subsection introduces.</w:t>
      </w:r>
    </w:p>
    <w:bookmarkStart w:id="30" w:name="lbl_tab_notation_scaffold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77" w:name="ref_tab_notation_scaffold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6</w:t>
      </w:r>
      <w:r>
        <w:fldChar w:fldCharType="end"/>
      </w:r>
      <w:bookmarkEnd w:id="177"/>
      <w:r>
        <w:rPr>
          <w:b/>
        </w:rPr>
        <w:t xml:space="preserve">. </w:t>
      </w:r>
      <w:r>
        <w:t xml:space="preserve"> Scaffold notation (Contribution C2): symbols for the ACE/ARGP</w:t>
      </w:r>
      <w:r>
        <w:t xml:space="preserve"> </w:t>
      </w:r>
      <w:r>
        <w:t xml:space="preserve">operator controllers (Sections </w:t>
      </w:r>
      <w:r>
        <w:fldChar w:fldCharType="begin"/>
      </w:r>
      <w:r>
        <w:instrText xml:space="preserve"> REF ref_sec_alg_ace \h </w:instrText>
      </w:r>
      <w:r>
        <w:fldChar w:fldCharType="separate"/>
      </w:r>
      <w:r>
        <w:t xml:space="preserve">3.3.1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ref_sec_alg_argp \h </w:instrText>
      </w:r>
      <w:r>
        <w:fldChar w:fldCharType="separate"/>
      </w:r>
      <w:r>
        <w:t xml:space="preserve">3.3.2</w:t>
      </w:r>
      <w:r>
        <w:fldChar w:fldCharType="end"/>
      </w:r>
      <w:r>
        <w:t xml:space="preserve">), the</w:t>
      </w:r>
      <w:r>
        <w:t xml:space="preserve"> </w:t>
      </w:r>
      <w:r>
        <w:t xml:space="preserve">tier-floored population schedule (Section </w:t>
      </w:r>
      <w:r>
        <w:fldChar w:fldCharType="begin"/>
      </w:r>
      <w:r>
        <w:instrText xml:space="preserve"> REF ref_sec_alg_nlpsr \h </w:instrText>
      </w:r>
      <w:r>
        <w:fldChar w:fldCharType="separate"/>
      </w:r>
      <w:r>
        <w:t xml:space="preserve">3.3.3</w:t>
      </w:r>
      <w:r>
        <w:fldChar w:fldCharType="end"/>
      </w:r>
      <w:r>
        <w:t xml:space="preserve">), and the</w:t>
      </w:r>
      <w:r>
        <w:t xml:space="preserve"> </w:t>
      </w:r>
      <w:r>
        <w:t xml:space="preserve">budget-safe escape, diversity archive, and restart machinery</w:t>
      </w:r>
      <w:r>
        <w:t xml:space="preserve"> </w:t>
      </w:r>
      <w:r>
        <w:t xml:space="preserve">(Sections </w:t>
      </w:r>
      <w:r>
        <w:fldChar w:fldCharType="begin"/>
      </w:r>
      <w:r>
        <w:instrText xml:space="preserve"> REF ref_sec_alg_bse \h </w:instrText>
      </w:r>
      <w:r>
        <w:fldChar w:fldCharType="separate"/>
      </w:r>
      <w:r>
        <w:t xml:space="preserve">3.3.4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ref_sec_alg_deepstall \h </w:instrText>
      </w:r>
      <w:r>
        <w:fldChar w:fldCharType="separate"/>
      </w:r>
      <w:r>
        <w:t xml:space="preserve">3.3.5</w:t>
      </w:r>
      <w:r>
        <w:fldChar w:fldCharType="end"/>
      </w:r>
      <w:r>
        <w:t xml:space="preserve">). Constants take the</w:t>
      </w:r>
      <w:r>
        <w:t xml:space="preserve"> </w:t>
      </w:r>
      <w:r>
        <w:t xml:space="preserve">frozen-configuration values (Table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affold notation (Contribution C2): symbols for the ACE/ARGP operator controllers (Sections 3.3.1–3.3.2), the tier-floored population schedule (Section 3.3.3), and the budget-safe escape, diversity archive, and restart machinery (Sections 3.3.4–3.3.5). Constants take the frozen-configuration values (Table 10)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ACE / ARGP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exp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ACE arm pool (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t xml:space="preserve">; arm 3 = GSK-pure); the optional 6th arm is the DE/rand/1 operator, active at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ACE selection probability of arm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(EMA state)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arm-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aggregate improvement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this generation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improving-arm normalized share (EMA target for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ACE learning rate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ACE probability floor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argp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ARGP acceptance window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argp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ARGP prune threshold (</w:t>
            </w:r>
            <m:oMath>
              <m:r>
                <m:t>0.02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0.010</m:t>
              </m:r>
            </m:oMath>
            <w:r>
              <w:t xml:space="preserve"> </w:t>
            </w:r>
            <w:r>
              <w:t xml:space="preserve">tier)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NLPSR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tier-floored nonlinear reduction (rounded half-up)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BSE / archive / restart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BSE stagnation window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scale-aware stagnation tolerance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BSE Cauchy-perturbation fraction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BSE restart (replacement) fraction: the</w:t>
            </w:r>
            <w:r>
              <w:t xml:space="preserve"> </w:t>
            </w:r>
            <m:oMath>
              <m:r>
                <m:rPr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rst</m:t>
                  </m:r>
                </m:sub>
              </m:sSub>
              <m:r>
                <m:t>N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worst unfrozen rows are replaced per escape (</w:t>
            </w:r>
            <m:oMath>
              <m:r>
                <m:t>0.30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0.10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); each replaced row is re-seeded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t>0.50</m:t>
              </m:r>
            </m:oMath>
            <w:r>
              <w:t xml:space="preserve">, otherwise from a fresh draw (see Table </w:t>
            </w:r>
            <w:r>
              <w:fldChar w:fldCharType="begin"/>
            </w:r>
            <w:r>
              <w:instrText xml:space="preserve"> REF ref_tab_parameters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BSE restarts (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by tier)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Cauchy draws; rescue scale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tier-dependent)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distance-filtered diversity archive (</w:t>
            </w: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 </w:t>
            </w:r>
            <w:r>
              <w:t xml:space="preserve">fixed; L2 admit/replace threshold 0.05; no fitness gate)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ds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deep-stall frozen-fraction trigger</w:t>
            </w:r>
          </w:p>
        </w:tc>
      </w:tr>
    </w:tbl>
    <w:bookmarkEnd w:id="30"/>
    <w:bookmarkStart w:id="31" w:name="lbl_sec_alg_ace"/>
    <w:p>
      <w:pPr>
        <w:pStyle w:val="Heading3"/>
      </w:pPr>
      <w:bookmarkStart w:id="178" w:name="ref_sec_alg_ace"/>
      <w:r>
        <w:t xml:space="preserve">3.3.1.</w:t>
      </w:r>
      <w:bookmarkEnd w:id="178"/>
      <w:r>
        <w:tab/>
      </w:r>
      <w:r>
        <w:t xml:space="preserve"> ACE: Bandit Control of the Operator Pool</w:t>
      </w:r>
    </w:p>
    <w:p>
      <w:pPr>
        <w:pStyle w:val="FirstParagraph"/>
      </w:pPr>
      <w:r>
        <w:t xml:space="preserve">A fixed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,</m:t>
        </m:r>
        <m:r>
          <m:t>K</m:t>
        </m:r>
        <m:r>
          <m:t>R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triple that suits one landscape or one</w:t>
      </w:r>
      <w:r>
        <w:t xml:space="preserve"> </w:t>
      </w:r>
      <w:r>
        <w:t xml:space="preserve">dimension tier is brittle on another.</w:t>
      </w:r>
      <w:r>
        <w:t xml:space="preserve"> </w:t>
      </w:r>
      <w:r>
        <w:t xml:space="preserve">AGSK adapts</w:t>
      </w:r>
      <w:r>
        <w:t xml:space="preserve"> </w:t>
      </w:r>
      <m:oMath>
        <m:r>
          <m:t>K</m:t>
        </m:r>
        <m:r>
          <m:t>F</m:t>
        </m:r>
        <m:r>
          <m:rPr>
            <m:sty m:val="p"/>
          </m:rPr>
          <m:t>/</m:t>
        </m:r>
        <m:r>
          <m:t>K</m:t>
        </m:r>
        <m:r>
          <m:t>R</m:t>
        </m:r>
      </m:oMath>
      <w:r>
        <w:t xml:space="preserve"> </w:t>
      </w:r>
      <w:r>
        <w:t xml:space="preserve">from a fixed pool by success</w:t>
      </w:r>
      <w:r>
        <w:t xml:space="preserve"> </w:t>
      </w:r>
      <w:r>
        <w:t xml:space="preserve">history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, and APGSK widens the adapted parameter</w:t>
      </w:r>
      <w:r>
        <w:t xml:space="preserve"> </w:t>
      </w:r>
      <w:r>
        <w:t xml:space="preserve">pools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; both adapt at the parameter level.</w:t>
      </w:r>
    </w:p>
    <w:p>
      <w:pPr>
        <w:pStyle w:val="BodyText"/>
      </w:pPr>
      <w:r>
        <w:t xml:space="preserve">ACE instead adapts at the operator level: it maintains a pool of five complete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,</m:t>
        </m:r>
        <m:r>
          <m:t>K</m:t>
        </m:r>
        <m:r>
          <m:t>R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operator settings (a sixth, optional differential-evolution arm joins at</w:t>
      </w:r>
      <w:r>
        <w:t xml:space="preserve"> </w:t>
      </w:r>
      <w:r>
        <w:t xml:space="preserve">the mid-dimension tiers, below) — arm 3 is the GSK-pure setting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— and draws one arm per individual per generation.</w:t>
      </w:r>
      <w:r>
        <w:t xml:space="preserve"> </w:t>
      </w:r>
      <w:r>
        <w:t xml:space="preserve">Each arm’s per-generation reward is its</w:t>
      </w:r>
      <w:r>
        <w:t xml:space="preserve"> </w:t>
      </w:r>
      <w:r>
        <w:rPr>
          <w:i/>
          <w:iCs/>
        </w:rPr>
        <w:t xml:space="preserve">aggregate fitness</w:t>
      </w:r>
      <w:r>
        <w:rPr>
          <w:i/>
          <w:iCs/>
        </w:rPr>
        <w:t xml:space="preserve"> </w:t>
      </w:r>
      <w:r>
        <w:rPr>
          <w:i/>
          <w:iCs/>
        </w:rPr>
        <w:t xml:space="preserve">improvement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the summed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the individuals</w:t>
      </w:r>
      <w:r>
        <w:t xml:space="preserve"> </w:t>
      </w:r>
      <w:r>
        <w:t xml:space="preserve">that drew it, not a raw acceptance count. The credit target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mixed</w:t>
      </w:r>
      <w:r>
        <w:t xml:space="preserve"> </w:t>
      </w:r>
      <w:r>
        <w:t xml:space="preserve">by an exponential moving average at learning rate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(frozen default)</w:t>
      </w:r>
      <w:r>
        <w:t xml:space="preserve"> </w:t>
      </w:r>
      <w:r>
        <w:t xml:space="preserve">into the selection-probability vector</w:t>
      </w:r>
      <w:r>
        <w:t xml:space="preserve"> </w:t>
      </w:r>
      <m:oMath>
        <m:r>
          <m:t>π</m:t>
        </m:r>
      </m:oMath>
      <w:r>
        <w:t xml:space="preserve">, which is projected onto the</w:t>
      </w:r>
      <w:r>
        <w:t xml:space="preserve"> </w:t>
      </w:r>
      <w:r>
        <w:t xml:space="preserve">floored simplex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≥</m:t>
        </m:r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, Eq. (</w:t>
      </w:r>
      <w:r>
        <w:fldChar w:fldCharType="begin"/>
      </w:r>
      <w:r>
        <w:instrText xml:space="preserve"> REF ref_eq_ace_update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). When the</w:t>
      </w:r>
      <w:r>
        <w:t xml:space="preserve"> </w:t>
      </w:r>
      <w:r>
        <w:t xml:space="preserve">generation improves in aggregate (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) the target is the full-pool share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S</m:t>
        </m:r>
      </m:oMath>
      <w:r>
        <w:t xml:space="preserve">. When it does not, the target is restricted to the arms that</w:t>
      </w:r>
      <w:r>
        <w:t xml:space="preserve"> </w:t>
      </w:r>
      <w:r>
        <w:t xml:space="preserve">individually improved. When no arm improves — or the aggregate is</w:t>
      </w:r>
      <w:r>
        <w:t xml:space="preserve"> </w:t>
      </w:r>
      <w:r>
        <w:t xml:space="preserve">exactly zero —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held unchanged apart from that projection. The floor keeps every arm alive for exploration, and the</w:t>
      </w:r>
      <w:r>
        <w:t xml:space="preserve"> </w:t>
      </w:r>
      <w:r>
        <w:t xml:space="preserve">improvement-weighted update is in the spirit of SHADE’s success</w:t>
      </w:r>
      <w:r>
        <w:t xml:space="preserve"> </w:t>
      </w:r>
      <w:r>
        <w:t xml:space="preserve">history </w:t>
      </w:r>
      <w:r>
        <w:fldChar w:fldCharType="begin"/>
      </w:r>
      <w:r>
        <w:instrText xml:space="preserve"> CITATION tanabe2013shade \l 1033 </w:instrText>
      </w:r>
      <w:r>
        <w:fldChar w:fldCharType="separate"/>
      </w:r>
      <w:r>
        <w:t xml:space="preserve">[21]</w:t>
      </w:r>
      <w:r>
        <w:fldChar w:fldCharType="end"/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the credit assignment splits into a top/bottom improvement</w:t>
      </w:r>
      <w:r>
        <w:t xml:space="preserve"> </w:t>
      </w:r>
      <w:r>
        <w:t xml:space="preserve">memory, and for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an optional differential-evolution arm</w:t>
      </w:r>
      <w:r>
        <w:t xml:space="preserve"> </w:t>
      </w:r>
      <w:r>
        <w:t xml:space="preserve">joins the pool </w:t>
      </w:r>
      <w:r>
        <w:fldChar w:fldCharType="begin"/>
      </w:r>
      <w:r>
        <w:instrText xml:space="preserve"> CITATION storn1997differential \l 1033 </w:instrText>
      </w:r>
      <w:r>
        <w:fldChar w:fldCharType="separate"/>
      </w:r>
      <w:r>
        <w:t xml:space="preserve">[30]</w:t>
      </w:r>
      <w:r>
        <w:fldChar w:fldCharType="end"/>
      </w:r>
      <w:r>
        <w:t xml:space="preserve">.</w:t>
      </w:r>
      <w:r>
        <w:t xml:space="preserve"> </w:t>
      </w:r>
      <w:r>
        <w:t xml:space="preserve">The bandit literature grounds this framing of operator selection as a</w:t>
      </w:r>
      <w:r>
        <w:t xml:space="preserve"> </w:t>
      </w:r>
      <w:r>
        <w:t xml:space="preserve">dynamic exploration–exploitation</w:t>
      </w:r>
      <w:r>
        <w:t xml:space="preserve"> </w:t>
      </w:r>
      <w:r>
        <w:t xml:space="preserve">problem </w:t>
      </w:r>
      <w:r>
        <w:fldChar w:fldCharType="begin"/>
      </w:r>
      <w:r>
        <w:instrText xml:space="preserve"> CITATION auer2002finite \l 1033 \m fialho2010adaptive </w:instrText>
      </w:r>
      <w:r>
        <w:fldChar w:fldCharType="separate"/>
      </w:r>
      <w:r>
        <w:t xml:space="preserve">[25,26]</w:t>
      </w:r>
      <w:r>
        <w:fldChar w:fldCharType="end"/>
      </w:r>
      <w:r>
        <w:t xml:space="preserve">; ACE is not an</w:t>
      </w:r>
      <w:r>
        <w:t xml:space="preserve"> </w:t>
      </w:r>
      <w:r>
        <w:t xml:space="preserve">instance of those algorithms, and no regret bound is claimed for it.</w:t>
      </w:r>
      <w:r>
        <w:t xml:space="preserve"> </w:t>
      </w:r>
      <w:r>
        <w:t xml:space="preserve">ACE is control-plane only: it consumes no objective evaluations, and</w:t>
      </w:r>
      <w:r>
        <w:t xml:space="preserve"> </w:t>
      </w:r>
      <w:r>
        <w:t xml:space="preserve">its per-generation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arms (five, or six</w:t>
      </w:r>
      <w:r>
        <w:t xml:space="preserve"> </w:t>
      </w:r>
      <w:r>
        <w:t xml:space="preserve">with the optional mid-tier DE arm).</w:t>
      </w:r>
    </w:p>
    <w:bookmarkEnd w:id="31"/>
    <w:bookmarkStart w:id="32" w:name="lbl_sec_alg_argp"/>
    <w:p>
      <w:pPr>
        <w:pStyle w:val="Heading3"/>
      </w:pPr>
      <w:bookmarkStart w:id="179" w:name="ref_sec_alg_argp"/>
      <w:r>
        <w:t xml:space="preserve">3.3.2.</w:t>
      </w:r>
      <w:bookmarkEnd w:id="179"/>
      <w:r>
        <w:tab/>
      </w:r>
      <w:r>
        <w:t xml:space="preserve"> ARGP: Acceptance-Rate Gated Pruning</w:t>
      </w:r>
    </w:p>
    <w:p>
      <w:pPr>
        <w:pStyle w:val="FirstParagraph"/>
      </w:pPr>
      <w:r>
        <w:t xml:space="preserve">The probability floor that keeps ACE exploring also forces draws of</w:t>
      </w:r>
      <w:r>
        <w:t xml:space="preserve"> </w:t>
      </w:r>
      <w:r>
        <w:t xml:space="preserve">arms that have stopped producing accepted moves.</w:t>
      </w:r>
      <w:r>
        <w:t xml:space="preserve"> </w:t>
      </w:r>
      <w:r>
        <w:t xml:space="preserve">ARGP resolves this. After a warm-up of 0.15 of</w:t>
      </w:r>
      <w:r>
        <w:t xml:space="preserve"> </w:t>
      </w:r>
      <w:r>
        <w:t xml:space="preserve">the budget, any arm whose acceptance rate over a rolling window of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argp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generations falls below the tier threshold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argp</m:t>
            </m:r>
          </m:sub>
        </m:sSub>
      </m:oMath>
      <w:r>
        <w:t xml:space="preserve"> </w:t>
      </w:r>
      <w:r>
        <w:t xml:space="preserve">(0.02, tightened to 0.010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) is</w:t>
      </w:r>
      <w:r>
        <w:t xml:space="preserve"> </w:t>
      </w:r>
      <w:r>
        <w:rPr>
          <w:i/>
          <w:iCs/>
        </w:rPr>
        <w:t xml:space="preserve">soft-frozen</w:t>
      </w:r>
      <w:r>
        <w:t xml:space="preserve"> </w:t>
      </w:r>
      <w:r>
        <w:t xml:space="preserve">to the probability floor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rather than removed,</w:t>
      </w:r>
      <w:r>
        <w:t xml:space="preserve"> </w:t>
      </w:r>
      <w:r>
        <w:t xml:space="preserve">provided at least two arms remain active. Subsequent draws therefore</w:t>
      </w:r>
      <w:r>
        <w:t xml:space="preserve"> </w:t>
      </w:r>
      <w:r>
        <w:t xml:space="preserve">concentrate on productive operators. The freeze is recoverable: a frozen arm is re-activated</w:t>
      </w:r>
      <w:r>
        <w:t xml:space="preserve"> </w:t>
      </w:r>
      <w:r>
        <w:t xml:space="preserve">as soon as its windowed acceptance climbs back to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argp</m:t>
            </m:r>
          </m:sub>
        </m:sSub>
      </m:oMath>
      <w:r>
        <w:t xml:space="preserve">, so ARGP</w:t>
      </w:r>
      <w:r>
        <w:t xml:space="preserve"> </w:t>
      </w:r>
      <w:r>
        <w:t xml:space="preserve">redistributes operator budget rather than permanently retiring it.</w:t>
      </w:r>
      <w:r>
        <w:t xml:space="preserve"> </w:t>
      </w:r>
      <w:r>
        <w:t xml:space="preserve">Its bookkeeping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argp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generation.</w:t>
      </w:r>
    </w:p>
    <w:bookmarkEnd w:id="32"/>
    <w:bookmarkStart w:id="34" w:name="lbl_sec_alg_nlpsr"/>
    <w:p>
      <w:pPr>
        <w:pStyle w:val="Heading3"/>
      </w:pPr>
      <w:bookmarkStart w:id="180" w:name="ref_sec_alg_nlpsr"/>
      <w:r>
        <w:t xml:space="preserve">3.3.3.</w:t>
      </w:r>
      <w:bookmarkEnd w:id="180"/>
      <w:r>
        <w:tab/>
      </w:r>
      <w:r>
        <w:t xml:space="preserve"> NLPSR: Tier-Floored Population-Size Reduction</w:t>
      </w:r>
    </w:p>
    <w:p>
      <w:pPr>
        <w:pStyle w:val="FirstParagraph"/>
      </w:pPr>
      <w:r>
        <w:t xml:space="preserve">NLPSR is explicitly not claimed as new. It keeps the concave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reduction shape of APGSK’s NLPSR schedule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 and</w:t>
      </w:r>
      <w:r>
        <w:t xml:space="preserve"> </w:t>
      </w:r>
      <w:r>
        <w:t xml:space="preserve">modifies its endpoints, starting from the dimension-scaled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and bottoming at a tier-specific floor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(25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12 below) rather than a fixed minimum,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ref_eq_nlpsr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). Each generation the worst surplus rows are</w:t>
      </w:r>
      <w:r>
        <w:t xml:space="preserve"> </w:t>
      </w:r>
      <w:r>
        <w:t xml:space="preserve">culled.</w:t>
      </w:r>
      <w:r>
        <w:t xml:space="preserve"> </w:t>
      </w:r>
      <w:r>
        <w:t xml:space="preserve">The tier floor is the modification that preserves enough parallel</w:t>
      </w:r>
      <w:r>
        <w:t xml:space="preserve"> </w:t>
      </w:r>
      <w:r>
        <w:t xml:space="preserve">samples for the structure memory at upper tier while letting low</w:t>
      </w:r>
      <w:r>
        <w:t xml:space="preserve"> </w:t>
      </w:r>
      <w:r>
        <w:t xml:space="preserve">tiers shrink further.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ref_tab_worked_example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hand-checks the two schedules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bookmarkStart w:id="33" w:name="lbl_tab_worked_example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81" w:name="ref_tab_worked_example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7</w:t>
      </w:r>
      <w:r>
        <w:fldChar w:fldCharType="end"/>
      </w:r>
      <w:bookmarkEnd w:id="181"/>
      <w:r>
        <w:rPr>
          <w:b/>
        </w:rPr>
        <w:t xml:space="preserve">. </w:t>
      </w:r>
      <w:r>
        <w:t xml:space="preserve"> Worked numeric example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: the tier-resolved NLPSR</w:t>
      </w:r>
      <w:r>
        <w:t xml:space="preserve"> </w:t>
      </w:r>
      <w:r>
        <w:t xml:space="preserve">schedule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Eq. (</w:t>
      </w:r>
      <w:r>
        <w:fldChar w:fldCharType="begin"/>
      </w:r>
      <w:r>
        <w:instrText xml:space="preserve"> REF ref_eq_nlpsr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) (with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; rounded half-up) and the junior-dimension schedule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jun</m:t>
            </m:r>
          </m:sub>
        </m:sSub>
      </m:oMath>
      <w:r>
        <w:t xml:space="preserve"> </w:t>
      </w:r>
      <w:r>
        <w:t xml:space="preserve">of Eq. (</w:t>
      </w:r>
      <w:r>
        <w:fldChar w:fldCharType="begin"/>
      </w:r>
      <w:r>
        <w:instrText xml:space="preserve"> REF ref_eq_kexp_schedule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 (with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), against the consumed budget fraction</w:t>
      </w:r>
      <w:r>
        <w:t xml:space="preserve"> </w:t>
      </w:r>
      <m:oMath>
        <m:r>
          <m:t>x</m:t>
        </m:r>
      </m:oMath>
      <w:r>
        <w:t xml:space="preserve">. Milestones</w:t>
      </w:r>
      <w:r>
        <w:t xml:space="preserve"> </w:t>
      </w:r>
      <w:r>
        <w:t xml:space="preserve">mark the frozen configuration’s gates; all values are analytic</w:t>
      </w:r>
      <w:r>
        <w:t xml:space="preserve"> </w:t>
      </w:r>
      <w:r>
        <w:t xml:space="preserve">evaluations of the schedule formulas.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orked numeric example at D=50: the tier-resolved NLPSR schedule NP(x) of Eq. (6) (with NP_init=250, N_min=25; rounded half-up) and the junior-dimension schedule D_jun of Eq. (3) (with K_exp=10), against the consumed budget fraction x. Milestones mark the frozen configuration’s gates; all values are analytic evaluations of the schedule formulas.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jun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Milestone at this budget fraction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initialization (</w:t>
            </w:r>
            <m:oMath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D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interaction-graph warm-up ends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deep-stall trigger horizon (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ds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of budget frozen)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phase dominates (one junior coordinate remains)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deep-stall restarts stop (stop fraction 0.9)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coordinates senior;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reached; polish window opened at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0.96</m:t>
              </m:r>
            </m:oMath>
          </w:p>
        </w:tc>
      </w:tr>
    </w:tbl>
    <w:bookmarkEnd w:id="33"/>
    <w:bookmarkEnd w:id="34"/>
    <w:bookmarkStart w:id="35" w:name="lbl_sec_alg_bse"/>
    <w:p>
      <w:pPr>
        <w:pStyle w:val="Heading3"/>
      </w:pPr>
      <w:bookmarkStart w:id="182" w:name="ref_sec_alg_bse"/>
      <w:r>
        <w:t xml:space="preserve">3.3.4.</w:t>
      </w:r>
      <w:bookmarkEnd w:id="182"/>
      <w:r>
        <w:tab/>
      </w:r>
      <w:r>
        <w:t xml:space="preserve"> BSE and the Diversity Archive: Budget-Safe Escape</w:t>
      </w:r>
    </w:p>
    <w:p>
      <w:pPr>
        <w:pStyle w:val="FirstParagraph"/>
      </w:pPr>
      <w:r>
        <w:t xml:space="preserve">Greedy selection over a shrinking population can stagnate: no</w:t>
      </w:r>
      <w:r>
        <w:t xml:space="preserve"> </w:t>
      </w:r>
      <w:r>
        <w:t xml:space="preserve">accepted moves, collapsing diversity, and a flat improvement signal.</w:t>
      </w:r>
      <w:r>
        <w:t xml:space="preserve"> </w:t>
      </w:r>
      <w:r>
        <w:t xml:space="preserve">BSE monitors these symptoms over a window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generations.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it uses a triple-trigger detector (signal window 10,</w:t>
      </w:r>
      <w:r>
        <w:t xml:space="preserve"> </w:t>
      </w:r>
      <w:r>
        <w:t xml:space="preserve">scale-aware tolerance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acceptance floor 0.10,</w:t>
      </w:r>
      <w:r>
        <w:t xml:space="preserve"> </w:t>
      </w:r>
      <w:r>
        <w:t xml:space="preserve">diversity floor 0.35); below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it falls back to a single</w:t>
      </w:r>
      <w:r>
        <w:t xml:space="preserve"> </w:t>
      </w:r>
      <w:r>
        <w:t xml:space="preserve">stagnation trigger, for which the acceptance and diversity floors are</w:t>
      </w:r>
      <w:r>
        <w:t xml:space="preserve"> </w:t>
      </w:r>
      <w:r>
        <w:t xml:space="preserve">inactive. When triggered it first perturbs the</w:t>
      </w:r>
      <w:r>
        <w:t xml:space="preserve"> </w:t>
      </w:r>
      <w:r>
        <w:t xml:space="preserve">worst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fraction of the population with heavy-tailed</w:t>
      </w:r>
      <w:r>
        <w:t xml:space="preserve"> </w:t>
      </w:r>
      <w:r>
        <w:t xml:space="preserve">Cauchy draws, Eq. (</w:t>
      </w:r>
      <w:r>
        <w:fldChar w:fldCharType="begin"/>
      </w:r>
      <w:r>
        <w:instrText xml:space="preserve"> REF ref_eq_bse_cauchy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), sparing the frozen elite —</w:t>
      </w:r>
      <w:r>
        <w:t xml:space="preserve"> </w:t>
      </w:r>
      <w:r>
        <w:t xml:space="preserve">the top</w:t>
      </w:r>
      <w:r>
        <w:t xml:space="preserve"> </w:t>
      </w:r>
      <m:oMath>
        <m:r>
          <m:rPr>
            <m:sty m:val="p"/>
          </m:rPr>
          <m:t>round</m:t>
        </m:r>
        <m:r>
          <m:rPr>
            <m:sty m:val="p"/>
          </m:rPr>
          <m:t>(</m:t>
        </m:r>
        <m:r>
          <m:t>0.05</m:t>
        </m:r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rows by fitness, exempt from</w:t>
      </w:r>
      <w:r>
        <w:t xml:space="preserve"> </w:t>
      </w:r>
      <w:r>
        <w:t xml:space="preserve">both the rescue and the restart (Supplementary Material, Section S5),</w:t>
      </w:r>
      <w:r>
        <w:t xml:space="preserve"> </w:t>
      </w:r>
      <w:r>
        <w:t xml:space="preserve">which anchors the equation’s</w:t>
      </w:r>
      <w:r>
        <w:t xml:space="preserve"> </w:t>
      </w:r>
      <w:r>
        <w:t xml:space="preserve">“unfrozen”</w:t>
      </w:r>
      <w:r>
        <w:t xml:space="preserve"> </w:t>
      </w:r>
      <w:r>
        <w:t xml:space="preserve">qualifier; a successful rescue — one that</w:t>
      </w:r>
      <w:r>
        <w:t xml:space="preserve"> </w:t>
      </w:r>
      <w:r>
        <w:t xml:space="preserve">lowers the incumbent best — cancels the restart for that generation, and</w:t>
      </w:r>
      <w:r>
        <w:t xml:space="preserve"> </w:t>
      </w:r>
      <w:r>
        <w:t xml:space="preserve">only when the rescue fails does BSE then reseed part of the population from</w:t>
      </w:r>
      <w:r>
        <w:t xml:space="preserve"> </w:t>
      </w:r>
      <w:r>
        <w:t xml:space="preserve">a diversity archive: a Cauchy-rescue-then-partial-restart design in the</w:t>
      </w:r>
      <w:r>
        <w:t xml:space="preserve"> </w:t>
      </w:r>
      <w:r>
        <w:t xml:space="preserve">external-archive lineage of adaptive differential</w:t>
      </w:r>
      <w:r>
        <w:t xml:space="preserve"> </w:t>
      </w:r>
      <w:r>
        <w:t xml:space="preserve">evolution </w:t>
      </w:r>
      <w:r>
        <w:fldChar w:fldCharType="begin"/>
      </w:r>
      <w:r>
        <w:instrText xml:space="preserve"> CITATION storn1997differential \l 1033 \m zhang2009jade \m tanabe2013shade </w:instrText>
      </w:r>
      <w:r>
        <w:fldChar w:fldCharType="separate"/>
      </w:r>
      <w:r>
        <w:t xml:space="preserve">[21,29,30]</w:t>
      </w:r>
      <w:r>
        <w:fldChar w:fldCharType="end"/>
      </w:r>
      <w:r>
        <w:t xml:space="preserve">.</w:t>
      </w:r>
      <w:r>
        <w:t xml:space="preserve"> </w:t>
      </w:r>
      <w:r>
        <w:t xml:space="preserve">The archive is a distance-filtered</w:t>
      </w:r>
      <w:r>
        <w:t xml:space="preserve"> </w:t>
      </w:r>
      <w:r>
        <w:rPr>
          <w:i/>
          <w:iCs/>
        </w:rPr>
        <w:t xml:space="preserve">diversity</w:t>
      </w:r>
      <w:r>
        <w:t xml:space="preserve"> </w:t>
      </w:r>
      <w:r>
        <w:t xml:space="preserve">store, not a</w:t>
      </w:r>
      <w:r>
        <w:t xml:space="preserve"> </w:t>
      </w:r>
      <w:r>
        <w:t xml:space="preserve">fitness-ranked elite set. A candidate is admitted only when it is at</w:t>
      </w:r>
      <w:r>
        <w:t xml:space="preserve"> </w:t>
      </w:r>
      <w:r>
        <w:t xml:space="preserve">least a normalized-L2 distance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from every stored point. Once</w:t>
      </w:r>
      <w:r>
        <w:t xml:space="preserve"> </w:t>
      </w:r>
      <w:r>
        <w:t xml:space="preserve">the store is full (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at every dimension in the frozen configuration; the</w:t>
      </w:r>
      <w:r>
        <w:t xml:space="preserve"> </w:t>
      </w:r>
      <m:oMath>
        <m:r>
          <m:t>1.5</m:t>
        </m:r>
        <m:r>
          <m:t> </m:t>
        </m:r>
        <m:r>
          <m:t>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init</m:t>
            </m:r>
          </m:sub>
        </m:sSub>
      </m:oMath>
      <w:r>
        <w:t xml:space="preserve"> </w:t>
      </w:r>
      <w:r>
        <w:t xml:space="preserve">sizing is the fallback used only when no absolute cap is set, and is inert here)</w:t>
      </w:r>
      <w:r>
        <w:t xml:space="preserve"> </w:t>
      </w:r>
      <w:r>
        <w:t xml:space="preserve">a new admission overwrites the spatially</w:t>
      </w:r>
      <w:r>
        <w:t xml:space="preserve"> </w:t>
      </w:r>
      <w:r>
        <w:rPr>
          <w:i/>
          <w:iCs/>
        </w:rPr>
        <w:t xml:space="preserve">closest</w:t>
      </w:r>
      <w:r>
        <w:t xml:space="preserve"> </w:t>
      </w:r>
      <w:r>
        <w:t xml:space="preserve">entry. There is no</w:t>
      </w:r>
      <w:r>
        <w:t xml:space="preserve"> </w:t>
      </w:r>
      <w:r>
        <w:t xml:space="preserve">fitness-quality admission or eviction criterion.</w:t>
      </w:r>
      <w:r>
        <w:t xml:space="preserve"> </w:t>
      </w:r>
      <w:r>
        <w:t xml:space="preserve">The modification that names the mechanism is its budget safety: BSE is</w:t>
      </w:r>
      <w:r>
        <w:t xml:space="preserve"> </w:t>
      </w:r>
      <w:r>
        <w:t xml:space="preserve">hard-capped by a maximum restart count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(4 at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, else 2) and by a stop fraction beyond which it is disabled, so as a</w:t>
      </w:r>
      <w:r>
        <w:t xml:space="preserve"> </w:t>
      </w:r>
      <w:r>
        <w:t xml:space="preserve">design fact it can never overshoot</w:t>
      </w:r>
      <w:r>
        <w:t xml:space="preserve"> </w:t>
      </w:r>
      <w:r>
        <w:t xml:space="preserve">MaxFES.</w:t>
      </w:r>
      <w:r>
        <w:t xml:space="preserve"> </w:t>
      </w:r>
      <w:r>
        <w:t xml:space="preserve">When it fires, its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rst</m:t>
            </m:r>
          </m:sub>
        </m:sSub>
        <m:r>
          <m:rPr>
            <m:sty m:val="p"/>
          </m:rPr>
          <m:t>⋅</m:t>
        </m:r>
        <m:r>
          <m:t>N</m:t>
        </m:r>
        <m:r>
          <m:t>P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, and its</w:t>
      </w:r>
      <w:r>
        <w:t xml:space="preserve"> </w:t>
      </w:r>
      <w:r>
        <w:t xml:space="preserve">restart evaluations are charged like any others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ref_sec_alg_complexity \h </w:instrText>
      </w:r>
      <w:r>
        <w:fldChar w:fldCharType="separate"/>
      </w:r>
      <w:r>
        <w:t xml:space="preserve">3.8</w:t>
      </w:r>
      <w:r>
        <w:fldChar w:fldCharType="end"/>
      </w:r>
      <w:r>
        <w:t xml:space="preserve">).</w:t>
      </w:r>
    </w:p>
    <w:bookmarkEnd w:id="35"/>
    <w:bookmarkStart w:id="36" w:name="lbl_sec_alg_deepstall"/>
    <w:p>
      <w:pPr>
        <w:pStyle w:val="Heading3"/>
      </w:pPr>
      <w:bookmarkStart w:id="183" w:name="ref_sec_alg_deepstall"/>
      <w:r>
        <w:t xml:space="preserve">3.3.5.</w:t>
      </w:r>
      <w:bookmarkEnd w:id="183"/>
      <w:r>
        <w:tab/>
      </w:r>
      <w:r>
        <w:t xml:space="preserve"> Deep-Stall Restart with the Global-Best Invariant</w:t>
      </w:r>
    </w:p>
    <w:p>
      <w:pPr>
        <w:pStyle w:val="FirstParagraph"/>
      </w:pPr>
      <w:r>
        <w:t xml:space="preserve">BSE perturbs within the current basin; a search that is deeply stuck</w:t>
      </w:r>
      <w:r>
        <w:t xml:space="preserve"> </w:t>
      </w:r>
      <w:r>
        <w:t xml:space="preserve">needs more.</w:t>
      </w:r>
      <w:r>
        <w:t xml:space="preserve"> </w:t>
      </w:r>
      <w:r>
        <w:t xml:space="preserve">The deep-stall full restart (multi-start) re-initializes the working</w:t>
      </w:r>
      <w:r>
        <w:t xml:space="preserve"> </w:t>
      </w:r>
      <w:r>
        <w:t xml:space="preserve">population when the incumbent has been frozen for at least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ds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of the budget, subject to a cooldown</w:t>
      </w:r>
      <w:r>
        <w:t xml:space="preserve"> </w:t>
      </w:r>
      <w:r>
        <w:t xml:space="preserve">(0.15 of budget) and a stop fraction (0.9). It draws up to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,</m:t>
        </m:r>
        <m:r>
          <m:rPr>
            <m:nor/>
            <m:sty m:val="p"/>
          </m:rPr>
          <m:t>remaining budget</m:t>
        </m:r>
        <m:r>
          <m:rPr>
            <m:sty m:val="p"/>
          </m:rPr>
          <m:t>)</m:t>
        </m:r>
      </m:oMath>
      <w:r>
        <w:t xml:space="preserve"> </w:t>
      </w:r>
      <w:r>
        <w:t xml:space="preserve">fresh individuals, truncated when little</w:t>
      </w:r>
      <w:r>
        <w:t xml:space="preserve"> </w:t>
      </w:r>
      <w:r>
        <w:t xml:space="preserve">budget is left, and the resampled points are evaluated through the same budget</w:t>
      </w:r>
      <w:r>
        <w:t xml:space="preserve"> </w:t>
      </w:r>
      <w:r>
        <w:t xml:space="preserve">as any other trial. A separate</w:t>
      </w:r>
      <w:r>
        <w:t xml:space="preserve"> </w:t>
      </w:r>
      <w:r>
        <w:t xml:space="preserve">global-best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g</m:t>
            </m:r>
            <m:r>
              <m:t>b</m:t>
            </m:r>
          </m:sup>
        </m:sSup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t>g</m:t>
            </m:r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preserved across restarts and is what</w:t>
      </w:r>
      <w:r>
        <w:t xml:space="preserve"> </w:t>
      </w:r>
      <w:r>
        <w:t xml:space="preserve">the run returns.</w:t>
      </w:r>
      <w:r>
        <w:t xml:space="preserve"> </w:t>
      </w:r>
      <w:r>
        <w:t xml:space="preserve">This yields the restart-never-loses-ground invariant, a design</w:t>
      </w:r>
      <w:r>
        <w:t xml:space="preserve"> </w:t>
      </w:r>
      <w:r>
        <w:t xml:space="preserve">property of the implementation: no restart can worsen the reported</w:t>
      </w:r>
      <w:r>
        <w:t xml:space="preserve"> </w:t>
      </w:r>
      <w:r>
        <w:t xml:space="preserve">result, because the global best is never re-initialized.</w:t>
      </w:r>
      <w:r>
        <w:t xml:space="preserve"> </w:t>
      </w:r>
      <w:r>
        <w:t xml:space="preserve">A minimum-budget guard (20</w:t>
      </w:r>
      <w:r>
        <w:t xml:space="preserve">,</w:t>
      </w:r>
      <w:r>
        <w:t xml:space="preserve">000 evaluations) keeps tiny budgets</w:t>
      </w:r>
      <w:r>
        <w:t xml:space="preserve"> </w:t>
      </w:r>
      <w:r>
        <w:t xml:space="preserve">inert, so the mechanism cannot perturb short</w:t>
      </w:r>
      <w:r>
        <w:t xml:space="preserve"> </w:t>
      </w:r>
      <w:r>
        <w:t xml:space="preserve">runs.</w:t>
      </w:r>
    </w:p>
    <w:bookmarkEnd w:id="36"/>
    <w:bookmarkEnd w:id="37"/>
    <w:bookmarkStart w:id="40" w:name="lbl_sec_alg_ism"/>
    <w:p>
      <w:pPr>
        <w:pStyle w:val="Heading2"/>
      </w:pPr>
      <w:bookmarkStart w:id="184" w:name="ref_sec_alg_ism"/>
      <w:r>
        <w:t xml:space="preserve">3.4.</w:t>
      </w:r>
      <w:bookmarkEnd w:id="184"/>
      <w:r>
        <w:tab/>
      </w:r>
      <w:r>
        <w:t xml:space="preserve"> Interaction-Structure Memory and Linkage-Aware Exploitation (Supporting Mechanism)</w:t>
      </w:r>
    </w:p>
    <w:bookmarkStart w:id="38" w:name="lbl_tab_notation_ism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85" w:name="ref_tab_notation_ism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8</w:t>
      </w:r>
      <w:r>
        <w:fldChar w:fldCharType="end"/>
      </w:r>
      <w:bookmarkEnd w:id="185"/>
      <w:r>
        <w:rPr>
          <w:b/>
        </w:rPr>
        <w:t xml:space="preserve">. </w:t>
      </w:r>
      <w:r>
        <w:t xml:space="preserve"> Interaction-structure memory and eigenframe-polish notation</w:t>
      </w:r>
      <w:r>
        <w:t xml:space="preserve"> </w:t>
      </w:r>
      <w:r>
        <w:t xml:space="preserve">(supporting mechanism, Section </w:t>
      </w:r>
      <w:r>
        <w:fldChar w:fldCharType="begin"/>
      </w:r>
      <w:r>
        <w:instrText xml:space="preserve"> REF ref_sec_alg_ism \h </w:instrText>
      </w:r>
      <w:r>
        <w:fldChar w:fldCharType="separate"/>
      </w:r>
      <w:r>
        <w:t xml:space="preserve">3.4</w:t>
      </w:r>
      <w:r>
        <w:fldChar w:fldCharType="end"/>
      </w:r>
      <w:r>
        <w:t xml:space="preserve">; Contribution C1,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ref_sec_alg_polish \h </w:instrText>
      </w:r>
      <w:r>
        <w:fldChar w:fldCharType="separate"/>
      </w:r>
      <w:r>
        <w:t xml:space="preserve">3.5</w:t>
      </w:r>
      <w:r>
        <w:fldChar w:fldCharType="end"/>
      </w:r>
      <w:r>
        <w:t xml:space="preserve">). Constants take the frozen-configuration values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); the graph-confidence functional is detailed in</w:t>
      </w:r>
      <w:r>
        <w:t xml:space="preserve"> </w:t>
      </w:r>
      <w:r>
        <w:t xml:space="preserve">Supplementary Materials, Section S5.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action-structure memory and eigenframe-polish notation (supporting mechanism, Section 3.4; Contribution C1, Section 3.5). Constants take the frozen-configuration values (Table 10); the graph-confidence functional is detailed in Supplementary Materials, Section S5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non-negative magnitude interaction graph (decaying); confidence gate + linkage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signed interaction graph (decaying); eigenframe-polish basis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per-dimension activity: improvement-weighted,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-normalized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accumulated linearly in a separate vector (the graph diagonals themselves are zeroed); decaying; LS dim-selection, inactive in the frozen config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co-occurrence support/count (decaying)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interaction decay (EMA)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interaction learning rate (EMA accumulation)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interaction confidence gate (adaptive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conf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graph confidence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: a block-size-weighted mean of per-block scores in edge density, magnitude, support and stability, scaled by the square root of the non-trivial-dimension coverage (Supplementary Materials, Section S5)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eigenbasis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t xml:space="preserve"> </w:t>
            </w:r>
            <w:r>
              <w:t xml:space="preserve">(polish directions)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polish start fraction (</w:t>
            </w:r>
            <m:oMath>
              <m:r>
                <m:t>0.96</m:t>
              </m:r>
            </m:oMath>
            <w:r>
              <w:t xml:space="preserve">)</w:t>
            </w:r>
          </w:p>
        </w:tc>
      </w:tr>
    </w:tbl>
    <w:bookmarkEnd w:id="38"/>
    <w:p>
      <w:pPr>
        <w:pStyle w:val="BodyText"/>
      </w:pPr>
      <w:r>
        <w:t xml:space="preserve">As established in Section </w:t>
      </w:r>
      <w:r>
        <w:fldChar w:fldCharType="begin"/>
      </w:r>
      <w:r>
        <w:instrText xml:space="preserve"> REF ref_sec_related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, no cited GSK-family variant</w:t>
      </w:r>
      <w:r>
        <w:t xml:space="preserve"> </w:t>
      </w:r>
      <w:r>
        <w:t xml:space="preserve">learns or exploits the interaction structure of the moves a run has</w:t>
      </w:r>
      <w:r>
        <w:t xml:space="preserve"> </w:t>
      </w:r>
      <w:r>
        <w:t xml:space="preserve">already accepted.</w:t>
      </w:r>
      <w:r>
        <w:t xml:space="preserve"> </w:t>
      </w:r>
      <w:r>
        <w:t xml:space="preserve">Outside the family, structure learning is available, but at a different</w:t>
      </w:r>
      <w:r>
        <w:t xml:space="preserve"> </w:t>
      </w:r>
      <w:r>
        <w:t xml:space="preserve">cost or mechanism. Differential grouping spends a dedicated offline</w:t>
      </w:r>
      <w:r>
        <w:t xml:space="preserve"> </w:t>
      </w:r>
      <w:r>
        <w:t xml:space="preserve">budget of pairwise-probing objective evaluations — quadratic in the</w:t>
      </w:r>
      <w:r>
        <w:t xml:space="preserve"> </w:t>
      </w:r>
      <w:r>
        <w:t xml:space="preserve">dimension — before optimization starts </w:t>
      </w:r>
      <w:r>
        <w:fldChar w:fldCharType="begin"/>
      </w:r>
      <w:r>
        <w:instrText xml:space="preserve"> CITATION omidvar2014dg \l 1033 </w:instrText>
      </w:r>
      <w:r>
        <w:fldChar w:fldCharType="separate"/>
      </w:r>
      <w:r>
        <w:t xml:space="preserve">[22]</w:t>
      </w:r>
      <w:r>
        <w:fldChar w:fldCharType="end"/>
      </w:r>
      <w:r>
        <w:t xml:space="preserve">. Covariance</w:t>
      </w:r>
      <w:r>
        <w:t xml:space="preserve"> </w:t>
      </w:r>
      <w:r>
        <w:t xml:space="preserve">matrix adaptation learns a full sampling covariance from selected</w:t>
      </w:r>
      <w:r>
        <w:t xml:space="preserve"> </w:t>
      </w:r>
      <w:r>
        <w:t xml:space="preserve">steps </w:t>
      </w:r>
      <w:r>
        <w:fldChar w:fldCharType="begin"/>
      </w:r>
      <w:r>
        <w:instrText xml:space="preserve"> CITATION hansen2001cmaes \l 1033 </w:instrText>
      </w:r>
      <w:r>
        <w:fldChar w:fldCharType="separate"/>
      </w:r>
      <w:r>
        <w:t xml:space="preserve">[23]</w:t>
      </w:r>
      <w:r>
        <w:fldChar w:fldCharType="end"/>
      </w:r>
      <w:r>
        <w:t xml:space="preserve">. Eigenvector-based crossover</w:t>
      </w:r>
      <w:r>
        <w:t xml:space="preserve"> </w:t>
      </w:r>
      <w:r>
        <w:t xml:space="preserve">recomputes the population-covariance eigenbasis every</w:t>
      </w:r>
      <w:r>
        <w:t xml:space="preserve"> </w:t>
      </w:r>
      <w:r>
        <w:t xml:space="preserve">generation </w:t>
      </w:r>
      <w:r>
        <w:fldChar w:fldCharType="begin"/>
      </w:r>
      <w:r>
        <w:instrText xml:space="preserve"> CITATION guo2015eig \l 1033 </w:instrText>
      </w:r>
      <w:r>
        <w:fldChar w:fldCharType="separate"/>
      </w:r>
      <w:r>
        <w:t xml:space="preserve">[24]</w:t>
      </w:r>
      <w:r>
        <w:fldChar w:fldCharType="end"/>
      </w:r>
      <w:r>
        <w:t xml:space="preserve">.</w:t>
      </w:r>
      <w:r>
        <w:t xml:space="preserve"> </w:t>
      </w:r>
      <w:r>
        <w:t xml:space="preserve">The design observation behind the interaction-structure memory is that greedy</w:t>
      </w:r>
      <w:r>
        <w:t xml:space="preserve"> </w:t>
      </w:r>
      <w:r>
        <w:t xml:space="preserve">selection already exposes this signal for free: each accepted move</w:t>
      </w:r>
      <w:r>
        <w:t xml:space="preserve"> </w:t>
      </w:r>
      <w:r>
        <w:t xml:space="preserve">records which coordinate pairs moved together on an improving step, and</w:t>
      </w:r>
      <w:r>
        <w:t xml:space="preserve"> </w:t>
      </w:r>
      <w:r>
        <w:t xml:space="preserve">reading that record consumes none of the run’s evaluation budget.</w:t>
      </w:r>
    </w:p>
    <w:p>
      <w:pPr>
        <w:pStyle w:val="BodyText"/>
      </w:pPr>
      <w:r>
        <w:t xml:space="preserve">The interaction-structure memory accumulates</w:t>
      </w:r>
      <w:r>
        <w:t xml:space="preserve"> </w:t>
      </w:r>
      <w:r>
        <w:t xml:space="preserve">this evidence in a decaying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interaction graph, updated</w:t>
      </w:r>
      <w:r>
        <w:t xml:space="preserve"> </w:t>
      </w:r>
      <w:r>
        <w:t xml:space="preserve">only from strictly-improving accepted-move deltas at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t xml:space="preserve">.</w:t>
      </w:r>
      <w:r>
        <w:t xml:space="preserve"> </w:t>
      </w:r>
      <w:r>
        <w:t xml:space="preserve">The retained graph is decayed by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at each update so that stale</w:t>
      </w:r>
      <w:r>
        <w:t xml:space="preserve"> </w:t>
      </w:r>
      <w:r>
        <w:t xml:space="preserve">evidence fades, Eq. (</w:t>
      </w:r>
      <w:r>
        <w:fldChar w:fldCharType="begin"/>
      </w:r>
      <w:r>
        <w:instrText xml:space="preserve"> REF ref_eq_sgsm_graph \h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). There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accepted move of individual</w:t>
      </w:r>
      <w:r>
        <w:t xml:space="preserve"> </w:t>
      </w:r>
      <m:oMath>
        <m:r>
          <m:t>i</m:t>
        </m:r>
      </m:oMath>
      <w:r>
        <w:t xml:space="preserve">, contributed as an improvement-weighted,</w:t>
      </w:r>
      <w:r>
        <w:t xml:space="preserve"> </w:t>
      </w:r>
      <w:r>
        <w:t xml:space="preserve">per-move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-normalized outer product. Two of the four state components, the co-evolving interaction</w:t>
      </w:r>
      <w:r>
        <w:t xml:space="preserve"> </w:t>
      </w:r>
      <w:r>
        <w:t xml:space="preserve">matrices, share this decay–accumulate form; both are symmetrized with a zero</w:t>
      </w:r>
      <w:r>
        <w:t xml:space="preserve"> </w:t>
      </w:r>
      <w:r>
        <w:t xml:space="preserve">diagonal. A non-negative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graph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(built from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) supplies the confidence gate</w:t>
      </w:r>
      <w:r>
        <w:t xml:space="preserve"> </w:t>
      </w:r>
      <m:oMath>
        <m:r>
          <m:rPr>
            <m:sty m:val="p"/>
          </m:rPr>
          <m:t>conf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linkage blocks. A</w:t>
      </w:r>
      <w:r>
        <w:t xml:space="preserve"> </w:t>
      </w:r>
      <w:r>
        <w:rPr>
          <w:i/>
          <w:iCs/>
        </w:rPr>
        <w:t xml:space="preserve">signed</w:t>
      </w:r>
      <w:r>
        <w:t xml:space="preserve"> </w:t>
      </w:r>
      <w:r>
        <w:t xml:space="preserve">graph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(built from the raw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 supplies the eigenframe-polish basis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ref_sec_alg_polish \h </w:instrText>
      </w:r>
      <w:r>
        <w:fldChar w:fldCharType="separate"/>
      </w:r>
      <w:r>
        <w:t xml:space="preserve">3.5</w:t>
      </w:r>
      <w:r>
        <w:fldChar w:fldCharType="end"/>
      </w:r>
      <w:r>
        <w:t xml:space="preserve">. The</w:t>
      </w:r>
      <w:r>
        <w:t xml:space="preserve"> </w:t>
      </w:r>
      <w:r>
        <w:t xml:space="preserve">full per-move weighting, normalization, and support bookkeeping are in the</w:t>
      </w:r>
      <w:r>
        <w:t xml:space="preserve"> </w:t>
      </w:r>
      <w:r>
        <w:t xml:space="preserve">Supplementary Materials (Section S5). Because the graph is allocated only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the operative confidence gate there is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,</w:t>
      </w:r>
      <w:r>
        <w:t xml:space="preserve"> </w:t>
      </w:r>
      <w:r>
        <w:t xml:space="preserve">superseded by an adaptive rolling-window median of recent confidences,</w:t>
      </w:r>
      <w:r>
        <w:t xml:space="preserve"> </w:t>
      </w:r>
      <w:r>
        <w:t xml:space="preserve">floored at</w:t>
      </w:r>
      <w:r>
        <w:t xml:space="preserve"> </w:t>
      </w:r>
      <m:oMath>
        <m:r>
          <m:t>0.12</m:t>
        </m:r>
      </m:oMath>
      <w:r>
        <w:t xml:space="preserve">; a block is used only when</w:t>
      </w:r>
      <w:r>
        <w:t xml:space="preserve"> </w:t>
      </w:r>
      <m:oMath>
        <m:r>
          <m:rPr>
            <m:sty m:val="p"/>
          </m:rPr>
          <m:t>conf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κ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 graph is updated every generation and its linkage blocks are</w:t>
      </w:r>
      <w:r>
        <w:t xml:space="preserve"> </w:t>
      </w:r>
      <w:r>
        <w:t xml:space="preserve">re-extracted every 5 generations —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, every 10 and 20</w:t>
      </w:r>
      <w:r>
        <w:t xml:space="preserve"> </w:t>
      </w:r>
      <w:r>
        <w:t xml:space="preserve">generations respectively — after a warm-up of 0.10 of the</w:t>
      </w:r>
      <w:r>
        <w:t xml:space="preserve"> </w:t>
      </w:r>
      <w:r>
        <w:t xml:space="preserve">budget.</w:t>
      </w:r>
      <w:r>
        <w:t xml:space="preserve"> </w:t>
      </w:r>
      <w:r>
        <w:t xml:space="preserve">Formally,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is a signed, decaying second-moment (co-movement)</w:t>
      </w:r>
      <w:r>
        <w:t xml:space="preserve"> </w:t>
      </w:r>
      <w:r>
        <w:t xml:space="preserve">statistic over coordinate</w:t>
      </w:r>
      <w:r>
        <w:t xml:space="preserve"> </w:t>
      </w:r>
      <w:r>
        <w:rPr>
          <w:i/>
          <w:iCs/>
        </w:rPr>
        <w:t xml:space="preserve">indices</w:t>
      </w:r>
      <w:r>
        <w:t xml:space="preserve">: it is covariance-like in</w:t>
      </w:r>
      <w:r>
        <w:t xml:space="preserve"> </w:t>
      </w:r>
      <w:r>
        <w:t xml:space="preserve">construction, and the terminal polish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ref_sec_alg_polish \h </w:instrText>
      </w:r>
      <w:r>
        <w:fldChar w:fldCharType="separate"/>
      </w:r>
      <w:r>
        <w:t xml:space="preserve">3.5</w:t>
      </w:r>
      <w:r>
        <w:fldChar w:fldCharType="end"/>
      </w:r>
      <w:r>
        <w:t xml:space="preserve"> operates on its eigenbasis — a</w:t>
      </w:r>
      <w:r>
        <w:t xml:space="preserve"> </w:t>
      </w:r>
      <w:r>
        <w:t xml:space="preserve">covariance-eigenbasis operation. The novelty is therefore not that the</w:t>
      </w:r>
      <w:r>
        <w:t xml:space="preserve"> </w:t>
      </w:r>
      <w:r>
        <w:t xml:space="preserve">learned object is of a fundamentally new type. It is that the object is</w:t>
      </w:r>
      <w:r>
        <w:t xml:space="preserve"> </w:t>
      </w:r>
      <w:r>
        <w:t xml:space="preserve">accumulated only from strictly-improving accepted moves — ties and DE-arm</w:t>
      </w:r>
      <w:r>
        <w:t xml:space="preserve"> </w:t>
      </w:r>
      <w:r>
        <w:t xml:space="preserve">moves are excluded, and local-search moves enter at weight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— then held</w:t>
      </w:r>
      <w:r>
        <w:t xml:space="preserve"> </w:t>
      </w:r>
      <w:r>
        <w:t xml:space="preserve">signed and decaying, and exploited discretely through block masks and the polish</w:t>
      </w:r>
      <w:r>
        <w:t xml:space="preserve"> </w:t>
      </w:r>
      <w:r>
        <w:t xml:space="preserve">eigenbasis, all while the GSK vector-update numerics are left unchanged. The</w:t>
      </w:r>
      <w:r>
        <w:t xml:space="preserve"> </w:t>
      </w:r>
      <w:r>
        <w:t xml:space="preserve">interaction memory records which coordinate indices co-move on improving steps;</w:t>
      </w:r>
      <w:r>
        <w:t xml:space="preserve"> </w:t>
      </w:r>
      <w:r>
        <w:t xml:space="preserve">it is not a recovered map of the objective’s true variable interactions.</w:t>
      </w:r>
    </w:p>
    <w:p>
      <w:pPr>
        <w:pStyle w:val="BodyText"/>
      </w:pPr>
      <w:r>
        <w:t xml:space="preserve">ISM consumes no extra objective evaluations, since it observes moves the</w:t>
      </w:r>
      <w:r>
        <w:t xml:space="preserve"> </w:t>
      </w:r>
      <w:r>
        <w:t xml:space="preserve">run already evaluated. It is not free of cost, however.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each</w:t>
      </w:r>
      <w:r>
        <w:t xml:space="preserve"> </w:t>
      </w:r>
      <w:r>
        <w:t xml:space="preserve">generation 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 decay the graph, plus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accumulate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strictly-improving accepted-move outer products (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t>P</m:t>
        </m:r>
      </m:oMath>
      <w:r>
        <w:t xml:space="preserve">).</w:t>
      </w:r>
      <w:r>
        <w:t xml:space="preserve"> </w:t>
      </w:r>
      <w:r>
        <w:t xml:space="preserve">It also stores four decaying accumulators: the two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interaction</w:t>
      </w:r>
      <w:r>
        <w:t xml:space="preserve"> </w:t>
      </w:r>
      <w:r>
        <w:t xml:space="preserve">matrices (magnitude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and signed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),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co-occurrence support</w:t>
      </w:r>
      <w:r>
        <w:t xml:space="preserve"> </w:t>
      </w:r>
      <m:oMath>
        <m:r>
          <m:t>C</m:t>
        </m:r>
      </m:oMath>
      <w:r>
        <w:t xml:space="preserve">, and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per-dimension activity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ref_sec_alg_complexity \h </w:instrText>
      </w:r>
      <w:r>
        <w:fldChar w:fldCharType="separate"/>
      </w:r>
      <w:r>
        <w:t xml:space="preserve">3.8</w:t>
      </w:r>
      <w:r>
        <w:fldChar w:fldCharType="end"/>
      </w:r>
      <w:r>
        <w:t xml:space="preserve">).</w:t>
      </w:r>
    </w:p>
    <w:p>
      <w:pPr>
        <w:pStyle w:val="BodyText"/>
      </w:pPr>
      <w:r>
        <w:t xml:space="preserve">The learned structure is exploited through two active channels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ref_tab_sgsm_mechanism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): the linkage-aware block crossover and,</w:t>
      </w:r>
      <w:r>
        <w:t xml:space="preserve"> </w:t>
      </w:r>
      <w:r>
        <w:t xml:space="preserve">terminally, the eigenframe polish of Section </w:t>
      </w:r>
      <w:r>
        <w:fldChar w:fldCharType="begin"/>
      </w:r>
      <w:r>
        <w:instrText xml:space="preserve"> REF ref_sec_alg_polish \h </w:instrText>
      </w:r>
      <w:r>
        <w:fldChar w:fldCharType="separate"/>
      </w:r>
      <w:r>
        <w:t xml:space="preserve">3.5</w:t>
      </w:r>
      <w:r>
        <w:fldChar w:fldCharType="end"/>
      </w:r>
      <w:r>
        <w:t xml:space="preserve">. A third</w:t>
      </w:r>
      <w:r>
        <w:t xml:space="preserve"> </w:t>
      </w:r>
      <w:r>
        <w:t xml:space="preserve">channel — an ISM-block subspace local search — is implemented but not</w:t>
      </w:r>
      <w:r>
        <w:t xml:space="preserve"> </w:t>
      </w:r>
      <w:r>
        <w:t xml:space="preserve">enabled in the frozen configuration.</w:t>
      </w:r>
      <w:r>
        <w:t xml:space="preserve"> </w:t>
      </w:r>
      <w:r>
        <w:t xml:space="preserve">The first active channel is the linkage-aware block crossover. For a</w:t>
      </w:r>
      <w:r>
        <w:t xml:space="preserve"> </w:t>
      </w:r>
      <w:r>
        <w:t xml:space="preserve">tier-dependent fraction of the population — about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 </w:t>
      </w:r>
      <w:r>
        <w:t xml:space="preserve">— the per-coordinate</w:t>
      </w:r>
      <w:r>
        <w:t xml:space="preserve"> </w:t>
      </w:r>
      <m:oMath>
        <m:r>
          <m:t>K</m:t>
        </m:r>
        <m:r>
          <m:t>R</m:t>
        </m:r>
      </m:oMath>
      <w:r>
        <w:t xml:space="preserve"> </w:t>
      </w:r>
      <w:r>
        <w:t xml:space="preserve">mask of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 is replaced by a linkage-block mask that copies a</w:t>
      </w:r>
      <w:r>
        <w:t xml:space="preserve"> </w:t>
      </w:r>
      <w:r>
        <w:t xml:space="preserve">whole block together. The mask is</w:t>
      </w:r>
      <w:r>
        <w:t xml:space="preserve"> </w:t>
      </w:r>
      <w:r>
        <w:t xml:space="preserve">refreshed every 20 generations (</w:t>
      </w:r>
      <m:oMath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) or 10 (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).</w:t>
      </w:r>
      <w:r>
        <w:t xml:space="preserve"> </w:t>
      </w:r>
      <w:r>
        <w:t xml:space="preserve">The blocks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contiguous coordinate ranges: the random groups</w:t>
      </w:r>
      <w:r>
        <w:t xml:space="preserve"> </w:t>
      </w:r>
      <w:r>
        <w:t xml:space="preserve">are permutation chunks (arbitrary index subsets) and the ISM-supplied groups</w:t>
      </w:r>
      <w:r>
        <w:t xml:space="preserve"> </w:t>
      </w:r>
      <w:r>
        <w:t xml:space="preserve">are learned graph components.</w:t>
      </w:r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the blocks are random groups of size 5 — a</w:t>
      </w:r>
      <w:r>
        <w:t xml:space="preserve"> </w:t>
      </w:r>
      <w:r>
        <w:t xml:space="preserve">variant of the inherited mask, not a claimed contribution. From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each blockwise row draws its blocks from the learned ISM graph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0.5</m:t>
        </m:r>
      </m:oMath>
      <w:r>
        <w:t xml:space="preserve">, and from the random permutation partition</w:t>
      </w:r>
      <w:r>
        <w:t xml:space="preserve"> </w:t>
      </w:r>
      <w:r>
        <w:t xml:space="preserve">otherwise (block size 10), so the learned structure supplies about half</w:t>
      </w:r>
      <w:r>
        <w:t xml:space="preserve"> </w:t>
      </w:r>
      <w:r>
        <w:t xml:space="preserve">of the blockwise rows rather than all of them.</w:t>
      </w:r>
      <w:r>
        <w:t xml:space="preserve"> </w:t>
      </w:r>
      <w:r>
        <w:t xml:space="preserve">The graph itself is active only 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and is re-extracted into</w:t>
      </w:r>
      <w:r>
        <w:t xml:space="preserve"> </w:t>
      </w:r>
      <w:r>
        <w:t xml:space="preserve">blocks every 5 generations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 every 20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The graph’s top-</w:t>
      </w:r>
      <m:oMath>
        <m:r>
          <m:t>k</m:t>
        </m:r>
      </m:oMath>
      <w:r>
        <w:t xml:space="preserve"> </w:t>
      </w:r>
      <w:r>
        <w:t xml:space="preserve">blocks could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define a bounded subspace (at</w:t>
      </w:r>
      <w:r>
        <w:t xml:space="preserve"> </w:t>
      </w:r>
      <w:r>
        <w:t xml:space="preserve">most 20 coordinates) for a structure-aware local search, but this ISM-block</w:t>
      </w:r>
      <w:r>
        <w:t xml:space="preserve"> </w:t>
      </w:r>
      <w:r>
        <w:t xml:space="preserve">subspace variant is</w:t>
      </w:r>
      <w:r>
        <w:t xml:space="preserve"> </w:t>
      </w:r>
      <w:r>
        <w:rPr>
          <w:i/>
          <w:iCs/>
        </w:rPr>
        <w:t xml:space="preserve">not enabled</w:t>
      </w:r>
      <w:r>
        <w:t xml:space="preserve"> </w:t>
      </w:r>
      <w:r>
        <w:t xml:space="preserve">in the frozen configuration, which</w:t>
      </w:r>
      <w:r>
        <w:t xml:space="preserve"> </w:t>
      </w:r>
      <w:r>
        <w:t xml:space="preserve">runs a charged axis-aligned coordinate local search instead (the second</w:t>
      </w:r>
      <w:r>
        <w:t xml:space="preserve"> </w:t>
      </w:r>
      <w:r>
        <w:t xml:space="preserve">active channel, the eigenframe polish, is Section </w:t>
      </w:r>
      <w:r>
        <w:fldChar w:fldCharType="begin"/>
      </w:r>
      <w:r>
        <w:instrText xml:space="preserve"> REF ref_sec_alg_polish \h </w:instrText>
      </w:r>
      <w:r>
        <w:fldChar w:fldCharType="separate"/>
      </w:r>
      <w:r>
        <w:t xml:space="preserve">3.5</w:t>
      </w:r>
      <w:r>
        <w:fldChar w:fldCharType="end"/>
      </w:r>
      <w:r>
        <w:t xml:space="preserve">). Either</w:t>
      </w:r>
      <w:r>
        <w:t xml:space="preserve"> </w:t>
      </w:r>
      <w:r>
        <w:t xml:space="preserve">way the local-search probes are charged through the normal budget path.</w:t>
      </w:r>
    </w:p>
    <w:p>
      <w:pPr>
        <w:pStyle w:val="BodyText"/>
      </w:pPr>
      <w:r>
        <w:t xml:space="preserve">ISM activates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under the frozen configuration; below that</w:t>
      </w:r>
      <w:r>
        <w:t xml:space="preserve"> </w:t>
      </w:r>
      <w:r>
        <w:t xml:space="preserve">tier no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structure is allocated and DT-GSK runs the</w:t>
      </w:r>
      <w:r>
        <w:t xml:space="preserve"> </w:t>
      </w:r>
      <w:r>
        <w:t xml:space="preserve">adaptive scaffold alone, a structural design fact of the</w:t>
      </w:r>
      <w:r>
        <w:t xml:space="preserve"> </w:t>
      </w:r>
      <w:r>
        <w:t xml:space="preserve">dimension gating.</w:t>
      </w:r>
      <w:r>
        <w:t xml:space="preserve"> </w:t>
      </w:r>
      <w:r>
        <w:t xml:space="preserve">The four-dimensional contrast against the closest structure-learning</w:t>
      </w:r>
      <w:r>
        <w:t xml:space="preserve"> </w:t>
      </w:r>
      <w:r>
        <w:t xml:space="preserve">lines — online accepted-move updates, no extra objective evaluations,</w:t>
      </w:r>
      <w:r>
        <w:t xml:space="preserve"> </w:t>
      </w:r>
      <w:r>
        <w:t xml:space="preserve">a soft decaying pair graph rather than a hard partition or a full</w:t>
      </w:r>
      <w:r>
        <w:t xml:space="preserve"> </w:t>
      </w:r>
      <w:r>
        <w:t xml:space="preserve">sampling covariance, and discrete exploitation — is developed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ref_sec_rel_structure \h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 and not repeated here.</w:t>
      </w:r>
      <w:r>
        <w:t xml:space="preserve"> </w:t>
      </w:r>
      <w:r>
        <w:t xml:space="preserve">As stated there, ISM is not claimed to recover the objective’s true</w:t>
      </w:r>
      <w:r>
        <w:t xml:space="preserve"> </w:t>
      </w:r>
      <w:r>
        <w:t xml:space="preserve">separability structure, to confer rotational invariance, or to extend</w:t>
      </w:r>
      <w:r>
        <w:t xml:space="preserve"> </w:t>
      </w:r>
      <w:r>
        <w:t xml:space="preserve">to large-scale global optimization beyond the dimensions evaluated.</w:t>
      </w:r>
    </w:p>
    <w:bookmarkStart w:id="39" w:name="lbl_tab_sgsm_mechanism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86" w:name="ref_tab_sgsm_mechanism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9</w:t>
      </w:r>
      <w:r>
        <w:fldChar w:fldCharType="end"/>
      </w:r>
      <w:bookmarkEnd w:id="186"/>
      <w:r>
        <w:rPr>
          <w:b/>
        </w:rPr>
        <w:t xml:space="preserve">. </w:t>
      </w:r>
      <w:r>
        <w:t xml:space="preserve"> How strictly improving accepted moves become exploitable structure:</w:t>
      </w:r>
      <w:r>
        <w:t xml:space="preserve"> </w:t>
      </w:r>
      <w:r>
        <w:t xml:space="preserve">strictly improving acceptance events update the interaction-structure</w:t>
      </w:r>
      <w:r>
        <w:t xml:space="preserve"> </w:t>
      </w:r>
      <w:r>
        <w:t xml:space="preserve">memory (ISM) graph EMA (Eq. (</w:t>
      </w:r>
      <w:r>
        <w:fldChar w:fldCharType="begin"/>
      </w:r>
      <w:r>
        <w:instrText xml:space="preserve"> REF ref_eq_sgsm_graph \h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)), whose confidence-gated</w:t>
      </w:r>
      <w:r>
        <w:t xml:space="preserve"> </w:t>
      </w:r>
      <w:r>
        <w:t xml:space="preserve">blocks feed the linkage crossover mask (Eq. (</w:t>
      </w:r>
      <w:r>
        <w:fldChar w:fldCharType="begin"/>
      </w:r>
      <w:r>
        <w:instrText xml:space="preserve"> REF ref_eq_kr_mask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)), while the</w:t>
      </w:r>
      <w:r>
        <w:t xml:space="preserve"> </w:t>
      </w:r>
      <w:r>
        <w:t xml:space="preserve">signed graph feeds the shipped eigenframe basis of the deterministic final</w:t>
      </w:r>
      <w:r>
        <w:t xml:space="preserve"> </w:t>
      </w:r>
      <w:r>
        <w:t xml:space="preserve">polish (Eq. (</w:t>
      </w:r>
      <w:r>
        <w:fldChar w:fldCharType="begin"/>
      </w:r>
      <w:r>
        <w:instrText xml:space="preserve"> REF ref_eq_eigen_polish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)) directly (without the confidence gate);</w:t>
      </w:r>
      <w:r>
        <w:t xml:space="preserve"> </w:t>
      </w:r>
      <w:r>
        <w:t xml:space="preserve">that basis is an implementation choice the direct isolation does not</w:t>
      </w:r>
      <w:r>
        <w:t xml:space="preserve"> </w:t>
      </w:r>
      <w:r>
        <w:t xml:space="preserve">support (Supplementary Materials, Section S9.1).</w:t>
      </w:r>
      <w:r>
        <w:t xml:space="preserve"> </w:t>
      </w:r>
      <w:r>
        <w:t xml:space="preserve">The graph is updated continuously from strictly improving accepted moves; the</w:t>
      </w:r>
      <w:r>
        <w:t xml:space="preserve"> </w:t>
      </w:r>
      <w:r>
        <w:t xml:space="preserve">polish fires once. Eligibility is exactly: only strictly positive improvements</w:t>
      </w:r>
      <w:r>
        <w:t xml:space="preserve"> </w:t>
      </w:r>
      <w:r>
        <w:t xml:space="preserve">update the ISM (a non-improving move,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does not; this is the</w:t>
      </w:r>
      <w:r>
        <w:t xml:space="preserve"> </w:t>
      </w:r>
      <w:r>
        <w:t xml:space="preserve">graph’s own strict-positivity gate, not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win/tie/loss reporting</w:t>
      </w:r>
      <w:r>
        <w:t xml:space="preserve"> </w:t>
      </w:r>
      <w:r>
        <w:t xml:space="preserve">band); DE-arm moves have update weight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the frozen profile; and</w:t>
      </w:r>
      <w:r>
        <w:t xml:space="preserve"> </w:t>
      </w:r>
      <w:r>
        <w:t xml:space="preserve">successful local-search displacements enter at weight</w:t>
      </w:r>
      <w:r>
        <w:t xml:space="preserve"> </w:t>
      </w:r>
      <m:oMath>
        <m:r>
          <m:t>0.25</m:t>
        </m:r>
      </m:oMath>
      <w:r>
        <w:t xml:space="preserve">.</w:t>
      </w:r>
      <w:r>
        <w:t xml:space="preserve"> </w:t>
      </w:r>
      <w:r>
        <w:t xml:space="preserve">No measured interaction structure is shown.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w strictly improving accepted moves become exploitable structure: strictly improving acceptance events update the interaction-structure memory (ISM) graph EMA (Eq. (11)), whose confidence-gated blocks feed the linkage crossover mask (Eq. (5)), while the signed graph feeds the shipped eigenframe basis of the deterministic final polish (Eq. (12)) directly (without the confidence gate); that basis is an implementation choice the direct isolation does not support (Supplementary Materials, Section S9.1). The graph is updated continuously from strictly improving accepted moves; the polish fires once. Eligibility is exactly: only strictly positive improvements update the ISM (a non-improving move, Δ≤0, does not; this is the graph’s own strict-positivity gate, not the 10^-8 win/tie/loss reporting band); DE-arm moves have update weight 0 in the frozen profile; and successful local-search displacements enter at weight 0.25. No measured interaction structure is shown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detail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 improving accepted-move deltas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 </w:t>
            </w:r>
            <w:r>
              <w:t xml:space="preserve">update the graph; rejected trials and ties do not.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signal only; zero extra objective evaluations.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 Memory (Eq. (</w:t>
            </w:r>
            <w:r>
              <w:fldChar w:fldCharType="begin"/>
            </w:r>
            <w:r>
              <w:instrText xml:space="preserve"> REF ref_eq_sgsm_graph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co-evolving accumulators — a magnitude graph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  <w:r>
              <w:t xml:space="preserve"> </w:t>
            </w:r>
            <w:r>
              <w:t xml:space="preserve">and a signed graph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t xml:space="preserve"> </w:t>
            </w:r>
            <w:r>
              <w:t xml:space="preserve">— share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•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λ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•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r>
                <m:t> </m:t>
              </m:r>
              <m:r>
                <m:rPr>
                  <m:sty m:val="p"/>
                </m:rPr>
                <m:t>outer</m:t>
              </m:r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•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linkage-crossover consumer acts only when the magnitude-graph confidence</w:t>
            </w:r>
            <w:r>
              <w:t xml:space="preserve"> </w:t>
            </w:r>
            <m:oMath>
              <m:r>
                <m:rPr>
                  <m:sty m:val="p"/>
                </m:rPr>
                <m:t>conf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; the eigenframe polish reads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t xml:space="preserve"> </w:t>
            </w:r>
            <w:r>
              <w:t xml:space="preserve">and fires on any non-zero signed signal (no confidence gate).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Exploit (two active 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 magnitude-graph linkage blocks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block crossover mask (Eq. (</w:t>
            </w:r>
            <w:r>
              <w:fldChar w:fldCharType="begin"/>
            </w:r>
            <w:r>
              <w:instrText xml:space="preserve"> REF ref_eq_kr_mask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)); (ii) signed graph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eigenbasis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deterministic final polish (Eq. (</w:t>
            </w:r>
            <w:r>
              <w:fldChar w:fldCharType="begin"/>
            </w:r>
            <w:r>
              <w:instrText xml:space="preserve"> REF ref_eq_eigen_polish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  <w:r>
              <w:t xml:space="preserve">)). An ISM-block</w:t>
            </w:r>
            <w:r>
              <w:t xml:space="preserve"> </w:t>
            </w:r>
            <w:r>
              <w:rPr>
                <w:i/>
                <w:iCs/>
              </w:rPr>
              <w:t xml:space="preserve">subspace</w:t>
            </w:r>
            <w:r>
              <w:t xml:space="preserve"> </w:t>
            </w:r>
            <w:r>
              <w:t xml:space="preserve">local search is implemented but not enabled (the frozen configuration runs a coordinate local search).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Four-part state (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t xml:space="preserve">, support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activity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): the magnitude graph feeds the crossover mask, the signed graph feeds the polish; the polish fires once, in the final budget slice.</w:t>
            </w:r>
          </w:p>
        </w:tc>
      </w:tr>
    </w:tbl>
    <w:bookmarkEnd w:id="39"/>
    <w:bookmarkEnd w:id="40"/>
    <w:bookmarkStart w:id="41" w:name="lbl_sec_alg_polish"/>
    <w:p>
      <w:pPr>
        <w:pStyle w:val="Heading2"/>
      </w:pPr>
      <w:bookmarkStart w:id="187" w:name="ref_sec_alg_polish"/>
      <w:r>
        <w:t xml:space="preserve">3.5.</w:t>
      </w:r>
      <w:bookmarkEnd w:id="187"/>
      <w:r>
        <w:tab/>
      </w:r>
      <w:r>
        <w:t xml:space="preserve"> Deterministic Final Polish (Contribution C1)</w:t>
      </w:r>
    </w:p>
    <w:p>
      <w:pPr>
        <w:pStyle w:val="FirstParagraph"/>
      </w:pPr>
      <w:r>
        <w:t xml:space="preserve">At the end of a budget-limited run, the incumbent typically sits near</w:t>
      </w:r>
      <w:r>
        <w:t xml:space="preserve"> </w:t>
      </w:r>
      <w:r>
        <w:t xml:space="preserve">a local minimizer that the population operators refine slowly; a</w:t>
      </w:r>
      <w:r>
        <w:t xml:space="preserve"> </w:t>
      </w:r>
      <w:r>
        <w:t xml:space="preserve">direct-search endgame is a natural refinement step.</w:t>
      </w:r>
      <w:r>
        <w:t xml:space="preserve"> </w:t>
      </w:r>
      <w:r>
        <w:t xml:space="preserve">Classical pattern and compass search iterate in the coordinate frame</w:t>
      </w:r>
      <w:r>
        <w:t xml:space="preserve"> </w:t>
      </w:r>
      <w:r>
        <w:t xml:space="preserve">with a run length that is not bounded a</w:t>
      </w:r>
      <w:r>
        <w:t xml:space="preserve"> </w:t>
      </w:r>
      <w:r>
        <w:t xml:space="preserve">priori </w:t>
      </w:r>
      <w:r>
        <w:fldChar w:fldCharType="begin"/>
      </w:r>
      <w:r>
        <w:instrText xml:space="preserve"> CITATION kolda2003directsearch \l 1033 </w:instrText>
      </w:r>
      <w:r>
        <w:fldChar w:fldCharType="separate"/>
      </w:r>
      <w:r>
        <w:t xml:space="preserve">[27]</w:t>
      </w:r>
      <w:r>
        <w:fldChar w:fldCharType="end"/>
      </w:r>
      <w:r>
        <w:t xml:space="preserve">, and the Nelder–Mead simplex, the</w:t>
      </w:r>
      <w:r>
        <w:t xml:space="preserve"> </w:t>
      </w:r>
      <w:r>
        <w:t xml:space="preserve">common derivative-free default, has documented failure modes and</w:t>
      </w:r>
      <w:r>
        <w:t xml:space="preserve"> </w:t>
      </w:r>
      <w:r>
        <w:t xml:space="preserve">degrades with</w:t>
      </w:r>
      <w:r>
        <w:t xml:space="preserve"> </w:t>
      </w:r>
      <w:r>
        <w:t xml:space="preserve">dimension </w:t>
      </w:r>
      <w:r>
        <w:fldChar w:fldCharType="begin"/>
      </w:r>
      <w:r>
        <w:instrText xml:space="preserve"> CITATION nelder1965simplex \l 1033 \m kolda2003directsearch \m gao2012implementing </w:instrText>
      </w:r>
      <w:r>
        <w:fldChar w:fldCharType="separate"/>
      </w:r>
      <w:r>
        <w:t xml:space="preserve">[27,28,31]</w:t>
      </w:r>
      <w:r>
        <w:fldChar w:fldCharType="end"/>
      </w:r>
      <w:r>
        <w:t xml:space="preserve">.</w:t>
      </w:r>
      <w:r>
        <w:t xml:space="preserve"> </w:t>
      </w:r>
      <w:r>
        <w:t xml:space="preserve">These properties motivate a capped, deterministic design; they are not</w:t>
      </w:r>
      <w:r>
        <w:t xml:space="preserve"> </w:t>
      </w:r>
      <w:r>
        <w:t xml:space="preserve">evidence about the polish itself.</w:t>
      </w:r>
    </w:p>
    <w:p>
      <w:pPr>
        <w:pStyle w:val="BodyText"/>
      </w:pPr>
      <w:r>
        <w:t xml:space="preserve">The deterministic final polish is a one-shot compass search</w:t>
      </w:r>
      <w:r>
        <w:t xml:space="preserve"> </w:t>
      </w:r>
      <w:r>
        <w:t xml:space="preserve">executed on the eigenbasis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ISM signed interaction matrix,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ref_eq_eigen_polish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), falling back to the coordinate axes when</w:t>
      </w:r>
      <w:r>
        <w:t xml:space="preserve"> </w:t>
      </w:r>
      <w:r>
        <w:t xml:space="preserve">the graph carries no signal.</w:t>
      </w:r>
      <w:r>
        <w:t xml:space="preserve"> </w:t>
      </w:r>
      <w:r>
        <w:t xml:space="preserve">It fires at most once, in the final budget slice</w:t>
      </w:r>
      <w:r>
        <w:t xml:space="preserve"> </w:t>
      </w:r>
      <w:r>
        <w:t xml:space="preserve">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0.96</m:t>
        </m:r>
      </m:oMath>
      <w:r>
        <w:t xml:space="preserve"> </w:t>
      </w:r>
      <w:r>
        <w:t xml:space="preserve">of the budget), and only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</w:t>
      </w:r>
      <w:r>
        <w:t xml:space="preserve"> </w:t>
      </w:r>
      <w:r>
        <w:t xml:space="preserve">where the graph exists.</w:t>
      </w:r>
      <w:r>
        <w:t xml:space="preserve"> </w:t>
      </w:r>
      <w:r>
        <w:t xml:space="preserve">Two properties define it.</w:t>
      </w:r>
      <w:r>
        <w:t xml:space="preserve"> </w:t>
      </w:r>
      <w:r>
        <w:t xml:space="preserve">First, it is RNG-free but not evaluation-free. It draws no random</w:t>
      </w:r>
      <w:r>
        <w:t xml:space="preserve"> </w:t>
      </w:r>
      <w:r>
        <w:t xml:space="preserve">numbers, so the random-number substreams — and hence the run up to</w:t>
      </w:r>
      <w:r>
        <w:t xml:space="preserve"> </w:t>
      </w:r>
      <w:r>
        <w:t xml:space="preserve">the final budget slice — are byte-identical whether it fires or not.</w:t>
      </w:r>
      <w:r>
        <w:t xml:space="preserve"> </w:t>
      </w:r>
      <w:r>
        <w:t xml:space="preserve">Every compass probe it then makes is an objective evaluation charged</w:t>
      </w:r>
      <w:r>
        <w:t xml:space="preserve"> </w:t>
      </w:r>
      <w:r>
        <w:t xml:space="preserve">through the strict budget path, so the polish can never exceed</w:t>
      </w:r>
      <w:r>
        <w:t xml:space="preserve"> </w:t>
      </w:r>
      <w:r>
        <w:t xml:space="preserve">MaxFES.</w:t>
      </w:r>
      <w:r>
        <w:t xml:space="preserve"> </w:t>
      </w:r>
      <w:r>
        <w:t xml:space="preserve">It operates on the working incumbent, re-materialized atomically from the current</w:t>
      </w:r>
      <w:r>
        <w:t xml:space="preserve"> </w:t>
      </w:r>
      <w:r>
        <w:t xml:space="preserve">population best at the moment it fires, so the incumbent vector and its fitness</w:t>
      </w:r>
      <w:r>
        <w:t xml:space="preserve"> </w:t>
      </w:r>
      <w:r>
        <w:t xml:space="preserve">always refer to the same individual. A probe is accepted only if strictly</w:t>
      </w:r>
      <w:r>
        <w:t xml:space="preserve"> </w:t>
      </w:r>
      <w:r>
        <w:t xml:space="preserve">better, so the stage never returns a</w:t>
      </w:r>
      <w:r>
        <w:t xml:space="preserve"> </w:t>
      </w:r>
      <w:r>
        <w:t xml:space="preserve">point worse than the incumbent and cannot corrupt any reported result. Any out-of-bounds probe component here is repaired by a hard clip to the violated bound (an element-wise projection onto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ℓ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), not by the parent-and-bound midpoint of Eq. (</w:t>
      </w:r>
      <w:r>
        <w:fldChar w:fldCharType="begin"/>
      </w:r>
      <w:r>
        <w:instrText xml:space="preserve"> REF ref_eq_midpoint_repair \h </w:instrText>
      </w:r>
      <w:r>
        <w:fldChar w:fldCharType="separate"/>
      </w:r>
      <w:r>
        <w:t xml:space="preserve">8</w:t>
      </w:r>
      <w:r>
        <w:fldChar w:fldCharType="end"/>
      </w:r>
      <w:r>
        <w:t xml:space="preserve">) used for the junior/senior and DE trials, matching the standard feasibility rule for a bound-constrained direct search.</w:t>
      </w:r>
      <w:r>
        <w:t xml:space="preserve"> </w:t>
      </w:r>
      <w:r>
        <w:t xml:space="preserve">Second, its basis is drawn from the interaction-structure memory’s accepted-move</w:t>
      </w:r>
      <w:r>
        <w:t xml:space="preserve"> </w:t>
      </w:r>
      <w:r>
        <w:t xml:space="preserve">record rather than from the coordinate frame. The direct isolation of</w:t>
      </w:r>
      <w:r>
        <w:t xml:space="preserve"> </w:t>
      </w:r>
      <w:r>
        <w:t xml:space="preserve">Supplementary Materials Section S6.5 cannot separate the learned basis from</w:t>
      </w:r>
      <w:r>
        <w:t xml:space="preserve"> </w:t>
      </w:r>
      <w:r>
        <w:t xml:space="preserve">coordinate axes: any effect that isolation measures therefore attaches to the</w:t>
      </w:r>
      <w:r>
        <w:t xml:space="preserve"> </w:t>
      </w:r>
      <w:r>
        <w:t xml:space="preserve">deterministic, budget-exact compass endgame as a whole, not to the learned</w:t>
      </w:r>
      <w:r>
        <w:t xml:space="preserve"> </w:t>
      </w:r>
      <w:r>
        <w:t xml:space="preserve">directions. The three-arm contrast (Supplementary</w:t>
      </w:r>
      <w:r>
        <w:t xml:space="preserve"> </w:t>
      </w:r>
      <w:r>
        <w:t xml:space="preserve">Materials, Section S9.1) does separate them, and finds against the learned</w:t>
      </w:r>
      <w:r>
        <w:t xml:space="preserve"> </w:t>
      </w:r>
      <w:r>
        <w:t xml:space="preserve">basis; contribution C1 is accordingly stated basis-neutrally.</w:t>
      </w:r>
      <w:r>
        <w:t xml:space="preserve"> </w:t>
      </w:r>
      <w:r>
        <w:t xml:space="preserve">Its one-time cost is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eigendecomposition of the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matrix, incurred once per run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ref_sec_alg_complexity \h </w:instrText>
      </w:r>
      <w:r>
        <w:fldChar w:fldCharType="separate"/>
      </w:r>
      <w:r>
        <w:t xml:space="preserve">3.8</w:t>
      </w:r>
      <w:r>
        <w:fldChar w:fldCharType="end"/>
      </w:r>
      <w:r>
        <w:t xml:space="preserve">).</w:t>
      </w:r>
      <w:r>
        <w:t xml:space="preserve"> </w:t>
      </w:r>
      <w:r>
        <w:t xml:space="preserve">The comparison to direct search is conceptual only; no</w:t>
      </w:r>
      <w:r>
        <w:t xml:space="preserve"> </w:t>
      </w:r>
      <w:r>
        <w:t xml:space="preserve">generating-set-search convergence guarantee is transferred to the</w:t>
      </w:r>
      <w:r>
        <w:t xml:space="preserve"> </w:t>
      </w:r>
      <w:r>
        <w:t xml:space="preserve">polish or to DT-GSK.</w:t>
      </w:r>
    </w:p>
    <w:bookmarkEnd w:id="41"/>
    <w:bookmarkStart w:id="42" w:name="lbl_sec_alg_highd"/>
    <w:p>
      <w:pPr>
        <w:pStyle w:val="Heading2"/>
      </w:pPr>
      <w:bookmarkStart w:id="188" w:name="ref_sec_alg_highd"/>
      <w:r>
        <w:t xml:space="preserve">3.6.</w:t>
      </w:r>
      <w:bookmarkEnd w:id="188"/>
      <w:r>
        <w:tab/>
      </w:r>
      <w:r>
        <w:t xml:space="preserve"> Upper-Tier Controllers (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, the frozen configuration enables a set of protective</w:t>
      </w:r>
      <w:r>
        <w:t xml:space="preserve"> </w:t>
      </w:r>
      <w:r>
        <w:t xml:space="preserve">controllers documented here as method detail under contribution C2’s</w:t>
      </w:r>
      <w:r>
        <w:t xml:space="preserve"> </w:t>
      </w:r>
      <w:r>
        <w:t xml:space="preserve">dimension-tier scope, not as headline contributions: a late-acceptance</w:t>
      </w:r>
      <w:r>
        <w:t xml:space="preserve"> </w:t>
      </w:r>
      <w:r>
        <w:t xml:space="preserve">clip, a frozen-streak broadening, a late linkage random-mix, a bounded</w:t>
      </w:r>
      <w:r>
        <w:t xml:space="preserve"> </w:t>
      </w:r>
      <w:r>
        <w:t xml:space="preserve">basin memory, and a subspace-sampling floor.</w:t>
      </w:r>
      <w:r>
        <w:t xml:space="preserve"> </w:t>
      </w:r>
      <w:r>
        <w:t xml:space="preserve">They are scalar guards and bounded memories that protect the late</w:t>
      </w:r>
      <w:r>
        <w:t xml:space="preserve"> </w:t>
      </w:r>
      <w:r>
        <w:t xml:space="preserve">budget phase of the upper-tier (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) runs: clipping late acceptance</w:t>
      </w:r>
      <w:r>
        <w:t xml:space="preserve"> </w:t>
      </w:r>
      <w:r>
        <w:t xml:space="preserve">drift, broadening after frozen streaks, randomizing a fraction of</w:t>
      </w:r>
      <w:r>
        <w:t xml:space="preserve"> </w:t>
      </w:r>
      <w:r>
        <w:t xml:space="preserve">linkage assignments, remembering visited basins by spatial novelty, and</w:t>
      </w:r>
      <w:r>
        <w:t xml:space="preserve"> </w:t>
      </w:r>
      <w:r>
        <w:t xml:space="preserve">keeping a floor on subspace sampling. All are gated to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and are no-ops below that tier.</w:t>
      </w:r>
      <w:r>
        <w:t xml:space="preserve"> </w:t>
      </w:r>
      <w:r>
        <w:t xml:space="preserve">A trust-region displacement governor from earlier development was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from the code at the paper freeze (it was runtime-dead: its</w:t>
      </w:r>
      <w:r>
        <w:t xml:space="preserve"> </w:t>
      </w:r>
      <w:r>
        <w:t xml:space="preserve">enable flag was always false, and its clip-rate telemetry is pinned at zero).</w:t>
      </w:r>
      <w:r>
        <w:t xml:space="preserve"> </w:t>
      </w:r>
      <w:r>
        <w:t xml:space="preserve">A linkage-reliability/predicted-value admission gate remains present in the</w:t>
      </w:r>
      <w:r>
        <w:t xml:space="preserve"> </w:t>
      </w:r>
      <w:r>
        <w:t xml:space="preserve">codebase as an optional component but is never instantiated by the frozen</w:t>
      </w:r>
      <w:r>
        <w:t xml:space="preserve"> </w:t>
      </w:r>
      <w:r>
        <w:t xml:space="preserve">configuration. Neither affects any reported trajectory and neither is claimed</w:t>
      </w:r>
      <w:r>
        <w:t xml:space="preserve"> </w:t>
      </w:r>
      <w:r>
        <w:t xml:space="preserve">as an active mechanism.</w:t>
      </w:r>
      <w:r>
        <w:t xml:space="preserve"> </w:t>
      </w:r>
      <w:r>
        <w:t xml:space="preserve">Their aggregate per-generation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, with the basin</w:t>
      </w:r>
      <w:r>
        <w:t xml:space="preserve"> </w:t>
      </w:r>
      <w:r>
        <w:t xml:space="preserve">memory bounded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64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6" w:name="lbl_sec_alg_profile"/>
    <w:p>
      <w:pPr>
        <w:pStyle w:val="Heading2"/>
      </w:pPr>
      <w:bookmarkStart w:id="189" w:name="ref_sec_alg_profile"/>
      <w:r>
        <w:t xml:space="preserve">3.7.</w:t>
      </w:r>
      <w:bookmarkEnd w:id="189"/>
      <w:r>
        <w:tab/>
      </w:r>
      <w:r>
        <w:t xml:space="preserve"> Parameter Configuration, Determinism, and Configuration Lock (Contribution C3)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consolidates DT-GSK’s tier-resolved</w:t>
      </w:r>
      <w:r>
        <w:t xml:space="preserve"> </w:t>
      </w:r>
      <w:r>
        <w:t xml:space="preserve">configuration, hash-frozen in the repository’s freeze manifest and</w:t>
      </w:r>
      <w:r>
        <w:t xml:space="preserve"> </w:t>
      </w:r>
      <w:r>
        <w:t xml:space="preserve">enforced by unit tests, so the pseudocode, the prose above, and the</w:t>
      </w:r>
      <w:r>
        <w:t xml:space="preserve"> </w:t>
      </w:r>
      <w:r>
        <w:t xml:space="preserve">executed configuration cannot drift apart; the finer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controller scalars are pinned in the same frozen manifest.</w:t>
      </w:r>
      <w:r>
        <w:t xml:space="preserve"> </w:t>
      </w:r>
      <w:r>
        <w:t xml:space="preserve">Where a value varies by tier, the table shows all four tiers; nothing</w:t>
      </w:r>
      <w:r>
        <w:t xml:space="preserve"> </w:t>
      </w:r>
      <w:r>
        <w:t xml:space="preserve">is tuned per suite or per run on the four bound-constrained suites. On</w:t>
      </w:r>
      <w:r>
        <w:t xml:space="preserve"> </w:t>
      </w:r>
      <w:r>
        <w:t xml:space="preserve">CEC2013LSGO alone, two linkage-block-size entries are added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— native dimensions outside the shipped tier</w:t>
      </w:r>
      <w:r>
        <w:t xml:space="preserve"> </w:t>
      </w:r>
      <w:r>
        <w:t xml:space="preserve">table — set to the benchmark’s declared group size of 50 rather than</w:t>
      </w:r>
      <w:r>
        <w:t xml:space="preserve"> </w:t>
      </w:r>
      <w:r>
        <w:t xml:space="preserve">fitted to any observed result; the rule, its rationale, and its timing</w:t>
      </w:r>
      <w:r>
        <w:t xml:space="preserve"> </w:t>
      </w:r>
      <w:r>
        <w:t xml:space="preserve">are disclosed in Supplementary Section S7.</w:t>
      </w:r>
    </w:p>
    <w:bookmarkStart w:id="43" w:name="lbl_tab_parameter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90" w:name="ref_tab_parameters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10</w:t>
      </w:r>
      <w:r>
        <w:fldChar w:fldCharType="end"/>
      </w:r>
      <w:bookmarkEnd w:id="190"/>
      <w:r>
        <w:rPr>
          <w:b/>
        </w:rPr>
        <w:t xml:space="preserve">. </w:t>
      </w:r>
      <w:r>
        <w:t xml:space="preserve"> Frozen run parameters of the shipped configuration (core).</w:t>
      </w:r>
      <w:r>
        <w:t xml:space="preserve"> </w:t>
      </w:r>
      <w:r>
        <w:t xml:space="preserve">Where a value varies by dimension tier, the tier-resolved values are given</w:t>
      </w:r>
      <w:r>
        <w:t xml:space="preserve"> </w:t>
      </w:r>
      <w:r>
        <w:t xml:space="preserve">inline against the four tiers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99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</m:oMath>
      <w:r>
        <w:t xml:space="preserve">.</w:t>
      </w:r>
      <w:r>
        <w:t xml:space="preserve"> </w:t>
      </w:r>
      <w:r>
        <w:t xml:space="preserve">No per-suite or per-run tuning is performed: every value here is resolved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alone and is identical across the four bound-constrained suites. The adapter does expose an advanced per-run override path, which is not used for any result in this paper.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ozen run parameters of the shipped configuration (core). Where a value varies by dimension tier, the tier-resolved values are given inline against the four tiers D&lt;20 / 20–49 / 50–99 / ≥100. No per-suite or per-run tuning is performed: every value here is resolved from D alone and is identical across the four bound-constrained suites. The adapter does expose an advanced per-run override path, which is not used for any result in this paper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Run-level (supplied by the benchmark problem and run options)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threefry, unified shared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policy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MaxFES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suite-dependent (Section </w:t>
            </w:r>
            <w:r>
              <w:fldChar w:fldCharType="begin"/>
            </w:r>
            <w:r>
              <w:instrText xml:space="preserve"> REF ref_sec_alg_complexity \h </w:instrText>
            </w:r>
            <w:r>
              <w:fldChar w:fldCharType="separate"/>
            </w:r>
            <w:r>
              <w:t xml:space="preserve">3.8</w:t>
            </w:r>
            <w:r>
              <w:fldChar w:fldCharType="end"/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t>D</m:t>
              </m:r>
            </m:oMath>
            <w:r>
              <w:t xml:space="preserve"> </w:t>
            </w:r>
            <w:r>
              <w:t xml:space="preserve">on CEC2017/CEC2013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scalar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per-coordinate on CEC2011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population multiplier 5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Core GSK operator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0.5 (ACE arm-controlled)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0.9 (ACE arm-controlled)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mask when linkage on; floor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dim</m:t>
                  </m:r>
                </m:sub>
              </m:sSub>
            </m:oMath>
            <w:r>
              <w:t xml:space="preserve"> </w:t>
            </w:r>
            <w:r>
              <w:t xml:space="preserve">(S5)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 (ACE arm-controlled)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junior-dimension schedule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(senior)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</w:t>
            </w:r>
            <m:oMath>
              <m:r>
                <m:t>0.15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20</m:t>
              </m:r>
            </m:oMath>
            <w:r>
              <w:t xml:space="preserve">–</w:t>
            </w:r>
            <m:oMath>
              <m:r>
                <m:t>49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 </w:t>
            </w:r>
            <w:r>
              <w:t xml:space="preserve">worse half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0.10</m:t>
              </m:r>
            </m:oMath>
            <w:r>
              <w:t xml:space="preserve">, only while acc. </w:t>
            </w:r>
            <m:oMath>
              <m:r>
                <m:rPr>
                  <m:sty m:val="p"/>
                </m:rPr>
                <m:t>≤</m:t>
              </m:r>
              <m:r>
                <m:t>0.10</m:t>
              </m:r>
            </m:oMath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NLPSR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; 12 below that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floor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psr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power-schedule exponent; inert (nlpsr shipped)</w:t>
            </w:r>
          </w:p>
        </w:tc>
      </w:tr>
    </w:tbl>
    <w:bookmarkEnd w:id="43"/>
    <w:p>
      <w:pPr>
        <w:pStyle w:val="BodyText"/>
      </w:pPr>
      <w:r>
        <w:t xml:space="preserve">Per-subsystem constants (ACE/ARGP, linkage crossover,</w:t>
      </w:r>
      <w:r>
        <w:t xml:space="preserve"> </w:t>
      </w:r>
      <w:r>
        <w:t xml:space="preserve">BSE/archive/deep-stall, ISM and the eigenframe polish, and the upper-tier</w:t>
      </w:r>
      <w:r>
        <w:t xml:space="preserve"> </w:t>
      </w:r>
      <w:r>
        <w:t xml:space="preserve">controllers) are listed in the Supplementary Materials, Section S5. The</w:t>
      </w:r>
      <w:r>
        <w:t xml:space="preserve"> </w:t>
      </w:r>
      <w:r>
        <w:t xml:space="preserve">full configuration is hash-frozen in the repository’s algorithm freeze</w:t>
      </w:r>
      <w:r>
        <w:t xml:space="preserve"> </w:t>
      </w:r>
      <w:r>
        <w:t xml:space="preserve">manifest.</w:t>
      </w:r>
    </w:p>
    <w:p>
      <w:pPr>
        <w:pStyle w:val="BodyText"/>
      </w:pPr>
      <w:r>
        <w:t xml:space="preserve">Table </w:t>
      </w:r>
      <w:r>
        <w:fldChar w:fldCharType="begin"/>
      </w:r>
      <w:r>
        <w:instrText xml:space="preserve"> REF ref_tab_panel \h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 records the comparator panel and its</w:t>
      </w:r>
      <w:r>
        <w:t xml:space="preserve"> </w:t>
      </w:r>
      <w:r>
        <w:t xml:space="preserve">configuration provenance.</w:t>
      </w:r>
      <w:r>
        <w:t xml:space="preserve"> </w:t>
      </w:r>
      <w:r>
        <w:t xml:space="preserve">All seven algorithms are run in-repository under one frozen protocol;</w:t>
      </w:r>
      <w:r>
        <w:t xml:space="preserve"> </w:t>
      </w:r>
      <w:r>
        <w:t xml:space="preserve">the six comparators run their reference-implementation constants, and eGSK</w:t>
      </w:r>
      <w:r>
        <w:t xml:space="preserve"> </w:t>
      </w:r>
      <w:r>
        <w:t xml:space="preserve">is the Python port in which the SciPy SLSQP solver substitutes the</w:t>
      </w:r>
      <w:r>
        <w:t xml:space="preserve"> </w:t>
      </w:r>
      <w:r>
        <w:t xml:space="preserve">reference implementation’s MATLAB fmincon (SQP) polish — the panel column is</w:t>
      </w:r>
      <w:r>
        <w:t xml:space="preserve"> </w:t>
      </w:r>
      <w:r>
        <w:t xml:space="preserve">therefore</w:t>
      </w:r>
      <w:r>
        <w:t xml:space="preserve"> </w:t>
      </w:r>
      <w:r>
        <w:t xml:space="preserve">“eGSK (Python port, SLSQP polish)”</w:t>
      </w:r>
      <w:r>
        <w:t xml:space="preserve">, with no</w:t>
      </w:r>
      <w:r>
        <w:t xml:space="preserve"> </w:t>
      </w:r>
      <w:r>
        <w:t xml:space="preserve">numerical-equivalence claim between the two</w:t>
      </w:r>
      <w:r>
        <w:t xml:space="preserve"> </w:t>
      </w:r>
      <w:r>
        <w:t xml:space="preserve">backends.</w:t>
      </w:r>
    </w:p>
    <w:bookmarkStart w:id="44" w:name="lbl_tab_panel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91" w:name="ref_tab_panel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11</w:t>
      </w:r>
      <w:r>
        <w:fldChar w:fldCharType="end"/>
      </w:r>
      <w:bookmarkEnd w:id="191"/>
      <w:r>
        <w:rPr>
          <w:b/>
        </w:rPr>
        <w:t xml:space="preserve">. </w:t>
      </w:r>
      <w:r>
        <w:t xml:space="preserve"> GSK-family panel roster and configuration provenance.</w:t>
      </w:r>
      <w:r>
        <w:t xml:space="preserve"> </w:t>
      </w:r>
      <w:r>
        <w:t xml:space="preserve">All panel results are produced by in-repository</w:t>
      </w:r>
      <w:r>
        <w:t xml:space="preserve"> </w:t>
      </w:r>
      <w:r>
        <w:t xml:space="preserve">re-runs under one frozen protocol (identical evaluator, budgets,</w:t>
      </w:r>
      <w:r>
        <w:t xml:space="preserve"> </w:t>
      </w:r>
      <w:r>
        <w:t xml:space="preserve">seeds, and shared initial populations; the DT-GSK self-init</w:t>
      </w:r>
      <w:r>
        <w:t xml:space="preserve"> </w:t>
      </w:r>
      <w:r>
        <w:t xml:space="preserve">exception is documented in the experimental setup). No</w:t>
      </w:r>
      <w:r>
        <w:t xml:space="preserve"> </w:t>
      </w:r>
      <w:r>
        <w:t xml:space="preserve">literature-copied numbers appear in any panel exhibit.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SK-family panel roster and configuration provenance. All panel results are produced by in-repository re-runs under one frozen protocol (identical evaluator, budgets, seeds, and shared initial populations; the DT-GSK self-init exception is documented in the experimental setup). No literature-copied numbers appear in any panel exhibit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in this study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left"/>
            </w:pPr>
            <w:r>
              <w:fldChar w:fldCharType="begin"/>
            </w:r>
            <w:r>
              <w:instrText xml:space="preserve"> CITATION mohamed2020gaining \l 1033 </w:instrText>
            </w:r>
            <w:r>
              <w:fldChar w:fldCharType="separate"/>
            </w:r>
            <w:r>
              <w:t xml:space="preserve">[5]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reference-implementation constants,</w:t>
            </w:r>
            <w:r>
              <w:t xml:space="preserve"> </w:t>
            </w: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; in-repository re-run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left"/>
            </w:pPr>
            <w:r>
              <w:fldChar w:fldCharType="begin"/>
            </w:r>
            <w:r>
              <w:instrText xml:space="preserve"> CITATION mohamed2020agsk \l 1033 </w:instrText>
            </w:r>
            <w:r>
              <w:fldChar w:fldCharType="separate"/>
            </w:r>
            <w:r>
              <w:t xml:space="preserve">[6]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reference-implementation constants,</w:t>
            </w:r>
            <w:r>
              <w:t xml:space="preserve"> </w:t>
            </w: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; in-repository re-run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left"/>
            </w:pPr>
            <w:r>
              <w:fldChar w:fldCharType="begin"/>
            </w:r>
            <w:r>
              <w:instrText xml:space="preserve"> CITATION apgsk2021 \l 1033 </w:instrText>
            </w:r>
            <w:r>
              <w:fldChar w:fldCharType="separate"/>
            </w:r>
            <w:r>
              <w:t xml:space="preserve">[7]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reference-implementation constants,</w:t>
            </w:r>
            <w:r>
              <w:t xml:space="preserve"> </w:t>
            </w: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; in-repository re-run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left"/>
            </w:pPr>
            <w:r>
              <w:fldChar w:fldCharType="begin"/>
            </w:r>
            <w:r>
              <w:instrText xml:space="preserve"> CITATION fdbagsk2023 \l 1033 </w:instrText>
            </w:r>
            <w:r>
              <w:fldChar w:fldCharType="separate"/>
            </w:r>
            <w:r>
              <w:t xml:space="preserve">[8]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reference-implementation constants,</w:t>
            </w:r>
            <w:r>
              <w:t xml:space="preserve"> </w:t>
            </w: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; in-repository re-run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left"/>
            </w:pPr>
            <w:r>
              <w:fldChar w:fldCharType="begin"/>
            </w:r>
            <w:r>
              <w:instrText xml:space="preserve"> CITATION alfadli2025atmals \l 1033 </w:instrText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reference-implementation constants,</w:t>
            </w:r>
            <w:r>
              <w:t xml:space="preserve"> </w:t>
            </w: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; in-repository re-run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left"/>
            </w:pPr>
            <w:r>
              <w:fldChar w:fldCharType="begin"/>
            </w:r>
            <w:r>
              <w:instrText xml:space="preserve"> CITATION jawad2024egsk \l 1033 </w:instrText>
            </w:r>
            <w:r>
              <w:fldChar w:fldCharType="separate"/>
            </w:r>
            <w:r>
              <w:t xml:space="preserve">[9]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port; SLSQP substitutes the</w:t>
            </w:r>
            <w:r>
              <w:t xml:space="preserve"> </w:t>
            </w:r>
            <w:r>
              <w:t xml:space="preserve">reference implementation’s fmincon polish (disclosed)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tier-resolved configuration</w:t>
            </w:r>
            <w:r>
              <w:t xml:space="preserve"> </w:t>
            </w:r>
            <w:r>
              <w:t xml:space="preserve">(Table </w:t>
            </w:r>
            <w:r>
              <w:fldChar w:fldCharType="begin"/>
            </w:r>
            <w:r>
              <w:instrText xml:space="preserve"> REF ref_tab_parameters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  <w:r>
              <w:t xml:space="preserve">); hash-locked</w:t>
            </w:r>
          </w:p>
        </w:tc>
      </w:tr>
    </w:tbl>
    <w:bookmarkEnd w:id="44"/>
    <w:p>
      <w:pPr>
        <w:pStyle w:val="BodyText"/>
      </w:pPr>
      <w:r>
        <w:t xml:space="preserve">The exact numeric settings behind</w:t>
      </w:r>
      <w:r>
        <w:t xml:space="preserve"> </w:t>
      </w:r>
      <w:r>
        <w:t xml:space="preserve">“reference-implementation constants”</w:t>
      </w:r>
      <w:r>
        <w:t xml:space="preserve"> </w:t>
      </w:r>
      <w:r>
        <w:t xml:space="preserve">are reproduced</w:t>
      </w:r>
      <w:r>
        <w:t xml:space="preserve"> </w:t>
      </w:r>
      <w:r>
        <w:t xml:space="preserve">in Table </w:t>
      </w:r>
      <w:r>
        <w:fldChar w:fldCharType="begin"/>
      </w:r>
      <w:r>
        <w:instrText xml:space="preserve"> REF ref_tab_comparator_params_main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so the main text is</w:t>
      </w:r>
      <w:r>
        <w:t xml:space="preserve"> </w:t>
      </w:r>
      <w:r>
        <w:t xml:space="preserve">parameter-complete without the Supplementary Material: every value is</w:t>
      </w:r>
      <w:r>
        <w:t xml:space="preserve"> </w:t>
      </w:r>
      <w:r>
        <w:t xml:space="preserve">read programmatically from the shipped optimizer modules — module</w:t>
      </w:r>
      <w:r>
        <w:t xml:space="preserve"> </w:t>
      </w:r>
      <w:r>
        <w:t xml:space="preserve">constants imported, runner-visible defaults extracted from source —</w:t>
      </w:r>
      <w:r>
        <w:t xml:space="preserve"> </w:t>
      </w:r>
      <w:r>
        <w:t xml:space="preserve">never hand-transcribed, and the frozen campaign configuration records an</w:t>
      </w:r>
      <w:r>
        <w:t xml:space="preserve"> </w:t>
      </w:r>
      <w:r>
        <w:t xml:space="preserve">empty per-optimizer override set for every comparator, so these module</w:t>
      </w:r>
      <w:r>
        <w:t xml:space="preserve"> </w:t>
      </w:r>
      <w:r>
        <w:t xml:space="preserve">defaults are the settings of record. Pools are written first:step:last.</w:t>
      </w:r>
      <w:r>
        <w:t xml:space="preserve"> </w:t>
      </w:r>
      <w:r>
        <w:t xml:space="preserve">DT-GSK is omitted from this table because its core frozen</w:t>
      </w:r>
      <w:r>
        <w:t xml:space="preserve"> </w:t>
      </w:r>
      <w:r>
        <w:t xml:space="preserve">configuration is given in 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(per-subsystem</w:t>
      </w:r>
      <w:r>
        <w:t xml:space="preserve"> </w:t>
      </w:r>
      <w:r>
        <w:t xml:space="preserve">constants: Supplementary Material, Section S5); its single</w:t>
      </w:r>
      <w:r>
        <w:t xml:space="preserve"> </w:t>
      </w:r>
      <w:r>
        <w:t xml:space="preserve">documented per-suite exception — the two CEC2013LSGO linkage-block</w:t>
      </w:r>
      <w:r>
        <w:t xml:space="preserve"> </w:t>
      </w:r>
      <w:r>
        <w:t xml:space="preserve">entries (</w:t>
      </w:r>
      <m:oMath>
        <m:r>
          <m:t>905</m:t>
        </m:r>
        <m:r>
          <m:rPr>
            <m:sty m:val="p"/>
          </m:rPr>
          <m:t>→</m:t>
        </m:r>
        <m:r>
          <m:t>50</m:t>
        </m:r>
      </m:oMath>
      <w:r>
        <w:t xml:space="preserve">,</w:t>
      </w:r>
      <w:r>
        <w:t xml:space="preserve"> </w:t>
      </w:r>
      <m:oMath>
        <m:r>
          <m:t>1000</m:t>
        </m:r>
        <m:r>
          <m:rPr>
            <m:sty m:val="p"/>
          </m:rPr>
          <m:t>→</m:t>
        </m:r>
        <m:r>
          <m:t>50</m:t>
        </m:r>
      </m:oMath>
      <w:r>
        <w:t xml:space="preserve">) — is disclosed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ref_sec_exp_cec2013lsgo \h </w:instrText>
      </w:r>
      <w:r>
        <w:fldChar w:fldCharType="separate"/>
      </w:r>
      <w:r>
        <w:t xml:space="preserve">4.6</w:t>
      </w:r>
      <w:r>
        <w:fldChar w:fldCharType="end"/>
      </w:r>
      <w:r>
        <w:t xml:space="preserve"> and Supplementary Section S7.</w:t>
      </w:r>
    </w:p>
    <w:bookmarkStart w:id="45" w:name="lbl_tab_comparator_params_main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92" w:name="ref_tab_comparator_params_main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12</w:t>
      </w:r>
      <w:r>
        <w:fldChar w:fldCharType="end"/>
      </w:r>
      <w:bookmarkEnd w:id="192"/>
      <w:r>
        <w:rPr>
          <w:b/>
        </w:rPr>
        <w:t xml:space="preserve">. </w:t>
      </w:r>
      <w:r>
        <w:t xml:space="preserve"> GSK-family comparator parameter settings exactly as run in this</w:t>
      </w:r>
      <w:r>
        <w:t xml:space="preserve"> </w:t>
      </w:r>
      <w:r>
        <w:t xml:space="preserve">study, read from the shipped optimizer modules. Identical settings apply</w:t>
      </w:r>
      <w:r>
        <w:t xml:space="preserve"> </w:t>
      </w:r>
      <w:r>
        <w:t xml:space="preserve">on all five suites; no comparator is tuned per suite. Bracketed lists are</w:t>
      </w:r>
      <w:r>
        <w:t xml:space="preserve"> </w:t>
      </w:r>
      <w:r>
        <w:t xml:space="preserve">per-arm pools; ranges are written first:step:last.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SK-family comparator parameter settings exactly as run in this study, read from the shipped optimizer modules. Identical settings apply on all five suites; no comparator is tuned per suite. Bracketed lists are per-arm pools; ranges are written first:step:last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 settings as 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= 100; Kf = 0.5; Kr = 0.9; K = 10.0; p = 0.1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NPinit = 100; NPmin = 12; Kf pool = [0.1, 1, 0.5, 1]; Kr pool = [0.2, 0.1, 0.9, 0.9]; Kw init = [0.85, 0.05, 0.05, 0.05]; p = 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NPinit = 100; NPmin = 12; Kf pool = [0.1, 1, 0.5, 1]; Kf pool (neg.) = [-0.15, -0.05, -0.05, -0.15]; Kr pool = [0.2, 0.1, 0.9, 0.9]; Kw init = [0.85, 0.05, 0.05, 0.05]; p = 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NPinit = 100; NPmin = 12; FDB case = 1; Kf pool = [0.1, 1, 0.5, 1]; Kr pool = [0.2, 0.1, 0.9, 0.9]; p = 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= 100; Kf pool = 0.2:0.1:0.8 (7 values); Kr pool = 0.85:0.01:1 (16 values); K pool = 8:1:30 (23 values); p pool = 0.05:0.01:0.15 (11 values); PLS pool = 1:0.1:2 (11 values)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= 100; Kf1, Kf2 = 0.5; Kr = 1; K = 10; p = 0.1; late-stage frac. = 0.75; IP budget frac. = 0.002</w:t>
            </w:r>
          </w:p>
        </w:tc>
      </w:tr>
    </w:tbl>
    <w:bookmarkEnd w:id="45"/>
    <w:p>
      <w:pPr>
        <w:pStyle w:val="BodyText"/>
      </w:pPr>
      <w:r>
        <w:t xml:space="preserve">Determinism is contribution C3’s core.</w:t>
      </w:r>
      <w:r>
        <w:t xml:space="preserve"> </w:t>
      </w:r>
      <w:r>
        <w:t xml:space="preserve">A 13-substream, append-only, prefix-locked counter-based random-number</w:t>
      </w:r>
      <w:r>
        <w:t xml:space="preserve"> </w:t>
      </w:r>
      <w:r>
        <w:t xml:space="preserve">layer child-seeds every subsystem from one run seed,</w:t>
      </w:r>
      <w:r>
        <w:t xml:space="preserve"> </w:t>
      </w:r>
      <w:r>
        <w:t xml:space="preserve">Eq. (</w:t>
      </w:r>
      <w:r>
        <w:fldChar w:fldCharType="begin"/>
      </w:r>
      <w:r>
        <w:instrText xml:space="preserve"> REF ref_eq_rng_substreams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), where substream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derived by</w:t>
      </w:r>
      <w:r>
        <w:t xml:space="preserve"> </w:t>
      </w:r>
      <w:r>
        <w:t xml:space="preserve">counter-based child-seeding and substream 0 is the run seed</w:t>
      </w:r>
      <w:r>
        <w:t xml:space="preserve"> </w:t>
      </w:r>
      <w:r>
        <w:t xml:space="preserve">verbatim.</w:t>
      </w:r>
      <w:r>
        <w:t xml:space="preserve"> </w:t>
      </w:r>
      <w:r>
        <w:t xml:space="preserve">Because each subsystem draws from its own named substream — with a</w:t>
      </w:r>
      <w:r>
        <w:t xml:space="preserve"> </w:t>
      </w:r>
      <w:r>
        <w:t xml:space="preserve">few closely related mechanisms, such as the deep-stall restart, sharing</w:t>
      </w:r>
      <w:r>
        <w:t xml:space="preserve"> </w:t>
      </w:r>
      <w:r>
        <w:t xml:space="preserve">the budget-safe-escape substream — toggling a subsystem cannot</w:t>
      </w:r>
      <w:r>
        <w:t xml:space="preserve"> </w:t>
      </w:r>
      <w:r>
        <w:t xml:space="preserve">disturb the draw order of any subsystem on a different substream. Three</w:t>
      </w:r>
      <w:r>
        <w:t xml:space="preserve"> </w:t>
      </w:r>
      <w:r>
        <w:t xml:space="preserve">distinct reproducibility levels should be kept apart. The first is</w:t>
      </w:r>
      <w:r>
        <w:t xml:space="preserve"> </w:t>
      </w:r>
      <w:r>
        <w:rPr>
          <w:i/>
          <w:iCs/>
        </w:rPr>
        <w:t xml:space="preserve">RNG-substream isolation</w:t>
      </w:r>
      <w:r>
        <w:t xml:space="preserve">: the structural guarantee just stated, which</w:t>
      </w:r>
      <w:r>
        <w:t xml:space="preserve"> </w:t>
      </w:r>
      <w:r>
        <w:t xml:space="preserve">makes component-level re-evaluation well defined and is test-enforced in the</w:t>
      </w:r>
      <w:r>
        <w:t xml:space="preserve"> </w:t>
      </w:r>
      <w:r>
        <w:t xml:space="preserve">repository’s regression suite. The second is</w:t>
      </w:r>
      <w:r>
        <w:t xml:space="preserve"> </w:t>
      </w:r>
      <w:r>
        <w:rPr>
          <w:i/>
          <w:iCs/>
        </w:rPr>
        <w:t xml:space="preserve">same-environment trajectory</w:t>
      </w:r>
      <w:r>
        <w:rPr>
          <w:i/>
          <w:iCs/>
        </w:rPr>
        <w:t xml:space="preserve"> </w:t>
      </w:r>
      <w:r>
        <w:rPr>
          <w:i/>
          <w:iCs/>
        </w:rPr>
        <w:t xml:space="preserve">repeatability</w:t>
      </w:r>
      <w:r>
        <w:t xml:space="preserve">: bit-for-bit identical runs under the same single-threaded</w:t>
      </w:r>
      <w:r>
        <w:t xml:space="preserve"> </w:t>
      </w:r>
      <w:r>
        <w:t xml:space="preserve">build with a fixed floating-point reduction order, which is the shipped</w:t>
      </w:r>
      <w:r>
        <w:t xml:space="preserve"> </w:t>
      </w:r>
      <w:r>
        <w:t xml:space="preserve">configuration. That is not a cross-thread or cross-platform guarantee, as noted</w:t>
      </w:r>
      <w:r>
        <w:t xml:space="preserve"> </w:t>
      </w:r>
      <w:r>
        <w:t xml:space="preserve">in Section </w:t>
      </w:r>
      <w:r>
        <w:fldChar w:fldCharType="begin"/>
      </w:r>
      <w:r>
        <w:instrText xml:space="preserve"> REF ref_sec_experiments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 The third is</w:t>
      </w:r>
      <w:r>
        <w:t xml:space="preserve"> </w:t>
      </w:r>
      <w:r>
        <w:rPr>
          <w:i/>
          <w:iCs/>
        </w:rPr>
        <w:t xml:space="preserve">artifact byte-identity</w:t>
      </w:r>
      <w:r>
        <w:t xml:space="preserve">:</w:t>
      </w:r>
      <w:r>
        <w:t xml:space="preserve"> </w:t>
      </w:r>
      <w:r>
        <w:t xml:space="preserve">the released result files reproduce byte-for-byte after the documented</w:t>
      </w:r>
      <w:r>
        <w:t xml:space="preserve"> </w:t>
      </w:r>
      <w:r>
        <w:t xml:space="preserve">normalization. All three cover DT-GSK and this repository’s pipeline only;</w:t>
      </w:r>
      <w:r>
        <w:t xml:space="preserve"> </w:t>
      </w:r>
      <w:r>
        <w:t xml:space="preserve">no byte-stability claim is made for the comparator implementations.</w:t>
      </w:r>
    </w:p>
    <w:bookmarkEnd w:id="46"/>
    <w:bookmarkStart w:id="49" w:name="lbl_sec_alg_complexity"/>
    <w:p>
      <w:pPr>
        <w:pStyle w:val="Heading2"/>
      </w:pPr>
      <w:bookmarkStart w:id="193" w:name="ref_sec_alg_complexity"/>
      <w:r>
        <w:t xml:space="preserve">3.8.</w:t>
      </w:r>
      <w:bookmarkEnd w:id="193"/>
      <w:r>
        <w:tab/>
      </w:r>
      <w:r>
        <w:t xml:space="preserve"> Complexity and Evaluation Accounting</w:t>
      </w:r>
    </w:p>
    <w:bookmarkStart w:id="47" w:name="lbl_computational_cost"/>
    <w:p>
      <w:pPr>
        <w:pStyle w:val="Heading4"/>
      </w:pPr>
      <w:r>
        <w:t xml:space="preserve">Computational cost.</w:t>
      </w:r>
    </w:p>
    <w:p>
      <w:pPr>
        <w:pStyle w:val="FirstParagraph"/>
      </w:pPr>
      <w:r>
        <w:t xml:space="preserve">Per generation, the scaffold costs what the base algorithm costs:</w:t>
      </w:r>
      <w:r>
        <w:t xml:space="preserve"> </w:t>
      </w:r>
      <w:r>
        <w:t xml:space="preserve">trial construction, masking, and bound repair are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ranking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log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, ACE and ARGP add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argp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bookkeeping, and the archive update is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distance check.</w:t>
      </w:r>
      <w:r>
        <w:t xml:space="preserve"> </w:t>
      </w:r>
      <w:r>
        <w:t xml:space="preserve">The dimension-gated structures dominate only at upper tier. The three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interaction matrices are decayed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per update,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activity vector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and each</w:t>
      </w:r>
      <w:r>
        <w:t xml:space="preserve"> </w:t>
      </w:r>
      <w:r>
        <w:t xml:space="preserve">strictly-improving accepted move contributes a rank-one outer product over</w:t>
      </w:r>
      <w:r>
        <w:t xml:space="preserve"> </w:t>
      </w:r>
      <w:r>
        <w:t xml:space="preserve">its active-coordinate set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J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D</m:t>
        </m:r>
      </m:oMath>
      <w:r>
        <w:t xml:space="preserve">); this sums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worst case, and less when the per-move support is sparse.</w:t>
      </w:r>
      <w:r>
        <w:t xml:space="preserve"> </w:t>
      </w:r>
      <w:r>
        <w:t xml:space="preserve">That update runs every generation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–</w:t>
      </w:r>
      <m:oMath>
        <m:r>
          <m:t>99</m:t>
        </m:r>
      </m:oMath>
      <w:r>
        <w:t xml:space="preserve">, but is thinned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to every tenth generation from a capped sample of accepted moves, with its</w:t>
      </w:r>
      <w:r>
        <w:t xml:space="preserve"> </w:t>
      </w:r>
      <w:r>
        <w:t xml:space="preserve">linkage blocks re-extracted on a slower multi-generation cadence. The</w:t>
      </w:r>
      <w:r>
        <w:t xml:space="preserve"> </w:t>
      </w:r>
      <w:r>
        <w:t xml:space="preserve">eigenframe polish performs a single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eigendecomposition once per</w:t>
      </w:r>
      <w:r>
        <w:t xml:space="preserve"> </w:t>
      </w:r>
      <w:r>
        <w:t xml:space="preserve">run.</w:t>
      </w:r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no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interaction structure is allocated. The</w:t>
      </w:r>
      <w:r>
        <w:t xml:space="preserve"> </w:t>
      </w:r>
      <w:r>
        <w:t xml:space="preserve">sub-</w:t>
      </w:r>
      <m:oMath>
        <m:r>
          <m:t>20</m:t>
        </m:r>
      </m:oMath>
      <w:r>
        <w:t xml:space="preserve"> </w:t>
      </w:r>
      <w:r>
        <w:t xml:space="preserve">tier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per generation like GSK. At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only added term is the optional DE arm’s vectorized donor selection: a partial</w:t>
      </w:r>
      <w:r>
        <w:t xml:space="preserve"> </w:t>
      </w:r>
      <w:r>
        <w:t xml:space="preserve">selection over an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×</m:t>
        </m:r>
        <m:r>
          <m:t>N</m:t>
        </m:r>
        <m:r>
          <m:t>P</m:t>
        </m:r>
      </m:oMath>
      <w:r>
        <w:t xml:space="preserve"> </w:t>
      </w:r>
      <w:r>
        <w:t xml:space="preserve">key matrix,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⋅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 a matching transient buffer (up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 most rows draw DE).</w:t>
      </w:r>
      <w:r>
        <w:t xml:space="preserve"> </w:t>
      </w:r>
      <w:r>
        <w:t xml:space="preserve">That is bounded compute, not budget.</w:t>
      </w:r>
      <w:r>
        <w:t xml:space="preserve"> </w:t>
      </w:r>
      <w:r>
        <w:t xml:space="preserve">Memory is dominated by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population family at every tier —</w:t>
      </w:r>
      <w:r>
        <w:t xml:space="preserve"> </w:t>
      </w:r>
      <w:r>
        <w:t xml:space="preserve">the population, trial, and three-buffer RNG workspaces, all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— which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is on the order of a few</w:t>
      </w:r>
      <w:r>
        <w:t xml:space="preserve"> </w:t>
      </w:r>
      <w:r>
        <w:t xml:space="preserve">megabytes in float64. The dimension-gated interaction state adds three</w:t>
      </w:r>
      <w:r>
        <w:t xml:space="preserve"> </w:t>
      </w:r>
      <w:r>
        <w:t xml:space="preserve">persistent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matrices (magnitude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, signed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, and co-occurrence support</w:t>
      </w:r>
      <w:r>
        <w:t xml:space="preserve"> </w:t>
      </w:r>
      <m:oMath>
        <m:r>
          <m:t>C</m:t>
        </m:r>
      </m:oMath>
      <w:r>
        <w:t xml:space="preserve">),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activity vector,</w:t>
      </w:r>
      <w:r>
        <w:t xml:space="preserve"> </w:t>
      </w:r>
      <w:r>
        <w:t xml:space="preserve">and several reusable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scratch buffers. That is about half a megabyte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a minority of the live footprint even where it is largest. Alongside</w:t>
      </w:r>
      <w:r>
        <w:t xml:space="preserve"> </w:t>
      </w:r>
      <w:r>
        <w:t xml:space="preserve">it sit the diversity archive (</w:t>
      </w:r>
      <m:oMath>
        <m:r>
          <m:rPr>
            <m:sty m:val="p"/>
          </m:rPr>
          <m:t>≤</m:t>
        </m:r>
        <m:r>
          <m:t>200</m:t>
        </m:r>
        <m:r>
          <m:rPr>
            <m:sty m:val="p"/>
          </m:rPr>
          <m:t>⋅</m:t>
        </m:r>
        <m:r>
          <m:t>D</m:t>
        </m:r>
      </m:oMath>
      <w:r>
        <w:t xml:space="preserve">) and the one-shot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eigenframe workspace.</w:t>
      </w:r>
      <w:r>
        <w:t xml:space="preserve"> </w:t>
      </w:r>
      <w:r>
        <w:t xml:space="preserve">We claim no complexity improvement over GSK: the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w:r>
        <w:t xml:space="preserve">are bounded compute overhead — not budget — paid for</w:t>
      </w:r>
      <w:r>
        <w:t xml:space="preserve"> </w:t>
      </w:r>
      <w:r>
        <w:t xml:space="preserve">zero-extra-objective-evaluation structure learning, and the</w:t>
      </w:r>
      <w:r>
        <w:t xml:space="preserve"> </w:t>
      </w:r>
      <w:r>
        <w:t xml:space="preserve">dimension gating means low-dimensional runs pay none of it.</w:t>
      </w:r>
      <w:r>
        <w:t xml:space="preserve"> </w:t>
      </w:r>
      <w:r>
        <w:t xml:space="preserve">Measured wall-clock overhead is reported with the experimental</w:t>
      </w:r>
      <w:r>
        <w:t xml:space="preserve"> </w:t>
      </w:r>
      <w:r>
        <w:t xml:space="preserve">results.</w:t>
      </w:r>
    </w:p>
    <w:bookmarkEnd w:id="47"/>
    <w:bookmarkStart w:id="48" w:name="lbl_evaluation_accounting"/>
    <w:p>
      <w:pPr>
        <w:pStyle w:val="Heading4"/>
      </w:pPr>
      <w:r>
        <w:t xml:space="preserve">Evaluation accounting.</w:t>
      </w:r>
    </w:p>
    <w:p>
      <w:pPr>
        <w:pStyle w:val="FirstParagraph"/>
      </w:pPr>
      <w:r>
        <w:t xml:space="preserve">Every objective evaluation flows through a single</w:t>
      </w:r>
      <w:r>
        <w:t xml:space="preserve"> </w:t>
      </w:r>
      <w:r>
        <w:t xml:space="preserve">budget controller holding the evaluation budget MaxFES (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t>D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CEC2017 and CEC2013,</w:t>
      </w:r>
      <w:r>
        <w:t xml:space="preserve"> </w:t>
      </w:r>
      <m:oMath>
        <m:r>
          <m:t>150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for CEC2011,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for CEC2020,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for CEC2013LSGO); there is</w:t>
      </w:r>
      <w:r>
        <w:t xml:space="preserve"> </w:t>
      </w:r>
      <w:r>
        <w:t xml:space="preserve">no second counter and no path that calls the objective</w:t>
      </w:r>
      <w:r>
        <w:t xml:space="preserve"> </w:t>
      </w:r>
      <w:r>
        <w:t xml:space="preserve">directly.</w:t>
      </w:r>
      <w:r>
        <w:t xml:space="preserve"> </w:t>
      </w:r>
      <w:r>
        <w:t xml:space="preserve">This includes every evaluation spent by the coordinate local search, the</w:t>
      </w:r>
      <w:r>
        <w:t xml:space="preserve"> </w:t>
      </w:r>
      <w:r>
        <w:t xml:space="preserve">BSE rescue, the deep-stall re-initialization, and the polish probes</w:t>
      </w:r>
      <w:r>
        <w:t xml:space="preserve"> </w:t>
      </w:r>
      <w:r>
        <w:t xml:space="preserve">— none is exempt.</w:t>
      </w:r>
      <w:r>
        <w:t xml:space="preserve"> </w:t>
      </w:r>
      <w:r>
        <w:t xml:space="preserve">When a final batch would exceed the remaining budget, only the prefix</w:t>
      </w:r>
      <w:r>
        <w:t xml:space="preserve"> </w:t>
      </w:r>
      <w:r>
        <w:t xml:space="preserve">that fits is evaluated and charged, so runs are MaxFES-exact by</w:t>
      </w:r>
      <w:r>
        <w:t xml:space="preserve"> </w:t>
      </w:r>
      <w:r>
        <w:t xml:space="preserve">construction: budget-exact, monotone, and repeat-identical, as</w:t>
      </w:r>
      <w:r>
        <w:t xml:space="preserve"> </w:t>
      </w:r>
      <w:r>
        <w:t xml:space="preserve">verified by the repository’s deterministic</w:t>
      </w:r>
      <w:r>
        <w:t xml:space="preserve"> </w:t>
      </w:r>
      <w:r>
        <w:t xml:space="preserve">trace.</w:t>
      </w:r>
      <w:r>
        <w:t xml:space="preserve"> </w:t>
      </w:r>
      <w:r>
        <w:t xml:space="preserve">One protocol exception is disclosed here and documented in the</w:t>
      </w:r>
      <w:r>
        <w:t xml:space="preserve"> </w:t>
      </w:r>
      <w:r>
        <w:t xml:space="preserve">experimental setup: DT-GSK self-initializes, drawing its own</w:t>
      </w:r>
      <w:r>
        <w:t xml:space="preserve"> </w:t>
      </w:r>
      <m:oMath>
        <m:r>
          <m:t>5</m:t>
        </m:r>
        <m:r>
          <m:t>D</m:t>
        </m:r>
      </m:oMath>
      <w:r>
        <w:t xml:space="preserve">-point initial population from the same seed-paired stream as the</w:t>
      </w:r>
      <w:r>
        <w:t xml:space="preserve"> </w:t>
      </w:r>
      <w:r>
        <w:t xml:space="preserve">shared runner-generated initial populations, rather than consuming the</w:t>
      </w:r>
      <w:r>
        <w:t xml:space="preserve"> </w:t>
      </w:r>
      <w:r>
        <w:t xml:space="preserve">runner’s matrix; the draw is deterministic and charged like any</w:t>
      </w:r>
      <w:r>
        <w:t xml:space="preserve"> </w:t>
      </w:r>
      <w:r>
        <w:t xml:space="preserve">other.</w:t>
      </w:r>
    </w:p>
    <w:bookmarkEnd w:id="48"/>
    <w:bookmarkEnd w:id="49"/>
    <w:bookmarkEnd w:id="50"/>
    <w:bookmarkStart w:id="99" w:name="lbl_sec_experiments"/>
    <w:p>
      <w:pPr>
        <w:pStyle w:val="Heading1"/>
      </w:pPr>
      <w:bookmarkStart w:id="194" w:name="ref_sec_experiments"/>
      <w:r>
        <w:t xml:space="preserve">4.</w:t>
      </w:r>
      <w:bookmarkEnd w:id="194"/>
      <w:r>
        <w:tab/>
      </w:r>
      <w:r>
        <w:t xml:space="preserve"> Experimental Study</w:t>
      </w:r>
    </w:p>
    <w:p>
      <w:pPr>
        <w:pStyle w:val="FirstParagraph"/>
      </w:pPr>
      <w:r>
        <w:t xml:space="preserve">On CEC2017 DT-GSK attains the best overall Friedman</w:t>
      </w:r>
      <w:r>
        <w:t xml:space="preserve"> </w:t>
      </w:r>
      <w:r>
        <w:t xml:space="preserve">mean rank in the seven-algorithm panel, placing first at three of four</w:t>
      </w:r>
      <w:r>
        <w:t xml:space="preserve"> </w:t>
      </w:r>
      <w:r>
        <w:t xml:space="preserve">dimensions and second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; on CEC2011 it is likewise second, with</w:t>
      </w:r>
      <w:r>
        <w:t xml:space="preserve"> </w:t>
      </w:r>
      <w:r>
        <w:t xml:space="preserve">a Holm-significant loss to eGSK. That aggregate rank is a descriptive</w:t>
      </w:r>
      <w:r>
        <w:t xml:space="preserve"> </w:t>
      </w:r>
      <w:r>
        <w:t xml:space="preserve">summary, not evidence of overall superiority: on CEC2017 the Holm-corrected</w:t>
      </w:r>
      <w:r>
        <w:t xml:space="preserve"> </w:t>
      </w:r>
      <w:r>
        <w:t xml:space="preserve">pairwise tests separate DT-GSK from eGSK 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and the two</w:t>
      </w:r>
      <w:r>
        <w:t xml:space="preserve"> </w:t>
      </w:r>
      <w:r>
        <w:t xml:space="preserve">are never Nemenyi-separable at any dimension of that suite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ref_sec_exp_cec2017 \h </w:instrText>
      </w:r>
      <w:r>
        <w:fldChar w:fldCharType="separate"/>
      </w:r>
      <w:r>
        <w:t xml:space="preserve">4.2</w:t>
      </w:r>
      <w:r>
        <w:fldChar w:fldCharType="end"/>
      </w:r>
      <w:r>
        <w:t xml:space="preserve">). The CEC2020 and CEC2013LSGO legs,</w:t>
      </w:r>
      <w:r>
        <w:t xml:space="preserve"> </w:t>
      </w:r>
      <w:r>
        <w:t xml:space="preserve">added under a registered analysis-plan addendum, are reported in</w:t>
      </w:r>
      <w:r>
        <w:t xml:space="preserve"> </w:t>
      </w:r>
      <w:r>
        <w:t xml:space="preserve">Sections </w:t>
      </w:r>
      <w:r>
        <w:fldChar w:fldCharType="begin"/>
      </w:r>
      <w:r>
        <w:instrText xml:space="preserve"> REF ref_sec_exp_cec2020 \h </w:instrText>
      </w:r>
      <w:r>
        <w:fldChar w:fldCharType="separate"/>
      </w:r>
      <w:r>
        <w:t xml:space="preserve">4.5</w:t>
      </w:r>
      <w:r>
        <w:fldChar w:fldCharType="end"/>
      </w:r>
      <w:r>
        <w:t xml:space="preserve"> and </w:t>
      </w:r>
      <w:r>
        <w:fldChar w:fldCharType="begin"/>
      </w:r>
      <w:r>
        <w:instrText xml:space="preserve"> REF ref_sec_exp_cec2013lsgo \h </w:instrText>
      </w:r>
      <w:r>
        <w:fldChar w:fldCharType="separate"/>
      </w:r>
      <w:r>
        <w:t xml:space="preserve">4.6</w:t>
      </w:r>
      <w:r>
        <w:fldChar w:fldCharType="end"/>
      </w:r>
      <w:r>
        <w:t xml:space="preserve"> at their</w:t>
      </w:r>
      <w:r>
        <w:t xml:space="preserve"> </w:t>
      </w:r>
      <w:r>
        <w:t xml:space="preserve">registered evidential tiers, and the five-suite synthesis is confined to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ref_sec_exp_discussion \h </w:instrText>
      </w:r>
      <w:r>
        <w:fldChar w:fldCharType="separate"/>
      </w:r>
      <w:r>
        <w:t xml:space="preserve">4.9</w:t>
      </w:r>
      <w:r>
        <w:fldChar w:fldCharType="end"/>
      </w:r>
      <w:r>
        <w:t xml:space="preserve">. The evidence below is reported at that</w:t>
      </w:r>
      <w:r>
        <w:t xml:space="preserve"> </w:t>
      </w:r>
      <w:r>
        <w:t xml:space="preserve">resolution — tier by tier, with the unfavorable cells stated alongside</w:t>
      </w:r>
      <w:r>
        <w:t xml:space="preserve"> </w:t>
      </w:r>
      <w:r>
        <w:t xml:space="preserve">the favorable ones — because the dimension-resolved pattern, not a single</w:t>
      </w:r>
      <w:r>
        <w:t xml:space="preserve"> </w:t>
      </w:r>
      <w:r>
        <w:t xml:space="preserve">aggregate, is what the dimension-tiered design predicts and what the data</w:t>
      </w:r>
      <w:r>
        <w:t xml:space="preserve"> </w:t>
      </w:r>
      <w:r>
        <w:t xml:space="preserve">support. Every comparative statement is scoped to this panel; no</w:t>
      </w:r>
      <w:r>
        <w:t xml:space="preserve"> </w:t>
      </w:r>
      <w:r>
        <w:t xml:space="preserve">field-wide claim is made.</w:t>
      </w:r>
    </w:p>
    <w:bookmarkStart w:id="57" w:name="lbl_sec_exp_settings"/>
    <w:p>
      <w:pPr>
        <w:pStyle w:val="Heading2"/>
      </w:pPr>
      <w:bookmarkStart w:id="195" w:name="ref_sec_exp_settings"/>
      <w:r>
        <w:t xml:space="preserve">4.1.</w:t>
      </w:r>
      <w:bookmarkEnd w:id="195"/>
      <w:r>
        <w:tab/>
      </w:r>
      <w:r>
        <w:t xml:space="preserve"> Experimental Setup</w:t>
      </w:r>
    </w:p>
    <w:bookmarkStart w:id="51" w:name="lbl_evidence_discipline"/>
    <w:p>
      <w:pPr>
        <w:pStyle w:val="Heading4"/>
      </w:pPr>
      <w:r>
        <w:t xml:space="preserve">Evidence discipline.</w:t>
      </w:r>
    </w:p>
    <w:p>
      <w:pPr>
        <w:pStyle w:val="FirstParagraph"/>
      </w:pPr>
      <w:r>
        <w:t xml:space="preserve">Every empirical value in this paper derives from a versioned, immutable</w:t>
      </w:r>
      <w:r>
        <w:t xml:space="preserve"> </w:t>
      </w:r>
      <w:r>
        <w:t xml:space="preserve">evidence release: all seven</w:t>
      </w:r>
      <w:r>
        <w:t xml:space="preserve"> </w:t>
      </w:r>
      <w:r>
        <w:t xml:space="preserve">panel algorithms were re-run in-repository under one identical</w:t>
      </w:r>
      <w:r>
        <w:t xml:space="preserve"> </w:t>
      </w:r>
      <w:r>
        <w:t xml:space="preserve">protocol, and the analysis pipeline</w:t>
      </w:r>
      <w:r>
        <w:t xml:space="preserve"> </w:t>
      </w:r>
      <w:r>
        <w:t xml:space="preserve">(SciPy 1.15.3) runs</w:t>
      </w:r>
      <w:r>
        <w:t xml:space="preserve"> </w:t>
      </w:r>
      <w:r>
        <w:t xml:space="preserve">restricted so that it can read only the immutable evidence releases</w:t>
      </w:r>
      <w:r>
        <w:t xml:space="preserve"> </w:t>
      </w:r>
      <w:r>
        <w:t xml:space="preserve">identified in the Data Availability Statement and the Supplementary</w:t>
      </w:r>
      <w:r>
        <w:t xml:space="preserve"> </w:t>
      </w:r>
      <w:r>
        <w:t xml:space="preserve">Materials — never staging data and never</w:t>
      </w:r>
      <w:r>
        <w:t xml:space="preserve"> </w:t>
      </w:r>
      <w:r>
        <w:t xml:space="preserve">literature-copied numbers</w:t>
      </w:r>
      <w:r>
        <w:t xml:space="preserve"> </w:t>
      </w:r>
      <w:r>
        <w:t xml:space="preserve">presented as comparable.</w:t>
      </w:r>
    </w:p>
    <w:p>
      <w:pPr>
        <w:pStyle w:val="BodyText"/>
      </w:pPr>
      <w:r>
        <w:t xml:space="preserve">One provenance qualification applies: the eGSK panel cells derive</w:t>
      </w:r>
      <w:r>
        <w:t xml:space="preserve"> </w:t>
      </w:r>
      <w:r>
        <w:t xml:space="preserve">from the committed reference results of the runnable eGSK port,</w:t>
      </w:r>
      <w:r>
        <w:t xml:space="preserve"> </w:t>
      </w:r>
      <w:r>
        <w:t xml:space="preserve">whose late local polish uses SciPy-SLSQP, whereas the original</w:t>
      </w:r>
      <w:r>
        <w:t xml:space="preserve"> </w:t>
      </w:r>
      <w:r>
        <w:t xml:space="preserve">algorithm’s late refinement is a sequential-quadratic-programming</w:t>
      </w:r>
      <w:r>
        <w:t xml:space="preserve"> </w:t>
      </w:r>
      <w:r>
        <w:t xml:space="preserve">polish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, realized as MATLAB fmincon in the family’s</w:t>
      </w:r>
      <w:r>
        <w:t xml:space="preserve"> </w:t>
      </w:r>
      <w:r>
        <w:t xml:space="preserve">reference implementation. The substituted routine is a search</w:t>
      </w:r>
      <w:r>
        <w:t xml:space="preserve"> </w:t>
      </w:r>
      <w:r>
        <w:t xml:space="preserve">component rather than a cosmetic finishing step: it consumes part of the</w:t>
      </w:r>
      <w:r>
        <w:t xml:space="preserve"> </w:t>
      </w:r>
      <w:r>
        <w:t xml:space="preserve">same evaluation budget and can move the returned solution, so the eGSK</w:t>
      </w:r>
      <w:r>
        <w:t xml:space="preserve"> </w:t>
      </w:r>
      <w:r>
        <w:t xml:space="preserve">cells reported here are properties of this port and not of the published</w:t>
      </w:r>
      <w:r>
        <w:t xml:space="preserve"> </w:t>
      </w:r>
      <w:r>
        <w:t xml:space="preserve">implementation. Cross-implementation runtime and environment comparability</w:t>
      </w:r>
      <w:r>
        <w:t xml:space="preserve"> </w:t>
      </w:r>
      <w:r>
        <w:t xml:space="preserve">is therefore limited, no runtime-superiority claim is made anywhere in this</w:t>
      </w:r>
      <w:r>
        <w:t xml:space="preserve"> </w:t>
      </w:r>
      <w:r>
        <w:t xml:space="preserve">paper, and no claim of numerical equivalence to the published eGSK is</w:t>
      </w:r>
      <w:r>
        <w:t xml:space="preserve"> </w:t>
      </w:r>
      <w:r>
        <w:t xml:space="preserve">made in either direction.</w:t>
      </w:r>
    </w:p>
    <w:bookmarkEnd w:id="51"/>
    <w:bookmarkStart w:id="53" w:name="lbl_suites_budgets_and_metrics"/>
    <w:p>
      <w:pPr>
        <w:pStyle w:val="Heading4"/>
      </w:pPr>
      <w:r>
        <w:t xml:space="preserve">Suites, budgets, and metrics.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ref_tab_protocol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summarizes the frozen protocol. The primary</w:t>
      </w:r>
      <w:r>
        <w:t xml:space="preserve"> </w:t>
      </w:r>
      <w:r>
        <w:t xml:space="preserve">suite is the CEC2017 bound-constrained suite </w:t>
      </w:r>
      <w:r>
        <w:fldChar w:fldCharType="begin"/>
      </w:r>
      <w:r>
        <w:instrText xml:space="preserve"> CITATION awad2016problem \l 1033 </w:instrText>
      </w:r>
      <w:r>
        <w:fldChar w:fldCharType="separate"/>
      </w:r>
      <w:r>
        <w:t xml:space="preserve">[1]</w:t>
      </w:r>
      <w:r>
        <w:fldChar w:fldCharType="end"/>
      </w:r>
      <w:r>
        <w:t xml:space="preserve">:</w:t>
      </w:r>
      <w:r>
        <w:t xml:space="preserve"> </w:t>
      </w:r>
      <w:r>
        <w:t xml:space="preserve">29 functions (F1, F3–F30)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51 runs per</w:t>
      </w:r>
      <w:r>
        <w:t xml:space="preserve"> </w:t>
      </w:r>
      <w:r>
        <w:t xml:space="preserve">(function, dimension),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t>D</m:t>
        </m:r>
      </m:oMath>
      <w:r>
        <w:t xml:space="preserve">, and final</w:t>
      </w:r>
      <w:r>
        <w:t xml:space="preserve"> </w:t>
      </w:r>
      <w:r>
        <w:t xml:space="preserve">error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 errors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treated as zero per the suite’s reporting convention. F2 is excluded under the</w:t>
      </w:r>
      <w:r>
        <w:t xml:space="preserve"> </w:t>
      </w:r>
      <w:r>
        <w:t xml:space="preserve">adopted CEC2017 protocol because of documented instability and</w:t>
      </w:r>
      <w:r>
        <w:t xml:space="preserve"> </w:t>
      </w:r>
      <w:r>
        <w:t xml:space="preserve">difficult-to-reproduce behavior, uniformly in every panel cell.</w:t>
      </w:r>
    </w:p>
    <w:p>
      <w:pPr>
        <w:pStyle w:val="BodyText"/>
      </w:pPr>
      <w:r>
        <w:t xml:space="preserve">The real-world suite is CEC2011 </w:t>
      </w:r>
      <w:r>
        <w:fldChar w:fldCharType="begin"/>
      </w:r>
      <w:r>
        <w:instrText xml:space="preserve"> CITATION das2011cec2011 \l 1033 </w:instrText>
      </w:r>
      <w:r>
        <w:fldChar w:fldCharType="separate"/>
      </w:r>
      <w:r>
        <w:t xml:space="preserve">[2]</w:t>
      </w:r>
      <w:r>
        <w:fldChar w:fldCharType="end"/>
      </w:r>
      <w:r>
        <w:t xml:space="preserve">, which supplies</w:t>
      </w:r>
      <w:r>
        <w:t xml:space="preserve"> </w:t>
      </w:r>
      <w:r>
        <w:t xml:space="preserve">real-world problem</w:t>
      </w:r>
      <w:r>
        <w:t xml:space="preserve"> </w:t>
      </w:r>
      <w:r>
        <w:rPr>
          <w:i/>
          <w:iCs/>
        </w:rPr>
        <w:t xml:space="preserve">formulations</w:t>
      </w:r>
      <w:r>
        <w:t xml:space="preserve"> </w:t>
      </w:r>
      <w:r>
        <w:t xml:space="preserve">executed as a standardized benchmark:</w:t>
      </w:r>
      <w:r>
        <w:t xml:space="preserve"> </w:t>
      </w:r>
      <w:r>
        <w:t xml:space="preserve">22 problems at their native dimensions, 25 runs per problem,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,</m:t>
        </m:r>
        <m:r>
          <m:t>000</m:t>
        </m:r>
      </m:oMath>
      <w:r>
        <w:t xml:space="preserve">. This is breadth of application formulation,</w:t>
      </w:r>
      <w:r>
        <w:t xml:space="preserve"> </w:t>
      </w:r>
      <w:r>
        <w:t xml:space="preserve">not evidence of deployment performance. The endpoint is the raw best objective</w:t>
      </w:r>
      <w:r>
        <w:t xml:space="preserve"> </w:t>
      </w:r>
      <w:r>
        <w:t xml:space="preserve">value, and negative optima occur on some problems. The error column</w:t>
      </w:r>
      <w:r>
        <w:t xml:space="preserve"> </w:t>
      </w:r>
      <w:r>
        <w:t xml:space="preserve">is NaN by design on problems without published optima, where</w:t>
      </w:r>
      <w:r>
        <w:t xml:space="preserve"> </w:t>
      </w:r>
      <w:r>
        <w:t xml:space="preserve">best-fitness is authoritative.</w:t>
      </w:r>
      <w:r>
        <w:t xml:space="preserve"> </w:t>
      </w:r>
      <w:r>
        <w:t xml:space="preserve">Infeasible evaluations — for instance a failed trajectory integration</w:t>
      </w:r>
      <w:r>
        <w:t xml:space="preserve"> </w:t>
      </w:r>
      <w:r>
        <w:t xml:space="preserve">or an out-of-domain intermediate value on the orbital-mechanics problems</w:t>
      </w:r>
      <w:r>
        <w:t xml:space="preserve"> </w:t>
      </w:r>
      <w:r>
        <w:t xml:space="preserve">— receive the reference implementation’s standard infeasibility penalty (</w:t>
      </w:r>
      <m:oMath>
        <m:sSup>
          <m:e>
            <m:r>
              <m:t>10</m:t>
            </m:r>
          </m:e>
          <m:sup>
            <m:r>
              <m:t>30</m:t>
            </m:r>
          </m:sup>
        </m:sSup>
      </m:oMath>
      <w:r>
        <w:t xml:space="preserve">),</w:t>
      </w:r>
      <w:r>
        <w:t xml:space="preserve"> </w:t>
      </w:r>
      <w:r>
        <w:t xml:space="preserve">applied identically for all seven algorithms, so a feasible candidate is</w:t>
      </w:r>
      <w:r>
        <w:t xml:space="preserve"> </w:t>
      </w:r>
      <w:r>
        <w:t xml:space="preserve">always preferred to an infeasible one at selection.</w:t>
      </w:r>
    </w:p>
    <w:p>
      <w:pPr>
        <w:pStyle w:val="BodyText"/>
      </w:pPr>
      <w:r>
        <w:t xml:space="preserve">Finally, CEC2013 </w:t>
      </w:r>
      <w:r>
        <w:fldChar w:fldCharType="begin"/>
      </w:r>
      <w:r>
        <w:instrText xml:space="preserve"> CITATION liang2013cec2013 \l 1033 </w:instrText>
      </w:r>
      <w:r>
        <w:fldChar w:fldCharType="separate"/>
      </w:r>
      <w:r>
        <w:t xml:space="preserve">[32]</w:t>
      </w:r>
      <w:r>
        <w:fldChar w:fldCharType="end"/>
      </w:r>
      <w:r>
        <w:t xml:space="preserve"> is reported as a second</w:t>
      </w:r>
      <w:r>
        <w:t xml:space="preserve"> </w:t>
      </w:r>
      <w:r>
        <w:t xml:space="preserve">comparison suite for breadth of comparison under the same protocol:</w:t>
      </w:r>
      <w:r>
        <w:t xml:space="preserve"> </w:t>
      </w:r>
      <w:r>
        <w:t xml:space="preserve">28 functions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, 51 runs,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t>D</m:t>
        </m:r>
      </m:oMath>
      <w:r>
        <w:t xml:space="preserve">, same error convention.</w:t>
      </w:r>
    </w:p>
    <w:p>
      <w:pPr>
        <w:pStyle w:val="BodyText"/>
      </w:pPr>
      <w:r>
        <w:t xml:space="preserve">Two further suites were added after the primary release under a</w:t>
      </w:r>
      <w:r>
        <w:t xml:space="preserve"> </w:t>
      </w:r>
      <w:r>
        <w:t xml:space="preserve">registered analysis-plan addendum, with their protocol facts fixed at</w:t>
      </w:r>
      <w:r>
        <w:t xml:space="preserve"> </w:t>
      </w:r>
      <w:r>
        <w:t xml:space="preserve">registration. The CEC2020 bound-constrained suite </w:t>
      </w:r>
      <w:r>
        <w:fldChar w:fldCharType="begin"/>
      </w:r>
      <w:r>
        <w:instrText xml:space="preserve"> CITATION yue2020cec2020 \l 1033 </w:instrText>
      </w:r>
      <w:r>
        <w:fldChar w:fldCharType="separate"/>
      </w:r>
      <w:r>
        <w:t xml:space="preserve">[33]</w:t>
      </w:r>
      <w:r>
        <w:fldChar w:fldCharType="end"/>
      </w:r>
      <w:r>
        <w:t xml:space="preserve"> </w:t>
      </w:r>
      <w:r>
        <w:t xml:space="preserve">is the pre-registered</w:t>
      </w:r>
      <w:r>
        <w:t xml:space="preserve"> </w:t>
      </w:r>
      <w:r>
        <w:rPr>
          <w:i/>
          <w:iCs/>
        </w:rPr>
        <w:t xml:space="preserve">confirmatory</w:t>
      </w:r>
      <w:r>
        <w:t xml:space="preserve"> </w:t>
      </w:r>
      <w:r>
        <w:t xml:space="preserve">suite: 10 functions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with F6 and F7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 giving</w:t>
      </w:r>
      <w:r>
        <w:t xml:space="preserve"> </w:t>
      </w:r>
      <w:r>
        <w:t xml:space="preserve">38 protocol cells; 30 runs per cell; a dimension-dependent budget of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; and the same error basis 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floor as CEC2017.</w:t>
      </w:r>
    </w:p>
    <w:p>
      <w:pPr>
        <w:pStyle w:val="BodyText"/>
      </w:pPr>
      <w:r>
        <w:t xml:space="preserve">The CEC2013LSGO large-scale suite </w:t>
      </w:r>
      <w:r>
        <w:fldChar w:fldCharType="begin"/>
      </w:r>
      <w:r>
        <w:instrText xml:space="preserve"> CITATION li2013lsgo \l 1033 </w:instrText>
      </w:r>
      <w:r>
        <w:fldChar w:fldCharType="separate"/>
      </w:r>
      <w:r>
        <w:t xml:space="preserve">[34]</w:t>
      </w:r>
      <w:r>
        <w:fldChar w:fldCharType="end"/>
      </w:r>
      <w:r>
        <w:t xml:space="preserve"> — distinct from</w:t>
      </w:r>
      <w:r>
        <w:t xml:space="preserve"> </w:t>
      </w:r>
      <w:r>
        <w:t xml:space="preserve">the bound-constrained CEC2013 suite above — is the post-hoc,</w:t>
      </w:r>
      <w:r>
        <w:t xml:space="preserve"> </w:t>
      </w:r>
      <w:r>
        <w:rPr>
          <w:i/>
          <w:iCs/>
        </w:rPr>
        <w:t xml:space="preserve">family-internal</w:t>
      </w:r>
      <w:r>
        <w:t xml:space="preserve"> </w:t>
      </w:r>
      <w:r>
        <w:t xml:space="preserve">suite: 15 functions at their native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(F13 and F14 at 905 through their overlap), 25 runs,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and the raw best-objective basis</w:t>
      </w:r>
      <w:r>
        <w:t xml:space="preserve"> </w:t>
      </w:r>
      <w:r>
        <w:t xml:space="preserve">(the error column is not populated on this suite). Its F3, F6 and F10</w:t>
      </w:r>
      <w:r>
        <w:t xml:space="preserve"> </w:t>
      </w:r>
      <w:r>
        <w:t xml:space="preserve">were executed with the transformed Ackley variant, so results on those</w:t>
      </w:r>
      <w:r>
        <w:t xml:space="preserve"> </w:t>
      </w:r>
      <w:r>
        <w:t xml:space="preserve">three functions are not comparable to published values obtained on the</w:t>
      </w:r>
      <w:r>
        <w:t xml:space="preserve"> </w:t>
      </w:r>
      <w:r>
        <w:t xml:space="preserve">raw variant, and no such comparison is drawn anywhere in this paper.</w:t>
      </w:r>
    </w:p>
    <w:bookmarkStart w:id="52" w:name="lbl_tab_protocol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196" w:name="ref_tab_protocol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13</w:t>
      </w:r>
      <w:r>
        <w:fldChar w:fldCharType="end"/>
      </w:r>
      <w:bookmarkEnd w:id="196"/>
      <w:r>
        <w:rPr>
          <w:b/>
        </w:rPr>
        <w:t xml:space="preserve">. </w:t>
      </w:r>
      <w:r>
        <w:t xml:space="preserve"> Frozen evaluation protocol, one row per suite. The seed schedule is</w:t>
      </w:r>
      <w:r>
        <w:t xml:space="preserve"> </w:t>
      </w:r>
      <w:r>
        <w:t xml:space="preserve">optimizer-independent</w:t>
      </w:r>
      <w:r>
        <w:t xml:space="preserve"> </w:t>
      </w:r>
      <w:r>
        <w:t xml:space="preserve">and keyed by (dimension, function, run); the full-schedule</w:t>
      </w:r>
      <w:r>
        <w:t xml:space="preserve"> </w:t>
      </w:r>
      <w:r>
        <w:t xml:space="preserve">recomputation audit for the primary release (70</w:t>
      </w:r>
      <w:r>
        <w:t xml:space="preserve">,</w:t>
      </w:r>
      <w:r>
        <w:t xml:space="preserve">813 rows, 0 mismatches) is</w:t>
      </w:r>
      <w:r>
        <w:t xml:space="preserve"> </w:t>
      </w:r>
      <w:r>
        <w:t xml:space="preserve">part of the</w:t>
      </w:r>
      <w:r>
        <w:t xml:space="preserve"> </w:t>
      </w:r>
      <w:r>
        <w:t xml:space="preserve">released evaluation record, and the CEC2020 and CEC2013LSGO banks were</w:t>
      </w:r>
      <w:r>
        <w:t xml:space="preserve"> </w:t>
      </w:r>
      <w:r>
        <w:t xml:space="preserve">audited for cross-algorithm seed identity at promotion (0 mismatches).</w:t>
      </w:r>
      <w:r>
        <w:t xml:space="preserve"> </w:t>
      </w:r>
      <w:r>
        <w:t xml:space="preserve">CEC2020 scores 38 protocol cells (F6 and F7 are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);</w:t>
      </w:r>
      <w:r>
        <w:t xml:space="preserve"> </w:t>
      </w:r>
      <w:r>
        <w:t xml:space="preserve">CEC2013LSGO runs F13 and F14 at their native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ozen evaluation protocol, one row per suite. The seed schedule is optimizer-independent and keyed by (dimension, function, run); the full-schedule recomputation audit for the primary release (70,813 rows, 0 mismatches) is part of the released evaluation record, and the CEC2020 and CEC2013LSGO banks were audited for cross-algorithm seed identity at promotion (0 mismatches). CEC2020 scores 38 protocol cells (F6 and F7 are undefined at D = 5); CEC2013LSGO runs F13 and F14 at their native D = 905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Problems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Dimensions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MaxFES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CEC2017 (primary)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(F1, F3–F30)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10/30/50/100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error (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CEC2011 (real-world)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150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raw best objective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CEC2013 (second comparison)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(F1–F28)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10/30/50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error (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CEC2020 (confirmatory)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5/10/15/20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error (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CEC2013LSGO (family-internal)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 (F13/F14: 905)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raw best objective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Seed schedule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20240620</m:t>
              </m:r>
              <m:r>
                <m:rPr>
                  <m:sty m:val="p"/>
                </m:rPr>
                <m:t>+</m:t>
              </m:r>
              <m:r>
                <m:t>1000003</m:t>
              </m:r>
              <m:r>
                <m:t> 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1000033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1000037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31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counter-based Threefry; identical schedule for all seven optimizers on every suite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Initialization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runner-generated shared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 exception: DT-GSK self-init from the same stream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; Holm at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per dimension (across-function layer); tie band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</w:tbl>
    <w:bookmarkEnd w:id="52"/>
    <w:bookmarkEnd w:id="53"/>
    <w:bookmarkStart w:id="54" w:name="lbl_panel_pairing_and_seed_paired_start"/>
    <w:p>
      <w:pPr>
        <w:pStyle w:val="Heading4"/>
      </w:pPr>
      <w:r>
        <w:t xml:space="preserve">Panel, pairing, and seed-paired start.</w:t>
      </w:r>
    </w:p>
    <w:p>
      <w:pPr>
        <w:pStyle w:val="FirstParagraph"/>
      </w:pPr>
      <w:r>
        <w:t xml:space="preserve">The comparison panel is exactly the seven-algorithm GSK family of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ref_tab_panel \h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; comparator configurations follow the family’s</w:t>
      </w:r>
      <w:r>
        <w:t xml:space="preserve"> </w:t>
      </w:r>
      <w:r>
        <w:t xml:space="preserve">shipped reference implementations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ref_tab_comparator_params_main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;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ref_sec_alg_overview \h </w:instrText>
      </w:r>
      <w:r>
        <w:fldChar w:fldCharType="separate"/>
      </w:r>
      <w:r>
        <w:t xml:space="preserve">3.2</w:t>
      </w:r>
      <w:r>
        <w:fldChar w:fldCharType="end"/>
      </w:r>
      <w:r>
        <w:t xml:space="preserve"> discloses where these differ from the</w:t>
      </w:r>
      <w:r>
        <w:t xml:space="preserve"> </w:t>
      </w:r>
      <w:r>
        <w:t xml:space="preserve">source papers), and DT-GSK runs the single hash-frozen configuration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ref_tab_parameters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), identical across the four bound-constrained</w:t>
      </w:r>
      <w:r>
        <w:t xml:space="preserve"> </w:t>
      </w:r>
      <w:r>
        <w:t xml:space="preserve">suites with no per-suite tuning. On CEC2013LSGO alone it adds two</w:t>
      </w:r>
      <w:r>
        <w:t xml:space="preserve"> </w:t>
      </w:r>
      <w:r>
        <w:t xml:space="preserve">linkage-block-size entries,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, set to the</w:t>
      </w:r>
      <w:r>
        <w:t xml:space="preserve"> </w:t>
      </w:r>
      <w:r>
        <w:t xml:space="preserve">benchmark’s own declared group size of 50 rather than fitted to any</w:t>
      </w:r>
      <w:r>
        <w:t xml:space="preserve"> </w:t>
      </w:r>
      <w:r>
        <w:t xml:space="preserve">observed result; without them the shipped table falls back to a block</w:t>
      </w:r>
      <w:r>
        <w:t xml:space="preserve"> </w:t>
      </w:r>
      <w:r>
        <w:t xml:space="preserve">size of 10. The values were added while LSGO results already existed, so</w:t>
      </w:r>
      <w:r>
        <w:t xml:space="preserve"> </w:t>
      </w:r>
      <w:r>
        <w:t xml:space="preserve">outcome-blindness is not asserted for them; the rule, the rationale, and</w:t>
      </w:r>
      <w:r>
        <w:t xml:space="preserve"> </w:t>
      </w:r>
      <w:r>
        <w:t xml:space="preserve">the timing are disclosed in Supplementary Section S7.</w:t>
      </w:r>
    </w:p>
    <w:p>
      <w:pPr>
        <w:pStyle w:val="BodyText"/>
      </w:pPr>
      <w:r>
        <w:t xml:space="preserve">That configuration was, however,</w:t>
      </w:r>
      <w:r>
        <w:t xml:space="preserve"> </w:t>
      </w:r>
      <w:r>
        <w:t xml:space="preserve">selected on CEC2017, which is therefore the</w:t>
      </w:r>
      <w:r>
        <w:t xml:space="preserve"> </w:t>
      </w:r>
      <w:r>
        <w:rPr>
          <w:i/>
          <w:iCs/>
        </w:rPr>
        <w:t xml:space="preserve">development</w:t>
      </w:r>
      <w:r>
        <w:t xml:space="preserve"> </w:t>
      </w:r>
      <w:r>
        <w:t xml:space="preserve">suite and is</w:t>
      </w:r>
      <w:r>
        <w:t xml:space="preserve"> </w:t>
      </w:r>
      <w:r>
        <w:t xml:space="preserve">selection-exposed; CEC2011 and CEC2013 were not consulted during</w:t>
      </w:r>
      <w:r>
        <w:t xml:space="preserve"> </w:t>
      </w:r>
      <w:r>
        <w:t xml:space="preserve">configuration selection and serve as</w:t>
      </w:r>
      <w:r>
        <w:t xml:space="preserve"> </w:t>
      </w:r>
      <w:r>
        <w:rPr>
          <w:i/>
          <w:iCs/>
        </w:rPr>
        <w:t xml:space="preserve">corroborative</w:t>
      </w:r>
      <w:r>
        <w:t xml:space="preserve"> </w:t>
      </w:r>
      <w:r>
        <w:t xml:space="preserve">suites, not</w:t>
      </w:r>
      <w:r>
        <w:t xml:space="preserve"> </w:t>
      </w:r>
      <w:r>
        <w:t xml:space="preserve">independent development benchmarks; CEC2020 is the</w:t>
      </w:r>
      <w:r>
        <w:t xml:space="preserve"> </w:t>
      </w:r>
      <w:r>
        <w:rPr>
          <w:i/>
          <w:iCs/>
        </w:rPr>
        <w:t xml:space="preserve">pre-registered</w:t>
      </w:r>
      <w:r>
        <w:rPr>
          <w:i/>
          <w:iCs/>
        </w:rPr>
        <w:t xml:space="preserve"> </w:t>
      </w:r>
      <w:r>
        <w:rPr>
          <w:i/>
          <w:iCs/>
        </w:rPr>
        <w:t xml:space="preserve">confirmatory</w:t>
      </w:r>
      <w:r>
        <w:t xml:space="preserve"> </w:t>
      </w:r>
      <w:r>
        <w:t xml:space="preserve">suite, whose analysis plan, hypotheses and outcome wording</w:t>
      </w:r>
      <w:r>
        <w:t xml:space="preserve"> </w:t>
      </w:r>
      <w:r>
        <w:t xml:space="preserve">were committed before any CEC2020 result existed; and CEC2013LSGO is</w:t>
      </w:r>
      <w:r>
        <w:t xml:space="preserve"> </w:t>
      </w:r>
      <w:r>
        <w:rPr>
          <w:i/>
          <w:iCs/>
        </w:rPr>
        <w:t xml:space="preserve">post-hoc exploratory</w:t>
      </w:r>
      <w:r>
        <w:t xml:space="preserve"> </w:t>
      </w:r>
      <w:r>
        <w:t xml:space="preserve">and family-internal, its descriptive layer</w:t>
      </w:r>
      <w:r>
        <w:t xml:space="preserve"> </w:t>
      </w:r>
      <w:r>
        <w:t xml:space="preserve">having been inspected before registration. The CEC2017 standing should</w:t>
      </w:r>
      <w:r>
        <w:t xml:space="preserve"> </w:t>
      </w:r>
      <w:r>
        <w:t xml:space="preserve">accordingly be</w:t>
      </w:r>
      <w:r>
        <w:t xml:space="preserve"> </w:t>
      </w:r>
      <w:r>
        <w:t xml:space="preserve">read as development-suite performance, the CEC2011/CEC2013 standings as</w:t>
      </w:r>
      <w:r>
        <w:t xml:space="preserve"> </w:t>
      </w:r>
      <w:r>
        <w:t xml:space="preserve">corroboration, the CEC2020 standing as the registered confirmatory test,</w:t>
      </w:r>
      <w:r>
        <w:t xml:space="preserve"> </w:t>
      </w:r>
      <w:r>
        <w:t xml:space="preserve">and the CEC2013LSGO standing as exploratory. Six full-panel candidate</w:t>
      </w:r>
      <w:r>
        <w:t xml:space="preserve"> </w:t>
      </w:r>
      <w:r>
        <w:t xml:space="preserve">configurations, including the one</w:t>
      </w:r>
      <w:r>
        <w:t xml:space="preserve"> </w:t>
      </w:r>
      <w:r>
        <w:t xml:space="preserve">selected, were compared against the seven-algorithm panel on CEC2017 before</w:t>
      </w:r>
      <w:r>
        <w:t xml:space="preserve"> </w:t>
      </w:r>
      <w:r>
        <w:t xml:space="preserve">promotion; the full development protocol and the scope of that count are</w:t>
      </w:r>
      <w:r>
        <w:t xml:space="preserve"> </w:t>
      </w:r>
      <w:r>
        <w:t xml:space="preserve">disclosed in the Supplementary Materials, Section S5.</w:t>
      </w:r>
    </w:p>
    <w:p>
      <w:pPr>
        <w:pStyle w:val="BodyText"/>
      </w:pPr>
      <w:r>
        <w:t xml:space="preserve">Runs are paired across optimizers by common seed, problem instance, and</w:t>
      </w:r>
      <w:r>
        <w:t xml:space="preserve"> </w:t>
      </w:r>
      <w:r>
        <w:t xml:space="preserve">run index: within each suite all seven optimizers use the identical seed</w:t>
      </w:r>
      <w:r>
        <w:t xml:space="preserve"> </w:t>
      </w:r>
      <w:r>
        <w:t xml:space="preserve">schedule of Table </w:t>
      </w:r>
      <w:r>
        <w:fldChar w:fldCharType="begin"/>
      </w:r>
      <w:r>
        <w:instrText xml:space="preserve"> REF ref_tab_protocol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on byte-identical problem instances.</w:t>
      </w:r>
    </w:p>
    <w:p>
      <w:pPr>
        <w:pStyle w:val="BodyText"/>
      </w:pPr>
      <w:r>
        <w:t xml:space="preserve">For the six comparators, run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additionally starts from the same</w:t>
      </w:r>
      <w:r>
        <w:t xml:space="preserve"> </w:t>
      </w:r>
      <w:r>
        <w:t xml:space="preserve">runner-generated initial population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; DT-GSK is the one</w:t>
      </w:r>
      <w:r>
        <w:t xml:space="preserve"> </w:t>
      </w:r>
      <w:r>
        <w:t xml:space="preserve">documented exception — it self-initializes its own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D</m:t>
        </m:r>
      </m:oMath>
      <w:r>
        <w:t xml:space="preserve"> </w:t>
      </w:r>
      <w:r>
        <w:t xml:space="preserve">population</w:t>
      </w:r>
      <w:r>
        <w:t xml:space="preserve"> </w:t>
      </w:r>
      <w:r>
        <w:t xml:space="preserve">from the same seed-paired random stream, so its initial population is drawn</w:t>
      </w:r>
      <w:r>
        <w:t xml:space="preserve"> </w:t>
      </w:r>
      <w:r>
        <w:t xml:space="preserve">under the identical seed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byte-identical to the shared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Pairing is therefore by common seed/problem/run rather than by an</w:t>
      </w:r>
      <w:r>
        <w:t xml:space="preserve"> </w:t>
      </w:r>
      <w:r>
        <w:t xml:space="preserve">identical starting population for DT-GSK; the exception is recorded in</w:t>
      </w:r>
      <w:r>
        <w:t xml:space="preserve"> </w:t>
      </w:r>
      <w:r>
        <w:t xml:space="preserve">the protocol exhibit and the pairing audit rather than hidden.</w:t>
      </w:r>
    </w:p>
    <w:p>
      <w:pPr>
        <w:pStyle w:val="BodyText"/>
      </w:pPr>
      <w:r>
        <w:t xml:space="preserve">One evidence gap is disclosed up front. At the time of the frozen analysis,</w:t>
      </w:r>
      <w:r>
        <w:t xml:space="preserve"> </w:t>
      </w:r>
      <w:r>
        <w:t xml:space="preserve">APGSK per-run records on CEC2017 were available 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the</w:t>
      </w:r>
      <w:r>
        <w:t xml:space="preserve"> </w:t>
      </w:r>
      <w:r>
        <w:t xml:space="preserve">result of a sidecar-overwrite anomaly in the evidence tree. Seeds and</w:t>
      </w:r>
      <w:r>
        <w:t xml:space="preserve"> </w:t>
      </w:r>
      <w:r>
        <w:t xml:space="preserve">summary values for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were verified equivalent from the</w:t>
      </w:r>
      <w:r>
        <w:t xml:space="preserve"> </w:t>
      </w:r>
      <w:r>
        <w:t xml:space="preserve">generation logs, so run-level statistics against APGSK at those dimensions</w:t>
      </w:r>
      <w:r>
        <w:t xml:space="preserve"> </w:t>
      </w:r>
      <w:r>
        <w:t xml:space="preserve">were treated as disclosed-unavailable and were never imputed. The primary</w:t>
      </w:r>
      <w:r>
        <w:t xml:space="preserve"> </w:t>
      </w:r>
      <w:r>
        <w:t xml:space="preserve">across-function test on per-function means — the same test used for every</w:t>
      </w:r>
      <w:r>
        <w:t xml:space="preserve"> </w:t>
      </w:r>
      <w:r>
        <w:t xml:space="preserve">comparator — still applies to APGSK. Those run-level records were</w:t>
      </w:r>
      <w:r>
        <w:t xml:space="preserve"> </w:t>
      </w:r>
      <w:r>
        <w:t xml:space="preserve">subsequently recovered and are present in the released bundle; only the</w:t>
      </w:r>
      <w:r>
        <w:t xml:space="preserve"> </w:t>
      </w:r>
      <w:r>
        <w:t xml:space="preserve">non-deterministic wall-clock runtime remains unavailable at those</w:t>
      </w:r>
      <w:r>
        <w:t xml:space="preserve"> </w:t>
      </w:r>
      <w:r>
        <w:t xml:space="preserve">dimensions. The recovery was deterministic, from the seed-identical per-run logs, and reproduces the frozen APGSK summaries exactly; because the primary analysis was already frozen when it landed, the manuscript conservatively retains the function-level basis reported here, and no headline number is affected.</w:t>
      </w:r>
    </w:p>
    <w:bookmarkEnd w:id="54"/>
    <w:bookmarkStart w:id="55" w:name="lbl_environment_and_determinism"/>
    <w:p>
      <w:pPr>
        <w:pStyle w:val="Heading4"/>
      </w:pPr>
      <w:r>
        <w:t xml:space="preserve">Environment and determinism.</w:t>
      </w:r>
    </w:p>
    <w:p>
      <w:pPr>
        <w:pStyle w:val="FirstParagraph"/>
      </w:pPr>
      <w:r>
        <w:t xml:space="preserve">All runs were executed on a 22-logical-core Windows workstation</w:t>
      </w:r>
      <w:r>
        <w:t xml:space="preserve"> </w:t>
      </w:r>
      <w:r>
        <w:t xml:space="preserve">(Windows 11, build 10.0.26200) under Python 3.10.11 with Numba 0.64.0</w:t>
      </w:r>
      <w:r>
        <w:t xml:space="preserve"> </w:t>
      </w:r>
      <w:r>
        <w:t xml:space="preserve">JIT kernels. Campaigns parallelize only across independent</w:t>
      </w:r>
      <w:r>
        <w:t xml:space="preserve"> </w:t>
      </w:r>
      <w:r>
        <w:t xml:space="preserve">(function, dimension, run) cells — 15 worker processes, with no parallelism</w:t>
      </w:r>
      <w:r>
        <w:t xml:space="preserve"> </w:t>
      </w:r>
      <w:r>
        <w:t xml:space="preserve">inside a run. Every cell records an environment.json</w:t>
      </w:r>
      <w:r>
        <w:t xml:space="preserve"> </w:t>
      </w:r>
      <w:r>
        <w:t xml:space="preserve">manifest including the git commit, JIT state, and floating-point</w:t>
      </w:r>
      <w:r>
        <w:t xml:space="preserve"> </w:t>
      </w:r>
      <w:r>
        <w:t xml:space="preserve">probe hashes of the shared RNG, the DT-GSK kernels, and the suite</w:t>
      </w:r>
      <w:r>
        <w:t xml:space="preserve"> </w:t>
      </w:r>
      <w:r>
        <w:t xml:space="preserve">evaluators. The comparator-specific update kernels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covered</w:t>
      </w:r>
      <w:r>
        <w:t xml:space="preserve"> </w:t>
      </w:r>
      <w:r>
        <w:t xml:space="preserve">by a numerical probe: their JIT state is recorded, but their numerical</w:t>
      </w:r>
      <w:r>
        <w:t xml:space="preserve"> </w:t>
      </w:r>
      <w:r>
        <w:t xml:space="preserve">identity across producer commits rests on the shared-kernel probes and code</w:t>
      </w:r>
      <w:r>
        <w:t xml:space="preserve"> </w:t>
      </w:r>
      <w:r>
        <w:t xml:space="preserve">history rather than on a direct hash.</w:t>
      </w:r>
    </w:p>
    <w:p>
      <w:pPr>
        <w:pStyle w:val="BodyText"/>
      </w:pPr>
      <w:r>
        <w:t xml:space="preserve">The analysis bundle records its own environment (NumPy 2.2.6,</w:t>
      </w:r>
      <w:r>
        <w:t xml:space="preserve"> </w:t>
      </w:r>
      <w:r>
        <w:t xml:space="preserve">SciPy 1.15.3, pandas 2.3.3).</w:t>
      </w:r>
    </w:p>
    <w:p>
      <w:pPr>
        <w:pStyle w:val="BodyText"/>
      </w:pPr>
      <w:r>
        <w:t xml:space="preserve">For DT-GSK, every objective evaluation, including polish and escape</w:t>
      </w:r>
      <w:r>
        <w:t xml:space="preserve"> </w:t>
      </w:r>
      <w:r>
        <w:t xml:space="preserve">evaluations, is charged through the strict budget-accounting path</w:t>
      </w:r>
      <w:r>
        <w:t xml:space="preserve"> </w:t>
      </w:r>
      <w:r>
        <w:t xml:space="preserve">described in Section </w:t>
      </w:r>
      <w:r>
        <w:fldChar w:fldCharType="begin"/>
      </w:r>
      <w:r>
        <w:instrText xml:space="preserve"> REF ref_sec_algorithm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; the reference-faithful</w:t>
      </w:r>
      <w:r>
        <w:t xml:space="preserve"> </w:t>
      </w:r>
      <w:r>
        <w:t xml:space="preserve">comparator ports instead retain their original budget-crossing</w:t>
      </w:r>
      <w:r>
        <w:t xml:space="preserve"> </w:t>
      </w:r>
      <w:r>
        <w:t xml:space="preserve">semantics, evaluating the terminal batch in full and counting only its</w:t>
      </w:r>
      <w:r>
        <w:t xml:space="preserve"> </w:t>
      </w:r>
      <w:r>
        <w:t xml:space="preserve">in-budget prefix. No optimizer is therefore charged more than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; AGSK and APGSK additionally stop on reaching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target error, which ends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845</m:t>
        </m:r>
      </m:oMath>
      <w:r>
        <w:t xml:space="preserve"> </w:t>
      </w:r>
      <w:r>
        <w:t xml:space="preserve">of the primary evidence</w:t>
      </w:r>
      <w:r>
        <w:t xml:space="preserve"> </w:t>
      </w:r>
      <w:r>
        <w:t xml:space="preserve">release’s</w:t>
      </w:r>
      <w:r>
        <w:t xml:space="preserve"> </w:t>
      </w:r>
      <m:oMath>
        <m:r>
          <m:t>75</m:t>
        </m:r>
        <m:r>
          <m:rPr>
            <m:sty m:val="p"/>
          </m:rPr>
          <m:t>,</m:t>
        </m:r>
        <m:r>
          <m:t>250</m:t>
        </m:r>
      </m:oMath>
      <w:r>
        <w:t xml:space="preserve"> </w:t>
      </w:r>
      <w:r>
        <w:t xml:space="preserve">runs</w:t>
      </w:r>
      <w:r>
        <w:t xml:space="preserve"> </w:t>
      </w:r>
      <w:r>
        <w:t xml:space="preserve">(AGSK</w:t>
      </w:r>
      <w:r>
        <w:t xml:space="preserve"> </w:t>
      </w:r>
      <m:oMath>
        <m:r>
          <m:t>962</m:t>
        </m:r>
      </m:oMath>
      <w:r>
        <w:t xml:space="preserve"> </w:t>
      </w:r>
      <w:r>
        <w:t xml:space="preserve">and APGSK</w:t>
      </w:r>
      <w:r>
        <w:t xml:space="preserve"> </w:t>
      </w:r>
      <m:oMath>
        <m:r>
          <m:t>883</m:t>
        </m:r>
      </m:oMath>
      <w:r>
        <w:t xml:space="preserve">, summed over CEC2017 and CEC2013; by suite,</w:t>
      </w:r>
      <w:r>
        <w:t xml:space="preserve"> </w:t>
      </w:r>
      <m:oMath>
        <m:r>
          <m:t>742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103</m:t>
        </m:r>
      </m:oMath>
      <w:r>
        <w:t xml:space="preserve"> </w:t>
      </w:r>
      <w:r>
        <w:t xml:space="preserve">respectively) below the cap, while</w:t>
      </w:r>
      <w:r>
        <w:t xml:space="preserve"> </w:t>
      </w:r>
      <w:r>
        <w:t xml:space="preserve">the remaining five optimizers implement no such criterion and always consume</w:t>
      </w:r>
      <w:r>
        <w:t xml:space="preserve"> </w:t>
      </w:r>
      <w:r>
        <w:t xml:space="preserve">the full budget. That crossing falls only on the terminal</w:t>
      </w:r>
      <w:r>
        <w:t xml:space="preserve"> </w:t>
      </w:r>
      <w:r>
        <w:t xml:space="preserve">generation, so the uncounted rows enter no incumbent and no later state.</w:t>
      </w:r>
      <w:r>
        <w:t xml:space="preserve"> </w:t>
      </w:r>
      <w:r>
        <w:t xml:space="preserve">A controlled cell was constructed so that the budget is not a multiple of the</w:t>
      </w:r>
      <w:r>
        <w:t xml:space="preserve"> </w:t>
      </w:r>
      <w:r>
        <w:t xml:space="preserve">population, forcing the crossing for every optimizer that exhibits it.</w:t>
      </w:r>
      <w:r>
        <w:t xml:space="preserve"> </w:t>
      </w:r>
      <w:r>
        <w:t xml:space="preserve">Overwriting all such rows leaves the returned solution, its fitness and the</w:t>
      </w:r>
      <w:r>
        <w:t xml:space="preserve"> </w:t>
      </w:r>
      <w:r>
        <w:t xml:space="preserve">charged budget bit-identical for all seven. The inertness itself follows</w:t>
      </w:r>
      <w:r>
        <w:t xml:space="preserve"> </w:t>
      </w:r>
      <w:r>
        <w:t xml:space="preserve">structurally, from the prefix-only incumbent scan and immediate loop exit, so</w:t>
      </w:r>
      <w:r>
        <w:t xml:space="preserve"> </w:t>
      </w:r>
      <w:r>
        <w:t xml:space="preserve">the crossing confers no search advantage.</w:t>
      </w:r>
    </w:p>
    <w:p>
      <w:pPr>
        <w:pStyle w:val="BodyText"/>
      </w:pPr>
      <w:r>
        <w:t xml:space="preserve">Runs are budget-exact and</w:t>
      </w:r>
      <w:r>
        <w:t xml:space="preserve"> </w:t>
      </w:r>
      <w:r>
        <w:t xml:space="preserve">repeat-identical; byte-identical reproduction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requires</w:t>
      </w:r>
      <w:r>
        <w:t xml:space="preserve"> </w:t>
      </w:r>
      <w:r>
        <w:t xml:space="preserve">single-threaded numerical kernels (a fixed reduction order), and the</w:t>
      </w:r>
      <w:r>
        <w:t xml:space="preserve"> </w:t>
      </w:r>
      <w:r>
        <w:t xml:space="preserve">shipped runs use one compute thread per run, so the repeat-identical</w:t>
      </w:r>
      <w:r>
        <w:t xml:space="preserve"> </w:t>
      </w:r>
      <w:r>
        <w:t xml:space="preserve">property holds for them but is not guaranteed under a different thread</w:t>
      </w:r>
      <w:r>
        <w:t xml:space="preserve"> </w:t>
      </w:r>
      <w:r>
        <w:t xml:space="preserve">configuration. This determinism is established for DT-GSK in its</w:t>
      </w:r>
      <w:r>
        <w:t xml:space="preserve"> </w:t>
      </w:r>
      <w:r>
        <w:t xml:space="preserve">declared single-threaded environment; it is not claimed for the</w:t>
      </w:r>
      <w:r>
        <w:t xml:space="preserve"> </w:t>
      </w:r>
      <w:r>
        <w:t xml:space="preserve">comparator ports across producer commits, where a re-execution of the</w:t>
      </w:r>
      <w:r>
        <w:t xml:space="preserve"> </w:t>
      </w:r>
      <w:r>
        <w:t xml:space="preserve">six comparators was verified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reproduce the frozen</w:t>
      </w:r>
      <w:r>
        <w:t xml:space="preserve"> </w:t>
      </w:r>
      <w:r>
        <w:t xml:space="preserve">scientific columns exactly (a floating-point path shifted between the</w:t>
      </w:r>
      <w:r>
        <w:t xml:space="preserve"> </w:t>
      </w:r>
      <w:r>
        <w:t xml:space="preserve">producing commits, amplified on a minority of runs by the chaotic</w:t>
      </w:r>
      <w:r>
        <w:t xml:space="preserve"> </w:t>
      </w:r>
      <w:r>
        <w:t xml:space="preserve">search). The released evidence is unaffected — it is the archived</w:t>
      </w:r>
      <w:r>
        <w:t xml:space="preserve"> </w:t>
      </w:r>
      <w:r>
        <w:t xml:space="preserve">output of the original campaign — but a bit-identical re-timing of the</w:t>
      </w:r>
      <w:r>
        <w:t xml:space="preserve"> </w:t>
      </w:r>
      <w:r>
        <w:t xml:space="preserve">comparators under current code is not achievable, which is why the</w:t>
      </w:r>
      <w:r>
        <w:t xml:space="preserve"> </w:t>
      </w:r>
      <w:r>
        <w:t xml:space="preserve">runtime table is reported for DT-GSK only. Per-run raw</w:t>
      </w:r>
      <w:r>
        <w:t xml:space="preserve"> </w:t>
      </w:r>
      <w:r>
        <w:t xml:space="preserve">CSVs, seed schedules, and verification manifests ship with the</w:t>
      </w:r>
      <w:r>
        <w:t xml:space="preserve"> </w:t>
      </w:r>
      <w:r>
        <w:t xml:space="preserve">release (see the Data Availability statement).</w:t>
      </w:r>
    </w:p>
    <w:p>
      <w:pPr>
        <w:pStyle w:val="BodyText"/>
      </w:pPr>
      <w:r>
        <w:t xml:space="preserve">No generative-AI system designed or executed any experiment, and none</w:t>
      </w:r>
      <w:r>
        <w:t xml:space="preserve"> </w:t>
      </w:r>
      <w:r>
        <w:t xml:space="preserve">produced or computed any reported number; two large language models were</w:t>
      </w:r>
      <w:r>
        <w:t xml:space="preserve"> </w:t>
      </w:r>
      <w:r>
        <w:t xml:space="preserve">used for language editing, the drafting of descriptive prose, structural</w:t>
      </w:r>
      <w:r>
        <w:t xml:space="preserve"> </w:t>
      </w:r>
      <w:r>
        <w:t xml:space="preserve">and consistency review, and software-engineering support, as</w:t>
      </w:r>
      <w:r>
        <w:t xml:space="preserve"> </w:t>
      </w:r>
      <w:r>
        <w:t xml:space="preserve">declared in full in the back matter (Use of Generative Artificial</w:t>
      </w:r>
      <w:r>
        <w:t xml:space="preserve"> </w:t>
      </w:r>
      <w:r>
        <w:t xml:space="preserve">Intelligence).</w:t>
      </w:r>
    </w:p>
    <w:bookmarkEnd w:id="55"/>
    <w:bookmarkStart w:id="56" w:name="lbl_statistical_protocol"/>
    <w:p>
      <w:pPr>
        <w:pStyle w:val="Heading4"/>
      </w:pPr>
      <w:r>
        <w:t xml:space="preserve">Statistical protocol.</w:t>
      </w:r>
    </w:p>
    <w:p>
      <w:pPr>
        <w:pStyle w:val="FirstParagraph"/>
      </w:pPr>
      <w:r>
        <w:t xml:space="preserve">Hypotheses are stated once here. For each comparator and dimension,</w:t>
      </w:r>
      <w:r>
        <w:t xml:space="preserve"> </w:t>
      </w:r>
      <w:r>
        <w:t xml:space="preserve">a two-sided Wilcoxon signed-rank test </w:t>
      </w:r>
      <w:r>
        <w:fldChar w:fldCharType="begin"/>
      </w:r>
      <w:r>
        <w:instrText xml:space="preserve"> CITATION wilcoxon1945individual \l 1033 </w:instrText>
      </w:r>
      <w:r>
        <w:fldChar w:fldCharType="separate"/>
      </w:r>
      <w:r>
        <w:t xml:space="preserve">[35]</w:t>
      </w:r>
      <w:r>
        <w:fldChar w:fldCharType="end"/>
      </w:r>
      <w:r>
        <w:t xml:space="preserve"> </w:t>
      </w:r>
      <w:r>
        <w:t xml:space="preserve">is applied to the 29 paired per-function mean errors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the paired differences are symmetric about zero), with</w:t>
      </w:r>
      <w:r>
        <w:t xml:space="preserve"> </w:t>
      </w:r>
      <w:r>
        <w:t xml:space="preserve">Holm step-down correction </w:t>
      </w:r>
      <w:r>
        <w:fldChar w:fldCharType="begin"/>
      </w:r>
      <w:r>
        <w:instrText xml:space="preserve"> CITATION holm1979simple \l 1033 </w:instrText>
      </w:r>
      <w:r>
        <w:fldChar w:fldCharType="separate"/>
      </w:r>
      <w:r>
        <w:t xml:space="preserve">[36]</w:t>
      </w:r>
      <w:r>
        <w:fldChar w:fldCharType="end"/>
      </w:r>
      <w:r>
        <w:t xml:space="preserve"> across the</w:t>
      </w:r>
      <w:r>
        <w:t xml:space="preserve"> </w:t>
      </w:r>
      <w:r>
        <w:t xml:space="preserve">six simultaneous comparators at that dimension 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</w:t>
      </w:r>
      <w:r>
        <w:t xml:space="preserve"> </w:t>
      </w:r>
      <w:r>
        <w:t xml:space="preserve">Win/tie/loss counts use the tie rule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— the same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the suite uses to floor errors to zero, here applied to the</w:t>
      </w:r>
      <w:r>
        <w:t xml:space="preserve"> </w:t>
      </w:r>
      <w:r>
        <w:t xml:space="preserve">per-function mean difference. This single absolute band is a coarse</w:t>
      </w:r>
      <w:r>
        <w:t xml:space="preserve"> </w:t>
      </w:r>
      <w:r>
        <w:t xml:space="preserve">convention across functions of very different scales, so the win/tie/loss</w:t>
      </w:r>
      <w:r>
        <w:t xml:space="preserve"> </w:t>
      </w:r>
      <w:r>
        <w:t xml:space="preserve">tallies are a</w:t>
      </w:r>
      <w:r>
        <w:t xml:space="preserve"> </w:t>
      </w:r>
      <w:r>
        <w:rPr>
          <w:i/>
          <w:iCs/>
        </w:rPr>
        <w:t xml:space="preserve">descriptive</w:t>
      </w:r>
      <w:r>
        <w:t xml:space="preserve"> </w:t>
      </w:r>
      <w:r>
        <w:t xml:space="preserve">companion only. The Friedman test ranks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function and is therefore invariant to per-function scale;</w:t>
      </w:r>
      <w:r>
        <w:t xml:space="preserve"> </w:t>
      </w:r>
      <w:r>
        <w:t xml:space="preserve">the Wilcoxon signed-rank test, applied here across per-function mean</w:t>
      </w:r>
      <w:r>
        <w:t xml:space="preserve"> </w:t>
      </w:r>
      <w:r>
        <w:t xml:space="preserve">differences, ranks the absolute differences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functions and is</w:t>
      </w:r>
      <w:r>
        <w:t xml:space="preserve"> </w:t>
      </w:r>
      <w:r>
        <w:t xml:space="preserve">accordingly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scale-invariant — functions with larger numerical</w:t>
      </w:r>
      <w:r>
        <w:t xml:space="preserve"> </w:t>
      </w:r>
      <w:r>
        <w:t xml:space="preserve">ranges carry more weight in it. This cross-function scale heterogeneity is a</w:t>
      </w:r>
      <w:r>
        <w:t xml:space="preserve"> </w:t>
      </w:r>
      <w:r>
        <w:t xml:space="preserve">genuine limitation</w:t>
      </w:r>
      <w:r>
        <w:t xml:space="preserve"> </w:t>
      </w:r>
      <w:r>
        <w:t xml:space="preserve">of the paired test, and is one reason the Friedman ranking is treated as the</w:t>
      </w:r>
      <w:r>
        <w:t xml:space="preserve"> </w:t>
      </w:r>
      <w:r>
        <w:t xml:space="preserve">primary aggregate. Every</w:t>
      </w:r>
      <w:r>
        <w:t xml:space="preserve"> </w:t>
      </w:r>
      <w:r>
        <w:t xml:space="preserve">test is accompanied by its</w:t>
      </w:r>
      <w:r>
        <w:t xml:space="preserve"> </w:t>
      </w:r>
      <w:r>
        <w:rPr>
          <w:i/>
          <w:iCs/>
        </w:rPr>
        <w:t xml:space="preserve">aligned</w:t>
      </w:r>
      <w:r>
        <w:t xml:space="preserve"> </w:t>
      </w:r>
      <w:r>
        <w:t xml:space="preserve">effect size: because the</w:t>
      </w:r>
      <w:r>
        <w:t xml:space="preserve"> </w:t>
      </w:r>
      <w:r>
        <w:t xml:space="preserve">across-function test is a matched-pairs Wilcoxon, the tabulated effect size is</w:t>
      </w:r>
      <w:r>
        <w:t xml:space="preserve"> </w:t>
      </w:r>
      <w:r>
        <w:t xml:space="preserve">the matched-pairs rank-biserial correlation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rank sum of the</w:t>
      </w:r>
      <w:r>
        <w:t xml:space="preserve"> </w:t>
      </w:r>
      <w:r>
        <w:t xml:space="preserve">comparisons favoring DT-GSK, so that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favors DT-GSK. (The released</w:t>
      </w:r>
      <w:r>
        <w:t xml:space="preserve"> </w:t>
      </w:r>
      <w:r>
        <w:t xml:space="preserve">workbook stores the same quantity under the mirrored column names</w:t>
      </w:r>
      <w:r>
        <w:t xml:space="preserve"> </w:t>
      </w:r>
      <w:r>
        <w:t xml:space="preserve">w_plus/w_minus, whose roles are exchanged relative to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 Its rank_biserial column already carries the sign</w:t>
      </w:r>
      <w:r>
        <w:t xml:space="preserve"> </w:t>
      </w:r>
      <w:r>
        <w:t xml:space="preserve">convention used here.) The</w:t>
      </w:r>
      <w:r>
        <w:t xml:space="preserve"> </w:t>
      </w:r>
      <w:r>
        <w:t xml:space="preserve">unpaired Vargha–Delaney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 </w:t>
      </w:r>
      <w:r>
        <w:fldChar w:fldCharType="begin"/>
      </w:r>
      <w:r>
        <w:instrText xml:space="preserve"> CITATION vargha2000critique \l 1033 </w:instrText>
      </w:r>
      <w:r>
        <w:fldChar w:fldCharType="separate"/>
      </w:r>
      <w:r>
        <w:t xml:space="preserve">[37]</w:t>
      </w:r>
      <w:r>
        <w:fldChar w:fldCharType="end"/>
      </w:r>
      <w:r>
        <w:t xml:space="preserve"> (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favors DT-GSK; the conventional 0.56/0.64/0.71 guidelines label magnitudes)</w:t>
      </w:r>
      <w:r>
        <w:t xml:space="preserve"> </w:t>
      </w:r>
      <w:r>
        <w:t xml:space="preserve">is retained as a descriptive companion in the released workbooks. Zero differences under the tie rule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are discarded before ranking</w:t>
      </w:r>
      <w:r>
        <w:t xml:space="preserve"> </w:t>
      </w:r>
      <w:r>
        <w:t xml:space="preserve">(zero_method=</w:t>
      </w:r>
      <w:r>
        <w:t xml:space="preserve">‘wilcox’</w:t>
      </w:r>
      <w:r>
        <w:t xml:space="preserve">), and the reported</w:t>
      </w:r>
      <w:r>
        <w:t xml:space="preserve"> </w:t>
      </w:r>
      <m:oMath>
        <m:r>
          <m:t>p</m:t>
        </m:r>
      </m:oMath>
      <w:r>
        <w:t xml:space="preserve">-values are produced by</w:t>
      </w:r>
      <w:r>
        <w:t xml:space="preserve"> </w:t>
      </w:r>
      <w:r>
        <w:t xml:space="preserve">this repository’s own pure-</w:t>
      </w:r>
      <w:r>
        <w:rPr>
          <w:smallCaps/>
        </w:rPr>
        <w:t xml:space="preserve">NumPy</w:t>
      </w:r>
      <w:r>
        <w:t xml:space="preserve"> </w:t>
      </w:r>
      <w:r>
        <w:t xml:space="preserve">wilcoxon_paired routine</w:t>
      </w:r>
      <w:r>
        <w:t xml:space="preserve"> </w:t>
      </w:r>
      <w:r>
        <w:t xml:space="preserve">using the normal approximation with continuity correction. That routine is</w:t>
      </w:r>
      <w:r>
        <w:t xml:space="preserve"> </w:t>
      </w:r>
      <w:r>
        <w:t xml:space="preserve">cross-checked against scipy.stats.wilcoxon</w:t>
      </w:r>
      <w:r>
        <w:t xml:space="preserve"> </w:t>
      </w:r>
      <w:r>
        <w:t xml:space="preserve">(zero_method=</w:t>
      </w:r>
      <w:r>
        <w:t xml:space="preserve">‘wilcox’</w:t>
      </w:r>
      <w:r>
        <w:t xml:space="preserve">, correction=True,</w:t>
      </w:r>
      <w:r>
        <w:t xml:space="preserve"> </w:t>
      </w:r>
      <w:r>
        <w:t xml:space="preserve">method=</w:t>
      </w:r>
      <w:r>
        <w:t xml:space="preserve">‘approx’</w:t>
      </w:r>
      <w:r>
        <w:t xml:space="preserve">) in the released cross_check.json; of the</w:t>
      </w:r>
      <w:r>
        <w:t xml:space="preserve"> </w:t>
      </w:r>
      <w:r>
        <w:t xml:space="preserve">three audited cells, the two with a defined statistic agree on it to a</w:t>
      </w:r>
      <w:r>
        <w:t xml:space="preserve"> </w:t>
      </w:r>
      <w:r>
        <w:t xml:space="preserve">relative tolerance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and on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decision, the</w:t>
      </w:r>
      <w:r>
        <w:t xml:space="preserve"> </w:t>
      </w:r>
      <w:r>
        <w:t xml:space="preserve">third is degenerate (every paired difference inside the tie band) and is</w:t>
      </w:r>
      <w:r>
        <w:t xml:space="preserve"> </w:t>
      </w:r>
      <w:r>
        <w:t xml:space="preserve">recorded 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convention, and any disagreement would have failed</w:t>
      </w:r>
      <w:r>
        <w:t xml:space="preserve"> </w:t>
      </w:r>
      <w:r>
        <w:t xml:space="preserve">the release gate.</w:t>
      </w:r>
      <w:r>
        <w:t xml:space="preserve"> </w:t>
      </w:r>
      <w:r>
        <w:t xml:space="preserve">The effective post-zero sample sizes are recorded in the released</w:t>
      </w:r>
      <w:r>
        <w:t xml:space="preserve"> </w:t>
      </w:r>
      <w:r>
        <w:t xml:space="preserve">per-comparison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workbooks. The released-workbook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computed over the 29 per-function mean errors — the same unit as the</w:t>
      </w:r>
      <w:r>
        <w:t xml:space="preserve"> </w:t>
      </w:r>
      <w:r>
        <w:t xml:space="preserve">across-function Wilcoxon — and is therefore an</w:t>
      </w:r>
      <w:r>
        <w:t xml:space="preserve"> </w:t>
      </w:r>
      <w:r>
        <w:rPr>
          <w:i/>
          <w:iCs/>
        </w:rPr>
        <w:t xml:space="preserve">unpaired</w:t>
      </w:r>
      <w:r>
        <w:t xml:space="preserve"> </w:t>
      </w:r>
      <w:r>
        <w:t xml:space="preserve">distributional effect size, distinct from the run-level Vargha–Delaney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in the released effect-size workbook; the 0.56/0.64/0.71</w:t>
      </w:r>
      <w:r>
        <w:t xml:space="preserve"> </w:t>
      </w:r>
      <w:r>
        <w:t xml:space="preserve">thresholds are applied here as descriptive labels on that function-mean</w:t>
      </w:r>
      <w:r>
        <w:t xml:space="preserve"> </w:t>
      </w:r>
      <w:r>
        <w:t xml:space="preserve">summary. The released per-comparison workbooks carry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alongside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for every comparison, with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retained as the descriptive</w:t>
      </w:r>
      <w:r>
        <w:t xml:space="preserve"> </w:t>
      </w:r>
      <w:r>
        <w:t xml:space="preserve">distributional companion.</w:t>
      </w:r>
    </w:p>
    <w:p>
      <w:pPr>
        <w:pStyle w:val="BodyText"/>
      </w:pPr>
      <w:r>
        <w:t xml:space="preserve">For the multi-algorithm view, a Friedman</w:t>
      </w:r>
      <w:r>
        <w:t xml:space="preserve"> </w:t>
      </w:r>
      <w:r>
        <w:t xml:space="preserve">test </w:t>
      </w:r>
      <w:r>
        <w:fldChar w:fldCharType="begin"/>
      </w:r>
      <w:r>
        <w:instrText xml:space="preserve"> CITATION friedman1937use \l 1033 </w:instrText>
      </w:r>
      <w:r>
        <w:fldChar w:fldCharType="separate"/>
      </w:r>
      <w:r>
        <w:t xml:space="preserve">[38]</w:t>
      </w:r>
      <w:r>
        <w:fldChar w:fldCharType="end"/>
      </w:r>
      <w:r>
        <w:t xml:space="preserve"> with the Iman–Davenport correction </w:t>
      </w:r>
      <w:r>
        <w:fldChar w:fldCharType="begin"/>
      </w:r>
      <w:r>
        <w:instrText xml:space="preserve"> CITATION demsar2006statistical \l 1033 </w:instrText>
      </w:r>
      <w:r>
        <w:fldChar w:fldCharType="separate"/>
      </w:r>
      <w:r>
        <w:t xml:space="preserve">[39]</w:t>
      </w:r>
      <w:r>
        <w:fldChar w:fldCharType="end"/>
      </w:r>
      <w:r>
        <w:t xml:space="preserve"> is</w:t>
      </w:r>
      <w:r>
        <w:t xml:space="preserve"> </w:t>
      </w:r>
      <w:r>
        <w:t xml:space="preserve">run per dimension over the per-function mean errors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w:r>
        <w:t xml:space="preserve">seven algorithms have equal mean ranks). Only where the</w:t>
      </w:r>
      <w:r>
        <w:t xml:space="preserve"> </w:t>
      </w:r>
      <w:r>
        <w:t xml:space="preserve">omnibus is significant does a Nemenyi critical-difference (CD)</w:t>
      </w:r>
      <w:r>
        <w:t xml:space="preserve"> </w:t>
      </w:r>
      <w:r>
        <w:t xml:space="preserve">analysis </w:t>
      </w:r>
      <w:r>
        <w:fldChar w:fldCharType="begin"/>
      </w:r>
      <w:r>
        <w:instrText xml:space="preserve"> CITATION demsar2006statistical \l 1033 </w:instrText>
      </w:r>
      <w:r>
        <w:fldChar w:fldCharType="separate"/>
      </w:r>
      <w:r>
        <w:t xml:space="preserve">[39]</w:t>
      </w:r>
      <w:r>
        <w:fldChar w:fldCharType="end"/>
      </w:r>
      <w:r>
        <w:t xml:space="preserve"> follow. It is rendered as mean-rank plots</w:t>
      </w:r>
      <w:r>
        <w:t xml:space="preserve"> </w:t>
      </w:r>
      <w:r>
        <w:t xml:space="preserve">annotated with the CD reference span rather than the clique-connected</w:t>
      </w:r>
      <w:r>
        <w:t xml:space="preserve"> </w:t>
      </w:r>
      <w:r>
        <w:t xml:space="preserve">diagram form, and non-separable groups are identified in the text. Bias-corrected</w:t>
      </w:r>
      <w:r>
        <w:t xml:space="preserve"> </w:t>
      </w:r>
      <w:r>
        <w:t xml:space="preserve">and accelerated (BCa) bootstrap intervals </w:t>
      </w:r>
      <w:r>
        <w:fldChar w:fldCharType="begin"/>
      </w:r>
      <w:r>
        <w:instrText xml:space="preserve"> CITATION efron1993introduction \l 1033 </w:instrText>
      </w:r>
      <w:r>
        <w:fldChar w:fldCharType="separate"/>
      </w:r>
      <w:r>
        <w:t xml:space="preserve">[40]</w:t>
      </w:r>
      <w:r>
        <w:fldChar w:fldCharType="end"/>
      </w:r>
      <w:r>
        <w:t xml:space="preserve"> </w:t>
      </w:r>
      <w:r>
        <w:t xml:space="preserve">accompany the mean ranks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 seeded); because</w:t>
      </w:r>
      <w:r>
        <w:t xml:space="preserve"> </w:t>
      </w:r>
      <w:r>
        <w:t xml:space="preserve">they resample each algorithm’s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per-function midranks rather than</w:t>
      </w:r>
      <w:r>
        <w:t xml:space="preserve"> </w:t>
      </w:r>
      <w:r>
        <w:t xml:space="preserve">re-ranking the algorithms within every bootstrap sample, they are reported as</w:t>
      </w:r>
      <w:r>
        <w:t xml:space="preserve"> </w:t>
      </w:r>
      <w:r>
        <w:rPr>
          <w:i/>
          <w:iCs/>
        </w:rPr>
        <w:t xml:space="preserve">descriptive</w:t>
      </w:r>
      <w:r>
        <w:t xml:space="preserve"> </w:t>
      </w:r>
      <w:r>
        <w:t xml:space="preserve">rank-stability intervals, not inferential rank-uncertainty</w:t>
      </w:r>
      <w:r>
        <w:t xml:space="preserve"> </w:t>
      </w:r>
      <w:r>
        <w:t xml:space="preserve">intervals.</w:t>
      </w:r>
      <w:r>
        <w:t xml:space="preserve"> </w:t>
      </w:r>
      <w:r>
        <w:t xml:space="preserve">Dimensions are never pooled into a single test. Decision symbols are</w:t>
      </w:r>
      <w:r>
        <w:t xml:space="preserve"> </w:t>
      </w:r>
      <w:r>
        <w:t xml:space="preserve">derived mechanically from corrected</w:t>
      </w:r>
      <w:r>
        <w:t xml:space="preserve"> </w:t>
      </w:r>
      <m:oMath>
        <m:r>
          <m:t>p</m:t>
        </m:r>
      </m:oMath>
      <w:r>
        <w:t xml:space="preserve">-values, and</w:t>
      </w:r>
      <w:r>
        <w:t xml:space="preserve"> </w:t>
      </w:r>
      <m:oMath>
        <m:r>
          <m:t>p</m:t>
        </m:r>
      </m:oMath>
      <w:r>
        <w:t xml:space="preserve">-values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are reported as bounded, never as</w:t>
      </w:r>
      <w:r>
        <w:t xml:space="preserve"> </w:t>
      </w:r>
      <w:r>
        <w:t xml:space="preserve">“0.0000”</w:t>
      </w:r>
      <w:r>
        <w:t xml:space="preserve">. The test statistics are computed by this repository’s own analysis module and</w:t>
      </w:r>
      <w:r>
        <w:t xml:space="preserve"> </w:t>
      </w:r>
      <w:r>
        <w:t xml:space="preserve">validated against scipy.stats (SciPy 1.15.3), which is used directly</w:t>
      </w:r>
      <w:r>
        <w:t xml:space="preserve"> </w:t>
      </w:r>
      <w:r>
        <w:t xml:space="preserve">only for distribution tails. The Friedman statistic uses the tie-corrected</w:t>
      </w:r>
      <w:r>
        <w:t xml:space="preserve"> </w:t>
      </w:r>
      <w:r>
        <w:t xml:space="preserve">rank variance that underlies the Iman–Davenport</w:t>
      </w:r>
      <w:r>
        <w:t xml:space="preserve"> </w:t>
      </w:r>
      <m:oMath>
        <m:r>
          <m:t>F</m:t>
        </m:r>
      </m:oMath>
      <w:r>
        <w:t xml:space="preserve">, with scipy.stats</w:t>
      </w:r>
      <w:r>
        <w:t xml:space="preserve"> </w:t>
      </w:r>
      <w:r>
        <w:t xml:space="preserve">supplying the</w:t>
      </w:r>
      <w:r>
        <w:t xml:space="preserve"> </w:t>
      </w:r>
      <m:oMath>
        <m:r>
          <m:t>F</m:t>
        </m:r>
      </m:oMath>
      <w:r>
        <w:t xml:space="preserve">-distribution tail. The Wilcoxon</w:t>
      </w:r>
      <w:r>
        <w:t xml:space="preserve"> </w:t>
      </w:r>
      <m:oMath>
        <m:r>
          <m:t>p</m:t>
        </m:r>
      </m:oMath>
      <w:r>
        <w:t xml:space="preserve">-values come from the</w:t>
      </w:r>
      <w:r>
        <w:t xml:space="preserve"> </w:t>
      </w:r>
      <w:r>
        <w:t xml:space="preserve">in-repo wilcoxon_paired routine (normal approximation with continuity</w:t>
      </w:r>
      <w:r>
        <w:t xml:space="preserve"> </w:t>
      </w:r>
      <w:r>
        <w:t xml:space="preserve">correction), cross-checked against scipy.stats.wilcoxon as recorded</w:t>
      </w:r>
      <w:r>
        <w:t xml:space="preserve"> </w:t>
      </w:r>
      <w:r>
        <w:t xml:space="preserve">in the released cross_check.json. The Nemenyi critical difference uses the tabulated</w:t>
      </w:r>
      <w:r>
        <w:t xml:space="preserve"> </w:t>
      </w:r>
      <m:oMath>
        <m:sSub>
          <m:e>
            <m:r>
              <m:t>q</m:t>
            </m:r>
          </m:e>
          <m:sub>
            <m:r>
              <m:t>0.05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2.949</m:t>
        </m:r>
      </m:oMath>
      <w:r>
        <w:t xml:space="preserve"> </w:t>
      </w:r>
      <w:r>
        <w:t xml:space="preserve">of </w:t>
      </w:r>
      <w:r>
        <w:fldChar w:fldCharType="begin"/>
      </w:r>
      <w:r>
        <w:instrText xml:space="preserve"> CITATION demsar2006statistical \l 1033 </w:instrText>
      </w:r>
      <w:r>
        <w:fldChar w:fldCharType="separate"/>
      </w:r>
      <w:r>
        <w:t xml:space="preserve">[39]</w:t>
      </w:r>
      <w:r>
        <w:fldChar w:fldCharType="end"/>
      </w:r>
      <w:r>
        <w:t xml:space="preserve">, not a</w:t>
      </w:r>
      <w:r>
        <w:t xml:space="preserve"> </w:t>
      </w:r>
      <w:r>
        <w:rPr>
          <w:smallCaps/>
        </w:rPr>
        <w:t xml:space="preserve">SciPy</w:t>
      </w:r>
      <w:r>
        <w:t xml:space="preserve"> </w:t>
      </w:r>
      <w:r>
        <w:t xml:space="preserve">studentized-range call. The correction</w:t>
      </w:r>
      <w:r>
        <w:t xml:space="preserve"> </w:t>
      </w:r>
      <w:r>
        <w:t xml:space="preserve">is material: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success floor maps distinct outcomes onto</w:t>
      </w:r>
      <w:r>
        <w:t xml:space="preserve"> </w:t>
      </w:r>
      <w:r>
        <w:t xml:space="preserve">exactly</w:t>
      </w:r>
      <w:r>
        <w:t xml:space="preserve"> </w:t>
      </w:r>
      <m:oMath>
        <m:r>
          <m:t>0</m:t>
        </m:r>
      </m:oMath>
      <w:r>
        <w:t xml:space="preserve">, so exact ties concentrate in the low-dimensional panels</w:t>
      </w:r>
      <w:r>
        <w:t xml:space="preserve"> </w:t>
      </w:r>
      <w:r>
        <w:t xml:space="preserve">(correction factor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0.890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covering 9 of 29 functions,</w:t>
      </w:r>
      <w:r>
        <w:t xml:space="preserve"> </w:t>
      </w:r>
      <w:r>
        <w:t xml:space="preserve">and</w:t>
      </w:r>
      <w:r>
        <w:t xml:space="preserve"> </w:t>
      </w:r>
      <m:oMath>
        <m:r>
          <m:t>0.979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;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where</w:t>
      </w:r>
      <w:r>
        <w:t xml:space="preserve"> </w:t>
      </w:r>
      <w:r>
        <w:t xml:space="preserve">no ties occur). Because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correction can only increase the</w:t>
      </w:r>
      <w:r>
        <w:t xml:space="preserve"> </w:t>
      </w:r>
      <w:r>
        <w:t xml:space="preserve">statistic, and it leaves the mean ranks untouched; every omnibus decision,</w:t>
      </w:r>
      <w:r>
        <w:t xml:space="preserve"> </w:t>
      </w:r>
      <w:r>
        <w:t xml:space="preserve">rank, and effect direction reported here is identical under the corrected</w:t>
      </w:r>
      <w:r>
        <w:t xml:space="preserve"> </w:t>
      </w:r>
      <w:r>
        <w:t xml:space="preserve">and uncorrected forms. Both are released per panel in</w:t>
      </w:r>
      <w:r>
        <w:t xml:space="preserve"> </w:t>
      </w:r>
      <w:r>
        <w:t xml:space="preserve">friedman_ranks_*.csv so the correction can be checked directly.</w:t>
      </w:r>
    </w:p>
    <w:p>
      <w:pPr>
        <w:pStyle w:val="BodyText"/>
      </w:pPr>
      <w:r>
        <w:t xml:space="preserve">The complete</w:t>
      </w:r>
      <w:r>
        <w:t xml:space="preserve"> </w:t>
      </w:r>
      <w:r>
        <w:t xml:space="preserve">per-comparison workbooks — including signed-rank sums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/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per-function detail — are released with the reproducibility bundle</w:t>
      </w:r>
      <w:r>
        <w:t xml:space="preserve"> </w:t>
      </w:r>
      <w:r>
        <w:t xml:space="preserve">(they accompany the analysis scripts and are not typeset in the supplement).</w:t>
      </w:r>
    </w:p>
    <w:bookmarkEnd w:id="56"/>
    <w:bookmarkEnd w:id="57"/>
    <w:bookmarkStart w:id="71" w:name="lbl_sec_exp_cec2017"/>
    <w:p>
      <w:pPr>
        <w:pStyle w:val="Heading2"/>
      </w:pPr>
      <w:bookmarkStart w:id="197" w:name="ref_sec_exp_cec2017"/>
      <w:r>
        <w:t xml:space="preserve">4.2.</w:t>
      </w:r>
      <w:bookmarkEnd w:id="197"/>
      <w:r>
        <w:tab/>
      </w:r>
      <w:r>
        <w:t xml:space="preserve"> Results on the CEC2017 Primary Suite</w:t>
      </w:r>
    </w:p>
    <w:bookmarkStart w:id="58" w:name="lbl_sec_exp_cec2017_desc"/>
    <w:p>
      <w:pPr>
        <w:pStyle w:val="Heading3"/>
      </w:pPr>
      <w:bookmarkStart w:id="198" w:name="ref_sec_exp_cec2017_desc"/>
      <w:r>
        <w:t xml:space="preserve">4.2.1.</w:t>
      </w:r>
      <w:bookmarkEnd w:id="198"/>
      <w:r>
        <w:tab/>
      </w:r>
      <w:r>
        <w:t xml:space="preserve"> Per-Function Results</w:t>
      </w:r>
    </w:p>
    <w:p>
      <w:pPr>
        <w:pStyle w:val="FirstParagraph"/>
      </w:pPr>
      <w:r>
        <w:t xml:space="preserve">The complete per-function tables are provided at every dimension in</w:t>
      </w:r>
      <w:r>
        <w:t xml:space="preserve"> </w:t>
      </w:r>
      <w:r>
        <w:t xml:space="preserve">Supplementary Materials, Sections S1 and S2. Section S1 carries the</w:t>
      </w:r>
      <w:r>
        <w:t xml:space="preserve"> </w:t>
      </w:r>
      <w:r>
        <w:t xml:space="preserve">seven-algorithm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panels for DT-GSK and all six comparators;</w:t>
      </w:r>
      <w:r>
        <w:t xml:space="preserve"> </w:t>
      </w:r>
      <w:r>
        <w:t xml:space="preserve">Section S2 carries the five-statistic detail (best/median/worst/mean/SD over 51</w:t>
      </w:r>
      <w:r>
        <w:t xml:space="preserve"> </w:t>
      </w:r>
      <w:r>
        <w:t xml:space="preserve">runs) for the DT-GSK-versus-GSK head-to-head. The main text carries the panel-level summaries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ref_tab_friedman_cec2017 \h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) and the inferential statistics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ref_tab_wilcoxon_holm \h </w:instrText>
      </w:r>
      <w:r>
        <w:fldChar w:fldCharType="separate"/>
      </w:r>
      <w:r>
        <w:t xml:space="preserve">15</w:t>
      </w:r>
      <w:r>
        <w:fldChar w:fldCharType="end"/>
      </w:r>
      <w:r>
        <w:t xml:space="preserve">) so that the central comparative</w:t>
      </w:r>
      <w:r>
        <w:t xml:space="preserve"> </w:t>
      </w:r>
      <w:r>
        <w:t xml:space="preserve">claims are auditable without the supplement.</w:t>
      </w:r>
      <w:r>
        <w:t xml:space="preserve"> </w:t>
      </w:r>
      <w:r>
        <w:t xml:space="preserve">Against the original GSK, DT-GSK’s per-function win/tie/loss</w:t>
      </w:r>
      <w:r>
        <w:t xml:space="preserve"> </w:t>
      </w:r>
      <w:r>
        <w:t xml:space="preserve">records are 22–4–3, 19–2–8, 22–0–7, and 20–0–9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.</w:t>
      </w:r>
    </w:p>
    <w:p>
      <w:pPr>
        <w:pStyle w:val="BodyText"/>
      </w:pPr>
      <w:r>
        <w:t xml:space="preserve">By function class, the pattern is dimension-dependent. On the hybrid</w:t>
      </w:r>
      <w:r>
        <w:t xml:space="preserve"> </w:t>
      </w:r>
      <w:r>
        <w:t xml:space="preserve">functions (F11–F20) DT-GSK attains the best or equal-best class</w:t>
      </w:r>
      <w:r>
        <w:t xml:space="preserve"> </w:t>
      </w:r>
      <w:r>
        <w:t xml:space="preserve">mean rank in the panel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30</m:t>
        </m:r>
      </m:oMath>
      <w:r>
        <w:t xml:space="preserve">, scoring 1.60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(equal with</w:t>
      </w:r>
      <w:r>
        <w:t xml:space="preserve"> </w:t>
      </w:r>
      <w:r>
        <w:t xml:space="preserve">eGSK), 1.80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and 2.30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(again equal with eGSK).</w:t>
      </w:r>
    </w:p>
    <w:p>
      <w:pPr>
        <w:pStyle w:val="BodyText"/>
      </w:pPr>
      <w:r>
        <w:t xml:space="preserve">On the simple multimodal functions (F4–F10) it holds the best</w:t>
      </w:r>
      <w:r>
        <w:t xml:space="preserve"> </w:t>
      </w:r>
      <w:r>
        <w:t xml:space="preserve">class mean rank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(2.07, 2.29, 1.71), but</w:t>
      </w:r>
      <w:r>
        <w:t xml:space="preserve"> </w:t>
      </w:r>
      <w:r>
        <w:t xml:space="preserve">stands second behind 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(3.29 vs. 2.43).</w:t>
      </w:r>
    </w:p>
    <w:p>
      <w:pPr>
        <w:pStyle w:val="BodyText"/>
      </w:pPr>
      <w:r>
        <w:t xml:space="preserve">The composition functions (F21–F30) are the least favorable class at</w:t>
      </w:r>
      <w:r>
        <w:t xml:space="preserve"> </w:t>
      </w:r>
      <w:r>
        <w:t xml:space="preserve">low dimension: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DT-GSK’s class mean rank is 3.70,</w:t>
      </w:r>
      <w:r>
        <w:t xml:space="preserve"> </w:t>
      </w:r>
      <w:r>
        <w:t xml:space="preserve">behind APGSK (2.65), FDB-AGSK (2.75), and AGSK (2.90),</w:t>
      </w:r>
      <w:r>
        <w:t xml:space="preserve"> </w:t>
      </w:r>
      <w:r>
        <w:t xml:space="preserve">whereas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it leads the class (2.50) and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it is second behind eGSK (2.85 vs. 2.45 and</w:t>
      </w:r>
      <w:r>
        <w:t xml:space="preserve"> </w:t>
      </w:r>
      <w:r>
        <w:t xml:space="preserve">2.90 vs. 2.70).</w:t>
      </w:r>
    </w:p>
    <w:bookmarkEnd w:id="58"/>
    <w:bookmarkStart w:id="63" w:name="lbl_sec_exp_cec2017_panel"/>
    <w:p>
      <w:pPr>
        <w:pStyle w:val="Heading3"/>
      </w:pPr>
      <w:bookmarkStart w:id="199" w:name="ref_sec_exp_cec2017_panel"/>
      <w:r>
        <w:t xml:space="preserve">4.2.2.</w:t>
      </w:r>
      <w:bookmarkEnd w:id="199"/>
      <w:r>
        <w:tab/>
      </w:r>
      <w:r>
        <w:t xml:space="preserve"> Family-Panel Comparison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ref_tab_friedman_cec2017 \h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 reports the Friedman mean ranks of</w:t>
      </w:r>
      <w:r>
        <w:t xml:space="preserve"> </w:t>
      </w:r>
      <w:r>
        <w:t xml:space="preserve">the seven-algorithm panel per dimension (its final column gives the</w:t>
      </w:r>
      <w:r>
        <w:t xml:space="preserve"> </w:t>
      </w:r>
      <w:r>
        <w:t xml:space="preserve">overall aggregate), with the companion per-dimension bar chart in</w:t>
      </w:r>
      <w:r>
        <w:t xml:space="preserve"> </w:t>
      </w:r>
      <w:r>
        <w:t xml:space="preserve">Figure </w:t>
      </w:r>
      <w:r>
        <w:fldChar w:fldCharType="begin"/>
      </w:r>
      <w:r>
        <w:instrText xml:space="preserve"> REF ref_fig_cec2017_ranks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; an overall-aggregate bar view and a</w:t>
      </w:r>
      <w:r>
        <w:t xml:space="preserve"> </w:t>
      </w:r>
      <w:r>
        <w:t xml:space="preserve">rank-versus-dimension trend plot are provided in the Supplementary</w:t>
      </w:r>
      <w:r>
        <w:t xml:space="preserve"> </w:t>
      </w:r>
      <w:r>
        <w:t xml:space="preserve">Materials. Within the</w:t>
      </w:r>
      <w:r>
        <w:t xml:space="preserve"> </w:t>
      </w:r>
      <w:r>
        <w:t xml:space="preserve">GSK-family panel, DT-GSK attains the best Friedman mean rank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(2.88),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(2.21),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(2.34), and the</w:t>
      </w:r>
      <w:r>
        <w:t xml:space="preserve"> </w:t>
      </w:r>
      <w:r>
        <w:t xml:space="preserve">second-best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(2.50), behind eGSK (2.29); the</w:t>
      </w:r>
      <w:r>
        <w:t xml:space="preserve"> </w:t>
      </w:r>
      <w:r>
        <w:t xml:space="preserve">Friedman–Iman–Davenport omnibus is significant at every dimension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≤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The favorable ranks coexist with losing head-to-head records against</w:t>
      </w:r>
      <w:r>
        <w:t xml:space="preserve"> </w:t>
      </w:r>
      <w:r>
        <w:t xml:space="preserve">eGSK: the per-function win/tie/loss is 11–2–16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13–0–16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and 12–0–17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so the first</w:t>
      </w:r>
      <w:r>
        <w:t xml:space="preserve"> </w:t>
      </w:r>
      <w:r>
        <w:t xml:space="preserve">places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are earned by consistency against the whole</w:t>
      </w:r>
      <w:r>
        <w:t xml:space="preserve"> </w:t>
      </w:r>
      <w:r>
        <w:t xml:space="preserve">panel, not by dominating eGSK.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“Overall”</w:t>
      </w:r>
      <w:r>
        <w:t xml:space="preserve"> </w:t>
      </w:r>
      <w:r>
        <w:t xml:space="preserve">column (2.48 for DT-GSK, best of 7; eGSK second</w:t>
      </w:r>
      <w:r>
        <w:t xml:space="preserve"> </w:t>
      </w:r>
      <w:r>
        <w:t xml:space="preserve">at 2.96) is the unweighted mean of the four per-dimension Friedman</w:t>
      </w:r>
      <w:r>
        <w:t xml:space="preserve"> </w:t>
      </w:r>
      <w:r>
        <w:t xml:space="preserve">mean ranks — a descriptive aggregation with no cross-dimension test</w:t>
      </w:r>
      <w:r>
        <w:t xml:space="preserve"> </w:t>
      </w:r>
      <w:r>
        <w:t xml:space="preserve">attached. The Iman–Davenport correction applies to each</w:t>
      </w:r>
      <w:r>
        <w:t xml:space="preserve"> </w:t>
      </w:r>
      <w:r>
        <w:t xml:space="preserve">per-dimension omnibus, not to the overall row.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00" w:name="ref_tab_friedman_cec2017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14</w:t>
      </w:r>
      <w:r>
        <w:fldChar w:fldCharType="end"/>
      </w:r>
      <w:bookmarkEnd w:id="200"/>
      <w:r>
        <w:rPr>
          <w:b/>
        </w:rPr>
        <w:t xml:space="preserve">. </w:t>
      </w:r>
      <w:r>
        <w:t xml:space="preserve"> Friedman mean ranks (lower is better) of the seven-algorithm</w:t>
      </w:r>
      <w:r>
        <w:t xml:space="preserve"> </w:t>
      </w:r>
      <w:r>
        <w:t xml:space="preserve">GSK-family panel on CEC2017 per dimension (the four columns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; 29 per-function mean</w:t>
      </w:r>
      <w:r>
        <w:t xml:space="preserve"> </w:t>
      </w:r>
      <w:r>
        <w:t xml:space="preserve">errors as blocks, 51 runs each) plus the unweighted across-dimension</w:t>
      </w:r>
      <w:r>
        <w:t xml:space="preserve"> </w:t>
      </w:r>
      <w:r>
        <w:t xml:space="preserve">mean (</w:t>
      </w:r>
      <w:r>
        <w:t xml:space="preserve">“Overall”</w:t>
      </w:r>
      <w:r>
        <w:t xml:space="preserve">, a descriptive aggregate); the Friedman +</w:t>
      </w:r>
      <w:r>
        <w:t xml:space="preserve"> </w:t>
      </w:r>
      <w:r>
        <w:t xml:space="preserve">Iman–Davenport omnibus is significant at every dimension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≤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 Best rank per column in bold. Rank-ordering statements are qualified by</w:t>
      </w:r>
      <w:r>
        <w:t xml:space="preserve"> </w:t>
      </w:r>
      <w:r>
        <w:t xml:space="preserve">the prespecified robustness battery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ref_sec_exp_stats \h </w:instrText>
      </w:r>
      <w:r>
        <w:fldChar w:fldCharType="separate"/>
      </w:r>
      <w:r>
        <w:t xml:space="preserve">4.2.3</w:t>
      </w:r>
      <w:r>
        <w:fldChar w:fldCharType="end"/>
      </w:r>
      <w:r>
        <w:t xml:space="preserve">). The APGSK evidence gap and its</w:t>
      </w:r>
      <w:r>
        <w:t xml:space="preserve"> </w:t>
      </w:r>
      <w:r>
        <w:t xml:space="preserve">consequence for the inferential basis are stated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ref_sec_exp_settings \h </w:instrText>
      </w:r>
      <w:r>
        <w:fldChar w:fldCharType="separate"/>
      </w:r>
      <w:r>
        <w:t xml:space="preserve">4.1</w:t>
      </w:r>
      <w:r>
        <w:fldChar w:fldCharType="end"/>
      </w:r>
      <w:r>
        <w:t xml:space="preserve">.</w:t>
      </w:r>
    </w:p>
    <w:tbl>
      <w:tblPr>
        <w:tblStyle w:val="Table"/>
        <w:tblW w:w="3603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Friedman mean ranks per dimension and overall (GSK-family panel; overall = descriptive mean of per-dimension ranks, no test attached)."/>
        <w:tblDescription w:val="CEC2017 Friedman mean ranks per dimension and overall (GSK-family panel; overall = descriptive mean of per-dimension ranks, no test attached)."/>
        <w:tblLook w:val="04A0" w:firstRow="1" w:lastRow="0" w:firstColumn="0" w:lastColumn="0" w:noHBand="0" w:noVBand="1"/>
      </w:tblPr>
      <w:tblGrid>
        <w:gridCol w:w="1046"/>
        <w:gridCol w:w="452"/>
        <w:gridCol w:w="452"/>
        <w:gridCol w:w="452"/>
        <w:gridCol w:w="452"/>
        <w:gridCol w:w="749"/>
      </w:tblGrid>
      <w:tr>
        <w:trPr>
          <w:cantSplit/>
          <w:tblHeader/>
        </w:trPr>
        <w:tc>
          <w:tcPr>
            <w:tcW w:w="104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Algorithm</w:t>
            </w:r>
          </w:p>
        </w:tc>
        <w:tc>
          <w:tcPr>
            <w:tcW w:w="45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45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30</w:t>
            </w:r>
          </w:p>
        </w:tc>
        <w:tc>
          <w:tcPr>
            <w:tcW w:w="45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50</w:t>
            </w:r>
          </w:p>
        </w:tc>
        <w:tc>
          <w:tcPr>
            <w:tcW w:w="45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100</w:t>
            </w:r>
          </w:p>
        </w:tc>
        <w:tc>
          <w:tcPr>
            <w:tcW w:w="749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Overall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5.52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4.50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4.76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4.03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4.70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3.05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4.69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4.79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4.83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4.34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3.57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5.41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5.34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5.90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5.06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FDB-AGSK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3.45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4.41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3.97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4.55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4.09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ATMALS-GSK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5.29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4.19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4.31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3.66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4.36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4.24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2.29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2.62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2.69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2.96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DT-GSK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2.88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2.50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2.21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2.34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2.48</w:t>
            </w:r>
          </w:p>
        </w:tc>
      </w:tr>
    </w:tbl>
    <w:bookmarkStart w:id="62" w:name="lbl_fig_cec2017_ranks"/>
    <w:p>
      <w:pPr>
        <w:pStyle w:val="CaptionedFigure"/>
        <w:keepNext/>
        <w:keepLines/>
      </w:pPr>
      <w:r>
        <w:drawing>
          <wp:inline>
            <wp:extent cx="4581525" cy="2824736"/>
            <wp:effectExtent b="0" l="0" r="0" t="0"/>
            <wp:docPr descr="Figure 3.  Friedman mean ranks per dimension (CEC2017, 29 functions, 51 runs), grouped by dimension in the fixed panel order; companion to Table 14. Lower is better. Rank-robustness and APGSK-gap qualifications as in Table 14." title="" id="60" name="Picture"/>
            <a:graphic>
              <a:graphicData uri="http://schemas.openxmlformats.org/drawingml/2006/picture">
                <pic:pic>
                  <pic:nvPicPr>
                    <pic:cNvPr descr="figures/ranks/cec2017_mean_rank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82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01" w:name="ref_fig_cec2017_ranks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3</w:t>
      </w:r>
      <w:r>
        <w:fldChar w:fldCharType="end"/>
      </w:r>
      <w:bookmarkEnd w:id="201"/>
      <w:r>
        <w:rPr>
          <w:b/>
        </w:rPr>
        <w:t xml:space="preserve">. </w:t>
      </w:r>
      <w:r>
        <w:t xml:space="preserve"> Friedman mean ranks per dimension (CEC2017, 29 functions,</w:t>
      </w:r>
      <w:r>
        <w:t xml:space="preserve"> </w:t>
      </w:r>
      <w:r>
        <w:t xml:space="preserve">51 runs), grouped by dimension in the fixed panel order; companion to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ref_tab_friedman_cec2017 \h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. Lower is better. Rank-robustness and APGSK-gap</w:t>
      </w:r>
      <w:r>
        <w:t xml:space="preserve"> </w:t>
      </w:r>
      <w:r>
        <w:t xml:space="preserve">qualifications as in Table </w:t>
      </w:r>
      <w:r>
        <w:fldChar w:fldCharType="begin"/>
      </w:r>
      <w:r>
        <w:instrText xml:space="preserve"> REF ref_tab_friedman_cec2017 \h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.</w:t>
      </w:r>
    </w:p>
    <w:bookmarkEnd w:id="62"/>
    <w:bookmarkEnd w:id="63"/>
    <w:bookmarkStart w:id="70" w:name="lbl_sec_exp_stats"/>
    <w:p>
      <w:pPr>
        <w:pStyle w:val="Heading3"/>
      </w:pPr>
      <w:bookmarkStart w:id="202" w:name="ref_sec_exp_stats"/>
      <w:r>
        <w:t xml:space="preserve">4.2.3.</w:t>
      </w:r>
      <w:bookmarkEnd w:id="202"/>
      <w:r>
        <w:tab/>
      </w:r>
      <w:r>
        <w:t xml:space="preserve"> Statistical Analysis</w:t>
      </w:r>
    </w:p>
    <w:bookmarkStart w:id="68" w:name="lbl_statistical_protocol__1"/>
    <w:p>
      <w:pPr>
        <w:pStyle w:val="Heading4"/>
      </w:pPr>
      <w:r>
        <w:t xml:space="preserve">Statistical protocol.</w:t>
      </w:r>
    </w:p>
    <w:p>
      <w:pPr>
        <w:pStyle w:val="FirstParagraph"/>
      </w:pPr>
      <w:r>
        <w:t xml:space="preserve">Comparisons use the Wilcoxon signed-rank test </w:t>
      </w:r>
      <w:r>
        <w:fldChar w:fldCharType="begin"/>
      </w:r>
      <w:r>
        <w:instrText xml:space="preserve"> CITATION wilcoxon1945individual \l 1033 </w:instrText>
      </w:r>
      <w:r>
        <w:fldChar w:fldCharType="separate"/>
      </w:r>
      <w:r>
        <w:t xml:space="preserve">[35]</w:t>
      </w:r>
      <w:r>
        <w:fldChar w:fldCharType="end"/>
      </w:r>
      <w:r>
        <w:t xml:space="preserve"> on</w:t>
      </w:r>
      <w:r>
        <w:t xml:space="preserve"> </w:t>
      </w:r>
      <w:r>
        <w:t xml:space="preserve">paired per-function means, with Holm step-down</w:t>
      </w:r>
      <w:r>
        <w:t xml:space="preserve"> </w:t>
      </w:r>
      <w:r>
        <w:t xml:space="preserve">correction </w:t>
      </w:r>
      <w:r>
        <w:fldChar w:fldCharType="begin"/>
      </w:r>
      <w:r>
        <w:instrText xml:space="preserve"> CITATION holm1979simple \l 1033 </w:instrText>
      </w:r>
      <w:r>
        <w:fldChar w:fldCharType="separate"/>
      </w:r>
      <w:r>
        <w:t xml:space="preserve">[36]</w:t>
      </w:r>
      <w:r>
        <w:fldChar w:fldCharType="end"/>
      </w:r>
      <w:r>
        <w:t xml:space="preserve"> applied within each dimension over the family</w:t>
      </w:r>
      <w:r>
        <w:t xml:space="preserve"> </w:t>
      </w:r>
      <w:r>
        <w:t xml:space="preserve">of six comparators; the tie-corrected Friedman test </w:t>
      </w:r>
      <w:r>
        <w:fldChar w:fldCharType="begin"/>
      </w:r>
      <w:r>
        <w:instrText xml:space="preserve"> CITATION friedman1937use \l 1033 </w:instrText>
      </w:r>
      <w:r>
        <w:fldChar w:fldCharType="separate"/>
      </w:r>
      <w:r>
        <w:t xml:space="preserve">[38]</w:t>
      </w:r>
      <w:r>
        <w:fldChar w:fldCharType="end"/>
      </w:r>
      <w:r>
        <w:t xml:space="preserve"> </w:t>
      </w:r>
      <w:r>
        <w:t xml:space="preserve">supplies mean ranks and Nemenyi critical differences supply the post-hoc</w:t>
      </w:r>
      <w:r>
        <w:t xml:space="preserve"> </w:t>
      </w:r>
      <w:r>
        <w:t xml:space="preserve">separation </w:t>
      </w:r>
      <w:r>
        <w:fldChar w:fldCharType="begin"/>
      </w:r>
      <w:r>
        <w:instrText xml:space="preserve"> CITATION demsar2006statistical \l 1033 </w:instrText>
      </w:r>
      <w:r>
        <w:fldChar w:fldCharType="separate"/>
      </w:r>
      <w:r>
        <w:t xml:space="preserve">[39]</w:t>
      </w:r>
      <w:r>
        <w:fldChar w:fldCharType="end"/>
      </w:r>
      <w:r>
        <w:t xml:space="preserve">. In every case the null hypothesis is</w:t>
      </w:r>
      <w:r>
        <w:t xml:space="preserve"> </w:t>
      </w:r>
      <w:r>
        <w:t xml:space="preserve">that the compared algorithms’ error distributions do not differ on the tested</w:t>
      </w:r>
      <w:r>
        <w:t xml:space="preserve"> </w:t>
      </w:r>
      <w:r>
        <w:t xml:space="preserve">family, and the alternative is that they do;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An effect size accompanies every test</w:t>
      </w:r>
      <w:r>
        <w:t xml:space="preserve"> </w:t>
      </w:r>
      <w:r>
        <w:t xml:space="preserve">— the matched-pairs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here, and BCa bootstrap intervals on the</w:t>
      </w:r>
      <w:r>
        <w:t xml:space="preserve"> </w:t>
      </w:r>
      <w:r>
        <w:t xml:space="preserve">mean ranks in the Supplementary Materials — because a</w:t>
      </w:r>
      <w:r>
        <w:t xml:space="preserve"> </w:t>
      </w:r>
      <m:oMath>
        <m:r>
          <m:t>p</m:t>
        </m:r>
      </m:oMath>
      <w:r>
        <w:t xml:space="preserve">-value alone does not</w:t>
      </w:r>
      <w:r>
        <w:t xml:space="preserve"> </w:t>
      </w:r>
      <w:r>
        <w:t xml:space="preserve">convey magnitude. Two reporting rules follow and are applied throughout. First,</w:t>
      </w:r>
      <w:r>
        <w:t xml:space="preserve"> </w:t>
      </w:r>
      <w:r>
        <w:t xml:space="preserve">an uncorrected family of per-comparator tests inflates the family-wise error</w:t>
      </w:r>
      <w:r>
        <w:t xml:space="preserve"> </w:t>
      </w:r>
      <w:r>
        <w:t xml:space="preserve">rate, so no significance claim in this paper rests on an uncorrected</w:t>
      </w:r>
      <w:r>
        <w:t xml:space="preserve"> </w:t>
      </w:r>
      <m:oMath>
        <m:r>
          <m:t>p</m:t>
        </m:r>
      </m:oMath>
      <w:r>
        <w:t xml:space="preserve"> </w:t>
      </w:r>
      <w:r>
        <w:fldChar w:fldCharType="begin"/>
      </w:r>
      <w:r>
        <w:instrText xml:space="preserve"> CITATION holm1979simple \l 1033 \m demsar2006statistical </w:instrText>
      </w:r>
      <w:r>
        <w:fldChar w:fldCharType="separate"/>
      </w:r>
      <w:r>
        <w:t xml:space="preserve">[36,39]</w:t>
      </w:r>
      <w:r>
        <w:fldChar w:fldCharType="end"/>
      </w:r>
      <w:r>
        <w:t xml:space="preserve">. Second, win/tie/loss counts are</w:t>
      </w:r>
      <w:r>
        <w:t xml:space="preserve"> </w:t>
      </w:r>
      <w:r>
        <w:t xml:space="preserve">descriptive summaries of per-function outcomes and are never read as</w:t>
      </w:r>
      <w:r>
        <w:t xml:space="preserve"> </w:t>
      </w:r>
      <w:r>
        <w:t xml:space="preserve">significance: every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decision reported here comes from a</w:t>
      </w:r>
      <w:r>
        <w:t xml:space="preserve"> </w:t>
      </w:r>
      <w:r>
        <w:t xml:space="preserve">Holm-adjusted test, and the two quantities are kept in separate columns so they</w:t>
      </w:r>
      <w:r>
        <w:t xml:space="preserve"> </w:t>
      </w:r>
      <w:r>
        <w:t xml:space="preserve">cannot be conflated.</w:t>
      </w:r>
    </w:p>
    <w:p>
      <w:pPr>
        <w:pStyle w:val="BodyText"/>
      </w:pPr>
      <w:r>
        <w:t xml:space="preserve">Table </w:t>
      </w:r>
      <w:r>
        <w:fldChar w:fldCharType="begin"/>
      </w:r>
      <w:r>
        <w:instrText xml:space="preserve"> REF ref_tab_wilcoxon_holm \h </w:instrText>
      </w:r>
      <w:r>
        <w:fldChar w:fldCharType="separate"/>
      </w:r>
      <w:r>
        <w:t xml:space="preserve">15</w:t>
      </w:r>
      <w:r>
        <w:fldChar w:fldCharType="end"/>
      </w:r>
      <w:r>
        <w:t xml:space="preserve"> reports the across-function Wilcoxon</w:t>
      </w:r>
      <w:r>
        <w:t xml:space="preserve"> </w:t>
      </w:r>
      <w:r>
        <w:t xml:space="preserve">tests with Holm correction, win/tie/loss counts,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effect</w:t>
      </w:r>
      <w:r>
        <w:t xml:space="preserve"> </w:t>
      </w:r>
      <w:r>
        <w:t xml:space="preserve">sizes, and Holm decisions for DT-GSK against each comparator at</w:t>
      </w:r>
      <w:r>
        <w:t xml:space="preserve"> </w:t>
      </w:r>
      <w:r>
        <w:t xml:space="preserve">each dimension. Two qualifications apply to how that table should be</w:t>
      </w:r>
      <w:r>
        <w:t xml:space="preserve"> </w:t>
      </w:r>
      <w:r>
        <w:t xml:space="preserve">read. The companion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summary is computed over the 29 per-function means,</w:t>
      </w:r>
      <w:r>
        <w:t xml:space="preserve"> </w:t>
      </w:r>
      <w:r>
        <w:t xml:space="preserve">on the same unit as the Wilcoxon test, and is therefore distinct from</w:t>
      </w:r>
      <w:r>
        <w:t xml:space="preserve"> </w:t>
      </w:r>
      <w:r>
        <w:t xml:space="preserve">the run-level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reported in the effect-size workbook; the two</w:t>
      </w:r>
      <w:r>
        <w:t xml:space="preserve"> </w:t>
      </w:r>
      <w:r>
        <w:t xml:space="preserve">are not interchangeable. The APGSK rows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rest on function-level tests over per-function</w:t>
      </w:r>
      <w:r>
        <w:t xml:space="preserve"> </w:t>
      </w:r>
      <w:r>
        <w:t xml:space="preserve">means, which was the inferential basis available there because APGSK</w:t>
      </w:r>
      <w:r>
        <w:t xml:space="preserve"> </w:t>
      </w:r>
      <w:r>
        <w:t xml:space="preserve">per-run records were missing at analysis freeze and recovered only</w:t>
      </w:r>
      <w:r>
        <w:t xml:space="preserve"> </w:t>
      </w:r>
      <w:r>
        <w:t xml:space="preserve">afterwards.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03" w:name="ref_tab_wilcoxon_holm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15</w:t>
      </w:r>
      <w:r>
        <w:fldChar w:fldCharType="end"/>
      </w:r>
      <w:bookmarkEnd w:id="203"/>
      <w:r>
        <w:rPr>
          <w:b/>
        </w:rPr>
        <w:t xml:space="preserve">. </w:t>
      </w:r>
      <w:r>
        <w:t xml:space="preserve"> DT-GSK vs. each GSK-family comparator on CEC2017 (29</w:t>
      </w:r>
      <w:r>
        <w:t xml:space="preserve"> </w:t>
      </w:r>
      <w:r>
        <w:t xml:space="preserve">functions, 51 runs, per-function mean error), in two aligned sub-tables: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t xml:space="preserve"> </w:t>
      </w:r>
      <w:r>
        <w:t xml:space="preserve">above,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below. Columns are the</w:t>
      </w:r>
      <w:r>
        <w:t xml:space="preserve"> </w:t>
      </w:r>
      <w:r>
        <w:t xml:space="preserve">across-function Wilcoxon signed-rank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its Holm-corrected value</w:t>
      </w:r>
      <w:r>
        <w:t xml:space="preserve"> </w:t>
      </w:r>
      <w:r>
        <w:t xml:space="preserve">(family</w:t>
      </w:r>
      <w:r>
        <w:t xml:space="preserve"> </w:t>
      </w:r>
      <m:oMath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comparators per dimension,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), win/tie/loss</w:t>
      </w:r>
      <w:r>
        <w:t xml:space="preserve"> </w:t>
      </w:r>
      <w:r>
        <w:t xml:space="preserve">counts with tie rule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the matched-pairs rank-biserial</w:t>
      </w:r>
      <w:r>
        <w:t xml:space="preserve"> </w:t>
      </w:r>
      <w:r>
        <w:t xml:space="preserve">effect size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favors DT-GSK), and the Holm decision (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better,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no significant difference,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worse).</w:t>
      </w:r>
    </w:p>
    <w:tbl>
      <w:tblPr>
        <w:tblStyle w:val="Table"/>
        <w:tblW w:w="5999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pairwise Wilcoxon + Holm outcomes, DT-GSK vs each GSK-family comparator per dimension (p, Holm-adjusted p, win/tie/loss, A12, decision)."/>
        <w:tblDescription w:val="CEC2017 pairwise Wilcoxon + Holm outcomes, DT-GSK vs each GSK-family comparator per dimension (p, Holm-adjusted p, win/tie/loss, A12, decision)."/>
        <w:tblLook w:val="04A0" w:firstRow="1" w:lastRow="0" w:firstColumn="0" w:lastColumn="0" w:noHBand="0" w:noVBand="1"/>
      </w:tblPr>
      <w:tblGrid>
        <w:gridCol w:w="826"/>
        <w:gridCol w:w="595"/>
        <w:gridCol w:w="518"/>
        <w:gridCol w:w="210"/>
        <w:gridCol w:w="133"/>
        <w:gridCol w:w="210"/>
        <w:gridCol w:w="518"/>
        <w:gridCol w:w="364"/>
        <w:gridCol w:w="595"/>
        <w:gridCol w:w="595"/>
        <w:gridCol w:w="210"/>
        <w:gridCol w:w="133"/>
        <w:gridCol w:w="210"/>
        <w:gridCol w:w="518"/>
        <w:gridCol w:w="364"/>
      </w:tblGrid>
      <w:tr>
        <w:trPr>
          <w:cantSplit/>
          <w:tblHeader/>
        </w:trPr>
        <w:tc>
          <w:tcPr>
            <w:tcW w:w="82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4"/>
              </w:rPr>
              <w:t xml:space="preserve">Algorithm</w:t>
            </w:r>
          </w:p>
        </w:tc>
        <w:tc>
          <w:tcPr>
            <w:tcW w:w="2548" w:type="dxa"/>
            <w:gridSpan w:val="7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D10</w:t>
            </w:r>
          </w:p>
        </w:tc>
        <w:tc>
          <w:tcPr>
            <w:tcW w:w="2625" w:type="dxa"/>
            <w:gridSpan w:val="7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D30</w:t>
            </w:r>
          </w:p>
        </w:tc>
      </w:tr>
      <w:tr>
        <w:trPr>
          <w:cantSplit/>
          <w:tblHeader/>
        </w:trPr>
        <w:tc>
          <w:tcPr>
            <w:tcW w:w="82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4"/>
              </w:rPr>
              <w:t xml:space="preserve"/>
            </w:r>
          </w:p>
        </w:tc>
        <w:tc>
          <w:tcPr>
            <w:tcW w:w="595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pHolm</w:t>
            </w:r>
          </w:p>
        </w:tc>
        <w:tc>
          <w:tcPr>
            <w:tcW w:w="21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+</w:t>
            </w:r>
          </w:p>
        </w:tc>
        <w:tc>
          <w:tcPr>
            <w:tcW w:w="133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≈</w:t>
            </w:r>
          </w:p>
        </w:tc>
        <w:tc>
          <w:tcPr>
            <w:tcW w:w="21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-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r</w:t>
            </w:r>
          </w:p>
        </w:tc>
        <w:tc>
          <w:tcPr>
            <w:tcW w:w="364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Dec.</w:t>
            </w:r>
          </w:p>
        </w:tc>
        <w:tc>
          <w:tcPr>
            <w:tcW w:w="595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</w:t>
            </w:r>
          </w:p>
        </w:tc>
        <w:tc>
          <w:tcPr>
            <w:tcW w:w="595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pHolm</w:t>
            </w:r>
          </w:p>
        </w:tc>
        <w:tc>
          <w:tcPr>
            <w:tcW w:w="21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+</w:t>
            </w:r>
          </w:p>
        </w:tc>
        <w:tc>
          <w:tcPr>
            <w:tcW w:w="133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≈</w:t>
            </w:r>
          </w:p>
        </w:tc>
        <w:tc>
          <w:tcPr>
            <w:tcW w:w="21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-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r</w:t>
            </w:r>
          </w:p>
        </w:tc>
        <w:tc>
          <w:tcPr>
            <w:tcW w:w="364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Dec.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0.0010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22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+0.865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0.0147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0.0295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19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+0.540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0.5422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14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-0.140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0.0026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0.0102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24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+0.655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APGSK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0.9785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16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-0.009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0.0013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0.0064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24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+0.687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FDB-AGSK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0.7639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15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-0.069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0.0009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0.0051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25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+0.724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ATMALS-GSK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0.0091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0.0362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21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+0.600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0.0035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0.0105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23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+0.658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0.0035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21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+0.778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0.1987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0.1987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11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16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-0.286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Algorithm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D50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D100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/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/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p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pHolm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≈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r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Dec.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p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pHolm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≈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r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Dec.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0.0038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0.0075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22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+0.618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0.0323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0.0646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20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+0.457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0.0006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26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+0.793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26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+0.931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APGSK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0.0003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27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+0.857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28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+0.977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FDB-AGSK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0.0006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25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+0.807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&lt;0.0001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25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+0.903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ATMALS-GSK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0.0006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26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+0.821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0.0005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0.0016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24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+0.738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eGSK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13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16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-0.002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0.7953</w:t>
            </w:r>
          </w:p>
        </w:tc>
        <w:tc>
          <w:tcPr>
            <w:tcW w:w="595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0.7953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12</w:t>
            </w:r>
          </w:p>
        </w:tc>
        <w:tc>
          <w:tcPr>
            <w:tcW w:w="133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</w:t>
            </w:r>
          </w:p>
        </w:tc>
        <w:tc>
          <w:tcPr>
            <w:tcW w:w="210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-0.057</w:t>
            </w:r>
          </w:p>
        </w:tc>
        <w:tc>
          <w:tcPr>
            <w:tcW w:w="36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</w:tbl>
    <w:p>
      <w:pPr>
        <w:pStyle w:val="BodyText"/>
      </w:pPr>
      <w:r>
        <w:t xml:space="preserve">Of the 24 Holm-corrected cells (six comparators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four</w:t>
      </w:r>
      <w:r>
        <w:t xml:space="preserve"> </w:t>
      </w:r>
      <w:r>
        <w:t xml:space="preserve">dimensions), 17 are significant wins for DT-GSK, 7 show no</w:t>
      </w:r>
      <w:r>
        <w:t xml:space="preserve"> </w:t>
      </w:r>
      <w:r>
        <w:t xml:space="preserve">significant difference, and none is a significant loss. The Holm correction is</w:t>
      </w:r>
      <w:r>
        <w:t xml:space="preserve"> </w:t>
      </w:r>
      <w:r>
        <w:t xml:space="preserve">applied within each dimension (family size 6), so this 24-cell count aggregates</w:t>
      </w:r>
      <w:r>
        <w:t xml:space="preserve"> </w:t>
      </w:r>
      <w:r>
        <w:t xml:space="preserve">four independent within-dimension families. It is a descriptive tally,</w:t>
      </w:r>
      <w:r>
        <w:t xml:space="preserve"> </w:t>
      </w:r>
      <w:r>
        <w:t xml:space="preserve">not a single jointly family-wise-error-controlled result.</w:t>
      </w:r>
    </w:p>
    <w:p>
      <w:pPr>
        <w:pStyle w:val="BodyText"/>
      </w:pPr>
      <w:r>
        <w:t xml:space="preserve">As a sensitivity check, applying Holm once across all 24 hypotheses — the</w:t>
      </w:r>
      <w:r>
        <w:t xml:space="preserve"> </w:t>
      </w:r>
      <w:r>
        <w:t xml:space="preserve">most conservative reading, in which the four dimensions are treated as a</w:t>
      </w:r>
      <w:r>
        <w:t xml:space="preserve"> </w:t>
      </w:r>
      <w:r>
        <w:t xml:space="preserve">single family — leaves 15 of the 24 cells significant. Only two cells do</w:t>
      </w:r>
      <w:r>
        <w:t xml:space="preserve"> </w:t>
      </w:r>
      <w:r>
        <w:t xml:space="preserve">not survive (ATMALS-GSK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both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just under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within their own dimension), and the</w:t>
      </w:r>
      <w:r>
        <w:t xml:space="preserve"> </w:t>
      </w:r>
      <w:r>
        <w:t xml:space="preserve">count of significant losses remains zero under either correction.</w:t>
      </w:r>
    </w:p>
    <w:p>
      <w:pPr>
        <w:pStyle w:val="BodyText"/>
      </w:pPr>
      <w:r>
        <w:t xml:space="preserve">The unfavorable and borderline cells are stated plainly. Against</w:t>
      </w:r>
      <w:r>
        <w:t xml:space="preserve"> </w:t>
      </w:r>
      <w:r>
        <w:t xml:space="preserve">eGSK, DT-GSK wins significantly 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0.0035</m:t>
        </m:r>
      </m:oMath>
      <w:r>
        <w:t xml:space="preserve">);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outcome is not significant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0.199</m:t>
        </m:r>
      </m:oMath>
      <w:r>
        <w:t xml:space="preserve">,</w:t>
      </w:r>
      <w:r>
        <w:t xml:space="preserve"> </w:t>
      </w:r>
      <m:oMath>
        <m:r>
          <m:t>1.0</m:t>
        </m:r>
      </m:oMath>
      <w:r>
        <w:t xml:space="preserve">, and</w:t>
      </w:r>
      <w:r>
        <w:t xml:space="preserve"> </w:t>
      </w:r>
      <m:oMath>
        <m:r>
          <m:t>0.795</m:t>
        </m:r>
      </m:oMath>
      <w:r>
        <w:t xml:space="preserve">)</w:t>
      </w:r>
      <w:r>
        <w:t xml:space="preserve"> </w:t>
      </w:r>
      <w:r>
        <w:t xml:space="preserve">with tabulated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0.286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0.057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negligible magnitudes, all three faintly negative and therefore leaning</w:t>
      </w:r>
      <w:r>
        <w:t xml:space="preserve"> </w:t>
      </w:r>
      <w:r>
        <w:t xml:space="preserve">marginally toward eGSK.</w:t>
      </w:r>
    </w:p>
    <w:p>
      <w:pPr>
        <w:pStyle w:val="BodyText"/>
      </w:pPr>
      <w:r>
        <w:t xml:space="preserve">Against GSK,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cell is not significant after Holm correction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0.0323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0.0646</m:t>
        </m:r>
      </m:oMath>
      <w:r>
        <w:t xml:space="preserve">) despite a</w:t>
      </w:r>
      <w:r>
        <w:t xml:space="preserve"> </w:t>
      </w:r>
      <w:r>
        <w:t xml:space="preserve">20–0–9 win/tie/loss record.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first place is carried by Holm-significant wins over</w:t>
      </w:r>
      <w:r>
        <w:t xml:space="preserve"> </w:t>
      </w:r>
      <w:r>
        <w:t xml:space="preserve">GSK, ATMALS-GSK, and eGSK only; the cells against AGSK,</w:t>
      </w:r>
      <w:r>
        <w:t xml:space="preserve"> </w:t>
      </w:r>
      <w:r>
        <w:t xml:space="preserve">APGSK, and FDB-AGSK show no significant difference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each).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DT-GSK beats AGSK, APGSK, and</w:t>
      </w:r>
      <w:r>
        <w:t xml:space="preserve"> </w:t>
      </w:r>
      <w:r>
        <w:t xml:space="preserve">FDB-AGSK in all nine cells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≤</m:t>
        </m:r>
        <m:r>
          <m:t>0.011</m:t>
        </m:r>
      </m:oMath>
      <w:r>
        <w:t xml:space="preserve">) and</w:t>
      </w:r>
      <w:r>
        <w:t xml:space="preserve"> </w:t>
      </w:r>
      <w:r>
        <w:t xml:space="preserve">ATMALS-GSK at all four dimensions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≤</m:t>
        </m:r>
        <m:r>
          <m:t>0.037</m:t>
        </m:r>
      </m:oMath>
      <w:r>
        <w:t xml:space="preserve">); the largest effect is against</w:t>
      </w:r>
      <w:r>
        <w:t xml:space="preserve"> </w:t>
      </w:r>
      <w:r>
        <w:t xml:space="preserve">APGSK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0.977</m:t>
        </m:r>
      </m:oMath>
      <w:r>
        <w:t xml:space="preserve">).</w:t>
      </w:r>
    </w:p>
    <w:p>
      <w:pPr>
        <w:pStyle w:val="BodyText"/>
      </w:pPr>
      <w:r>
        <w:t xml:space="preserve">Seeded bootstrap BCa rank-stability intervals attached to the Friedman mean ranks</w:t>
      </w:r>
      <w:r>
        <w:t xml:space="preserve"> </w:t>
      </w:r>
      <w:r>
        <w:t xml:space="preserve">(Supplementary Materials, Section S2) qualify the rank point estimates. They</w:t>
      </w:r>
      <w:r>
        <w:t xml:space="preserve"> </w:t>
      </w:r>
      <w:r>
        <w:t xml:space="preserve">resample the fixed per-function midranks rather than recomputing ranks within</w:t>
      </w:r>
      <w:r>
        <w:t xml:space="preserve"> </w:t>
      </w:r>
      <w:r>
        <w:t xml:space="preserve">each resample, so they are read descriptively as a spread on the mean rank,</w:t>
      </w:r>
      <w:r>
        <w:t xml:space="preserve"> </w:t>
      </w:r>
      <w:r>
        <w:t xml:space="preserve">never as a formal overlap test. DT-GSK’s intervals are [2.29, 3.43], [2.07, 3.10],</w:t>
      </w:r>
      <w:r>
        <w:t xml:space="preserve"> </w:t>
      </w:r>
      <w:r>
        <w:t xml:space="preserve">[1.86, 2.69], and [1.90, 2.83]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; they overlap</w:t>
      </w:r>
      <w:r>
        <w:t xml:space="preserve"> </w:t>
      </w:r>
      <w:r>
        <w:t xml:space="preserve">eGSK’s intervals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consistent with the</w:t>
      </w:r>
      <w:r>
        <w:t xml:space="preserve"> </w:t>
      </w:r>
      <w:r>
        <w:t xml:space="preserve">pairwise non-significant cells above.</w:t>
      </w:r>
    </w:p>
    <w:p>
      <w:pPr>
        <w:pStyle w:val="BodyText"/>
      </w:pPr>
      <w:r>
        <w:t xml:space="preserve">Figure </w:t>
      </w:r>
      <w:r>
        <w:fldChar w:fldCharType="begin"/>
      </w:r>
      <w:r>
        <w:instrText xml:space="preserve"> REF ref_fig_cd_cec2017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shows the Nemenyi critical-difference view</w:t>
      </w:r>
      <w:r>
        <w:t xml:space="preserve"> </w:t>
      </w:r>
      <w:r>
        <w:t xml:space="preserve">(one panel per dimension, the within-one-CD-of-best cohort shaded), emitted only because the omnibus is significant at every</w:t>
      </w:r>
      <w:r>
        <w:t xml:space="preserve"> </w:t>
      </w:r>
      <w:r>
        <w:t xml:space="preserve">dimension;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algorithms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functions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0.05</m:t>
            </m:r>
          </m:sub>
        </m:sSub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6</m:t>
            </m:r>
            <m:r>
              <m:t>N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1.67</m:t>
        </m:r>
      </m:oMath>
      <w:r>
        <w:t xml:space="preserve"> </w:t>
      </w:r>
      <w:r>
        <w:t xml:space="preserve">rank units</w:t>
      </w:r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0.05</m:t>
            </m:r>
          </m:sub>
        </m:sSub>
        <m:r>
          <m:rPr>
            <m:sty m:val="p"/>
          </m:rPr>
          <m:t>=</m:t>
        </m:r>
        <m:r>
          <m:t>2.949</m:t>
        </m:r>
      </m:oMath>
      <w:r>
        <w:t xml:space="preserve">).</w:t>
      </w:r>
    </w:p>
    <w:p>
      <w:pPr>
        <w:pStyle w:val="BodyText"/>
      </w:pPr>
      <w:r>
        <w:t xml:space="preserve">The plots make one limitation explicit: DT-GSK and eGSK are</w:t>
      </w:r>
      <w:r>
        <w:t xml:space="preserve"> </w:t>
      </w:r>
      <w:r>
        <w:t xml:space="preserve">never Nemenyi-separable at any CEC2017 dimension. Their rank gaps</w:t>
      </w:r>
      <w:r>
        <w:t xml:space="preserve"> </w:t>
      </w:r>
      <w:r>
        <w:t xml:space="preserve">are 1.36, 0.21, 0.41, and 0.34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on the unrounded mean</w:t>
      </w:r>
      <w:r>
        <w:t xml:space="preserve"> </w:t>
      </w:r>
      <w:r>
        <w:t xml:space="preserve">ranks, all inside the CD band. (The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gap reads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if formed from the</w:t>
      </w:r>
      <w:r>
        <w:t xml:space="preserve"> </w:t>
      </w:r>
      <w:r>
        <w:t xml:space="preserve">two-decimal displayed ranks.) The per-dimension orderings between these two</w:t>
      </w:r>
      <w:r>
        <w:t xml:space="preserve"> </w:t>
      </w:r>
      <w:r>
        <w:t xml:space="preserve">algorithms must therefore not be over-read as statistically established</w:t>
      </w:r>
      <w:r>
        <w:t xml:space="preserve"> </w:t>
      </w:r>
      <w:r>
        <w:t xml:space="preserve">separations.</w:t>
      </w:r>
    </w:p>
    <w:bookmarkStart w:id="67" w:name="lbl_fig_cd_cec2017"/>
    <w:p>
      <w:pPr>
        <w:pStyle w:val="CaptionedFigure"/>
        <w:keepNext/>
        <w:keepLines/>
      </w:pPr>
      <w:r>
        <w:drawing>
          <wp:inline>
            <wp:extent cx="5532272" cy="4153027"/>
            <wp:effectExtent b="0" l="0" r="0" t="0"/>
            <wp:docPr descr="Figure 4.  Critical-difference view of the CEC2017 GSK-family Friedman mean ranks (lower is better), one panel per dimension. Bars are mean ranks; the shaded rows are the cohort within one critical difference of the best rank, and the dashed line marks best rank  CD ( for , , ). A bar crossing the line is Nemenyi-separated from the best; DT-GSK and eGSK fall inside one cohort at every dimension." title="" id="65" name="Picture"/>
            <a:graphic>
              <a:graphicData uri="http://schemas.openxmlformats.org/drawingml/2006/picture">
                <pic:pic>
                  <pic:nvPicPr>
                    <pic:cNvPr descr="figures/nemenyi/nemenyi_cd_cec2017_gri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272" cy="415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04" w:name="ref_fig_cd_cec2017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4</w:t>
      </w:r>
      <w:r>
        <w:fldChar w:fldCharType="end"/>
      </w:r>
      <w:bookmarkEnd w:id="204"/>
      <w:r>
        <w:rPr>
          <w:b/>
        </w:rPr>
        <w:t xml:space="preserve">. </w:t>
      </w:r>
      <w:r>
        <w:t xml:space="preserve"> Critical-difference view of the CEC2017 GSK-family Friedman mean</w:t>
      </w:r>
      <w:r>
        <w:t xml:space="preserve"> </w:t>
      </w:r>
      <w:r>
        <w:t xml:space="preserve">ranks (lower is better), one panel per dimension. Bars are mean ranks; the</w:t>
      </w:r>
      <w:r>
        <w:t xml:space="preserve"> </w:t>
      </w:r>
      <w:r>
        <w:t xml:space="preserve">shaded rows are the cohort within one critical difference of the best rank,</w:t>
      </w:r>
      <w:r>
        <w:t xml:space="preserve"> </w:t>
      </w:r>
      <w:r>
        <w:t xml:space="preserve">and the dashed line marks best rank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CD (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1.67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 A bar crossing the line is</w:t>
      </w:r>
      <w:r>
        <w:t xml:space="preserve"> </w:t>
      </w:r>
      <w:r>
        <w:t xml:space="preserve">Nemenyi-separated from the best; DT-GSK and eGSK fall inside one</w:t>
      </w:r>
      <w:r>
        <w:t xml:space="preserve"> </w:t>
      </w:r>
      <w:r>
        <w:t xml:space="preserve">cohort at every dimension.</w:t>
      </w:r>
    </w:p>
    <w:bookmarkEnd w:id="67"/>
    <w:p>
      <w:pPr>
        <w:pStyle w:val="BodyText"/>
      </w:pPr>
      <w:r>
        <w:t xml:space="preserve">The Friedman mean rank improves with dimension overall but is not monotone</w:t>
      </w:r>
      <w:r>
        <w:t xml:space="preserve"> </w:t>
      </w:r>
      <w:r>
        <w:t xml:space="preserve">across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— 2.88, 2.50, 2.21, 2.34 —: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 an ordinal dip to second place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is slightly worse than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(a rank-versus-dimension trend plot is provided in the Supplementary</w:t>
      </w:r>
      <w:r>
        <w:t xml:space="preserve"> </w:t>
      </w:r>
      <w:r>
        <w:t xml:space="preserve">Materials).</w:t>
      </w:r>
    </w:p>
    <w:bookmarkEnd w:id="68"/>
    <w:bookmarkStart w:id="69" w:name="lbl_robustness_of_the_rank_statements"/>
    <w:p>
      <w:pPr>
        <w:pStyle w:val="Heading4"/>
      </w:pPr>
      <w:r>
        <w:t xml:space="preserve">Robustness of the rank statements.</w:t>
      </w:r>
    </w:p>
    <w:p>
      <w:pPr>
        <w:pStyle w:val="FirstParagraph"/>
      </w:pPr>
      <w:r>
        <w:t xml:space="preserve">A prespecified robustness battery accompanies the release, and two</w:t>
      </w:r>
      <w:r>
        <w:t xml:space="preserve"> </w:t>
      </w:r>
      <w:r>
        <w:t xml:space="preserve">of its checks diverge from the primary analysis and therefore qualify</w:t>
      </w:r>
      <w:r>
        <w:t xml:space="preserve"> </w:t>
      </w:r>
      <w:r>
        <w:t xml:space="preserve">every rank-ordering statement above. Re-ranking on median (rather</w:t>
      </w:r>
      <w:r>
        <w:t xml:space="preserve"> </w:t>
      </w:r>
      <w:r>
        <w:t xml:space="preserve">than mean) per-function errors shifts win/tie/loss tallies materially</w:t>
      </w:r>
      <w:r>
        <w:t xml:space="preserve"> </w:t>
      </w:r>
      <w:r>
        <w:t xml:space="preserve">— 21–4–4 becomes 17–10–2 against 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and</w:t>
      </w:r>
      <w:r>
        <w:t xml:space="preserve"> </w:t>
      </w:r>
      <w:r>
        <w:t xml:space="preserve">swaps two comparator pairs, APGSK/eGSK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FDB-AGSK/ATMALS-GSK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. Excluding the disputed APGSK cells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swaps GSK and FDB-AGSK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p>
      <w:pPr>
        <w:pStyle w:val="BodyText"/>
      </w:pPr>
      <w:r>
        <w:t xml:space="preserve">Mean-based ranks are the prespecified primary; DT-GSK’s own</w:t>
      </w:r>
      <w:r>
        <w:t xml:space="preserve"> </w:t>
      </w:r>
      <w:r>
        <w:t xml:space="preserve">ordinal positions (1/2/1/1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) are identical under</w:t>
      </w:r>
      <w:r>
        <w:t xml:space="preserve"> </w:t>
      </w:r>
      <w:r>
        <w:t xml:space="preserve">both of these robustness variants, but panel orderings between comparators are not fully</w:t>
      </w:r>
      <w:r>
        <w:t xml:space="preserve"> </w:t>
      </w:r>
      <w:r>
        <w:t xml:space="preserve">robust. Under the median endpoint DT-GSK’s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first place becomes</w:t>
      </w:r>
      <w:r>
        <w:t xml:space="preserve"> </w:t>
      </w:r>
      <w:r>
        <w:t xml:space="preserve">an exact tie with eGSK (both 2.59), consistent with their documented</w:t>
      </w:r>
      <w:r>
        <w:t xml:space="preserve"> </w:t>
      </w:r>
      <w:r>
        <w:t xml:space="preserve">non-separability. As a deliberate pairing-sensitivity check, an unpaired Mann–Whitney companion was also run over the</w:t>
      </w:r>
      <w:r>
        <w:t xml:space="preserve"> </w:t>
      </w:r>
      <w:r>
        <w:t xml:space="preserve">696 function-by-comparator-by-dimension cells, each a run-level test on 51</w:t>
      </w:r>
      <w:r>
        <w:t xml:space="preserve"> </w:t>
      </w:r>
      <w:r>
        <w:t xml:space="preserve">paired runs. Dropping the pairing moves 11 cells from significant to</w:t>
      </w:r>
      <w:r>
        <w:t xml:space="preserve"> </w:t>
      </w:r>
      <w:r>
        <w:t xml:space="preserve">non-significant and 21 in the opposite direction, with no sign reversals. The</w:t>
      </w:r>
      <w:r>
        <w:t xml:space="preserve"> </w:t>
      </w:r>
      <w:r>
        <w:t xml:space="preserve">robustness criterion (no sign reversals) is met, and the net effect of</w:t>
      </w:r>
      <w:r>
        <w:t xml:space="preserve"> </w:t>
      </w:r>
      <w:r>
        <w:t xml:space="preserve">dropping the pairing is an increase in significances rather than a</w:t>
      </w:r>
      <w:r>
        <w:t xml:space="preserve"> </w:t>
      </w:r>
      <w:r>
        <w:t xml:space="preserve">simple power loss — and an</w:t>
      </w:r>
      <w:r>
        <w:t xml:space="preserve"> </w:t>
      </w:r>
      <w:r>
        <w:t xml:space="preserve">exploratory Benjamini–Hochberg</w:t>
      </w:r>
      <w:r>
        <w:t xml:space="preserve"> </w:t>
      </w:r>
      <w:r>
        <w:t xml:space="preserve">companion </w:t>
      </w:r>
      <w:r>
        <w:fldChar w:fldCharType="begin"/>
      </w:r>
      <w:r>
        <w:instrText xml:space="preserve"> CITATION benjamini1995controlling \l 1033 </w:instrText>
      </w:r>
      <w:r>
        <w:fldChar w:fldCharType="separate"/>
      </w:r>
      <w:r>
        <w:t xml:space="preserve">[41]</w:t>
      </w:r>
      <w:r>
        <w:fldChar w:fldCharType="end"/>
      </w:r>
      <w:r>
        <w:t xml:space="preserve"> over the run-level tests is</w:t>
      </w:r>
      <w:r>
        <w:t xml:space="preserve"> </w:t>
      </w:r>
      <w:r>
        <w:t xml:space="preserve">included in the released analysis workbooks (which accompany the</w:t>
      </w:r>
      <w:r>
        <w:t xml:space="preserve"> </w:t>
      </w:r>
      <w:r>
        <w:t xml:space="preserve">reproducibility bundle, not the typeset supplement).</w:t>
      </w:r>
      <w:r>
        <w:t xml:space="preserve"> </w:t>
      </w:r>
      <w:r>
        <w:t xml:space="preserve">One robustness check is disclosed as a surrogate. Because errors are floored</w:t>
      </w:r>
      <w:r>
        <w:t xml:space="preserve"> </w:t>
      </w:r>
      <w:r>
        <w:t xml:space="preserve">to zero at write time, raw sub-floor values are unrecoverable from the</w:t>
      </w:r>
      <w:r>
        <w:t xml:space="preserve"> </w:t>
      </w:r>
      <w:r>
        <w:t xml:space="preserve">release, so the error-floor sensitivity check could not be run on the raw</w:t>
      </w:r>
      <w:r>
        <w:t xml:space="preserve"> </w:t>
      </w:r>
      <w:r>
        <w:t xml:space="preserve">values. It was executed instead in its pre-registered nearest-admissible form,</w:t>
      </w:r>
      <w:r>
        <w:t xml:space="preserve"> </w:t>
      </w:r>
      <w:r>
        <w:t xml:space="preserve">with ties handled at the floor and means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snapped to zero before</w:t>
      </w:r>
      <w:r>
        <w:t xml:space="preserve"> </w:t>
      </w:r>
      <w:r>
        <w:t xml:space="preserve">ranking and win/tie/loss. A scan of the 71,400 stored per-run errors found no</w:t>
      </w:r>
      <w:r>
        <w:t xml:space="preserve"> </w:t>
      </w:r>
      <w:r>
        <w:t xml:space="preserve">value in the open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)</m:t>
        </m:r>
      </m:oMath>
      <w:r>
        <w:t xml:space="preserve">, so the surrogate and the raw check</w:t>
      </w:r>
      <w:r>
        <w:t xml:space="preserve"> </w:t>
      </w:r>
      <w:r>
        <w:t xml:space="preserve">would coincide on this release. The substitution is nonetheless recorded rather</w:t>
      </w:r>
      <w:r>
        <w:t xml:space="preserve"> </w:t>
      </w:r>
      <w:r>
        <w:t xml:space="preserve">than presented as the check itself.</w:t>
      </w:r>
    </w:p>
    <w:bookmarkEnd w:id="69"/>
    <w:bookmarkEnd w:id="70"/>
    <w:bookmarkEnd w:id="71"/>
    <w:bookmarkStart w:id="76" w:name="lbl_sec_exp_cec2011"/>
    <w:p>
      <w:pPr>
        <w:pStyle w:val="Heading2"/>
      </w:pPr>
      <w:bookmarkStart w:id="205" w:name="ref_sec_exp_cec2011"/>
      <w:r>
        <w:t xml:space="preserve">4.3.</w:t>
      </w:r>
      <w:bookmarkEnd w:id="205"/>
      <w:r>
        <w:tab/>
      </w:r>
      <w:r>
        <w:t xml:space="preserve"> Results on the CEC2011 Real-World Suite</w:t>
      </w:r>
    </w:p>
    <w:p>
      <w:pPr>
        <w:pStyle w:val="FirstParagraph"/>
      </w:pPr>
      <w:r>
        <w:t xml:space="preserve">The per-problem five-statistic results of DT-GSK against the original</w:t>
      </w:r>
      <w:r>
        <w:t xml:space="preserve"> </w:t>
      </w:r>
      <w:r>
        <w:t xml:space="preserve">GSK on the 22 CEC2011 problems — together with the eGSK loss and the</w:t>
      </w:r>
      <w:r>
        <w:t xml:space="preserve"> </w:t>
      </w:r>
      <w:r>
        <w:t xml:space="preserve">DT-GSK-versus-GSK detail — are reported in the Supplementary Materials,</w:t>
      </w:r>
      <w:r>
        <w:t xml:space="preserve"> </w:t>
      </w:r>
      <w:r>
        <w:t xml:space="preserve">Section S2 (the complete six-comparator across-problem Wilcoxon–Holm</w:t>
      </w:r>
      <w:r>
        <w:t xml:space="preserve"> </w:t>
      </w:r>
      <w:r>
        <w:t xml:space="preserve">matrix is in the released analysis bundle), and the full convergence grids</w:t>
      </w:r>
      <w:r>
        <w:t xml:space="preserve"> </w:t>
      </w:r>
      <w:r>
        <w:t xml:space="preserve">in Section S3. The endpoint is the raw best objective value; error cells</w:t>
      </w:r>
      <w:r>
        <w:t xml:space="preserve"> </w:t>
      </w:r>
      <w:r>
        <w:t xml:space="preserve">are NaN by design on problems without published optima, and best-fitness</w:t>
      </w:r>
      <w:r>
        <w:t xml:space="preserve"> </w:t>
      </w:r>
      <w:r>
        <w:t xml:space="preserve">is authoritative there. This suite is corroborative, so the main text</w:t>
      </w:r>
      <w:r>
        <w:t xml:space="preserve"> </w:t>
      </w:r>
      <w:r>
        <w:t xml:space="preserve">reports its ranking (Figure </w:t>
      </w:r>
      <w:r>
        <w:fldChar w:fldCharType="begin"/>
      </w:r>
      <w:r>
        <w:instrText xml:space="preserve"> REF ref_fig_cec2011_ranks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 and significance</w:t>
      </w:r>
      <w:r>
        <w:t xml:space="preserve"> </w:t>
      </w:r>
      <w:r>
        <w:t xml:space="preserve">below and defers the dense per-problem five-statistic table to the</w:t>
      </w:r>
      <w:r>
        <w:t xml:space="preserve"> </w:t>
      </w:r>
      <w:r>
        <w:t xml:space="preserve">supplement.</w:t>
      </w:r>
    </w:p>
    <w:p>
      <w:pPr>
        <w:pStyle w:val="BodyText"/>
      </w:pPr>
      <w:r>
        <w:t xml:space="preserve">Within the GSK-family panel, DT-GSK places second of seven on</w:t>
      </w:r>
      <w:r>
        <w:t xml:space="preserve"> </w:t>
      </w:r>
      <w:r>
        <w:t xml:space="preserve">CEC2011 by Friedman mean rank (3.36), behind eGSK (2.52); the</w:t>
      </w:r>
      <w:r>
        <w:t xml:space="preserve"> </w:t>
      </w:r>
      <w:r>
        <w:t xml:space="preserve">omnibus is significant (Iman–Davenport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4.27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and Figure </w:t>
      </w:r>
      <w:r>
        <w:fldChar w:fldCharType="begin"/>
      </w:r>
      <w:r>
        <w:instrText xml:space="preserve"> REF ref_fig_cec2011_ranks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shows</w:t>
      </w:r>
      <w:r>
        <w:t xml:space="preserve"> </w:t>
      </w:r>
      <w:r>
        <w:t xml:space="preserve">the resulting ordering.</w:t>
      </w:r>
    </w:p>
    <w:p>
      <w:pPr>
        <w:pStyle w:val="BodyText"/>
      </w:pPr>
      <w:r>
        <w:t xml:space="preserve">The across-problem Holm-corrected Wilcoxon against eGSK is a</w:t>
      </w:r>
      <w:r>
        <w:t xml:space="preserve"> </w:t>
      </w:r>
      <w:r>
        <w:t xml:space="preserve">statistically significant loss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It is the study’s only</w:t>
      </w:r>
      <w:r>
        <w:t xml:space="preserve"> </w:t>
      </w:r>
      <w:r>
        <w:t xml:space="preserve">Holm-significant unfavorable cell on the three bound-constrained comparison</w:t>
      </w:r>
      <w:r>
        <w:t xml:space="preserve"> </w:t>
      </w:r>
      <w:r>
        <w:t xml:space="preserve">suites; the pre-registered CEC2020 leg adds two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ref_sec_exp_cec2020 \h </w:instrText>
      </w:r>
      <w:r>
        <w:fldChar w:fldCharType="separate"/>
      </w:r>
      <w:r>
        <w:t xml:space="preserve">4.5</w:t>
      </w:r>
      <w:r>
        <w:fldChar w:fldCharType="end"/>
      </w:r>
      <w:r>
        <w:t xml:space="preserve">). It</w:t>
      </w:r>
      <w:r>
        <w:t xml:space="preserve"> </w:t>
      </w:r>
      <w:r>
        <w:t xml:space="preserve">accompanies every CEC2011 placement statement in this paper. As on CEC2017,</w:t>
      </w:r>
      <w:r>
        <w:t xml:space="preserve"> </w:t>
      </w:r>
      <w:r>
        <w:t xml:space="preserve">the DT-GSK–eGSK Friedman-rank gap of</w:t>
      </w:r>
      <w:r>
        <w:t xml:space="preserve"> </w:t>
      </w:r>
      <m:oMath>
        <m:r>
          <m:t>0.84</m:t>
        </m:r>
      </m:oMath>
      <w:r>
        <w:t xml:space="preserve"> </w:t>
      </w:r>
      <w:r>
        <w:t xml:space="preserve">is nonetheless within the</w:t>
      </w:r>
      <w:r>
        <w:t xml:space="preserve"> </w:t>
      </w:r>
      <w:r>
        <w:t xml:space="preserve">Nemenyi critical difference of</w:t>
      </w:r>
      <w:r>
        <w:t xml:space="preserve"> </w:t>
      </w:r>
      <m:oMath>
        <m:r>
          <m:t>1.92</m:t>
        </m:r>
      </m:oMath>
      <w:r>
        <w:t xml:space="preserve"> </w:t>
      </w:r>
      <w:r>
        <w:t xml:space="preserve">here.</w:t>
      </w:r>
    </w:p>
    <w:p>
      <w:pPr>
        <w:pStyle w:val="BodyText"/>
      </w:pPr>
      <w:r>
        <w:t xml:space="preserve">The remaining pairwise outcomes at the same family size are two</w:t>
      </w:r>
      <w:r>
        <w:t xml:space="preserve"> </w:t>
      </w:r>
      <w:r>
        <w:t xml:space="preserve">significant wins — against AGSK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and FDB-AGSK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— and no significant difference against GSK,</w:t>
      </w:r>
      <w:r>
        <w:t xml:space="preserve"> </w:t>
      </w:r>
      <w:r>
        <w:t xml:space="preserve">APGSK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0.137</m:t>
        </m:r>
      </m:oMath>
      <w:r>
        <w:t xml:space="preserve"> </w:t>
      </w:r>
      <w:r>
        <w:t xml:space="preserve">each), and ATMALS-GSK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0.323</m:t>
        </m:r>
      </m:oMath>
      <w:r>
        <w:t xml:space="preserve">).</w:t>
      </w:r>
    </w:p>
    <w:p>
      <w:pPr>
        <w:pStyle w:val="BodyText"/>
      </w:pPr>
      <w:r>
        <w:t xml:space="preserve">The head-to-head against the original GSK illustrates why the suite</w:t>
      </w:r>
      <w:r>
        <w:t xml:space="preserve"> </w:t>
      </w:r>
      <w:r>
        <w:t xml:space="preserve">is corroborative rather than headline evidence: the descriptive</w:t>
      </w:r>
      <w:r>
        <w:t xml:space="preserve"> </w:t>
      </w:r>
      <w:r>
        <w:t xml:space="preserve">record favors DT-GSK (win/tie/loss 13–2–7,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159</m:t>
        </m:r>
      </m:oMath>
      <w:r>
        <w:t xml:space="preserve"> </w:t>
      </w:r>
      <w:r>
        <w:t xml:space="preserve">vs. 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51</m:t>
        </m:r>
      </m:oMath>
      <w:r>
        <w:t xml:space="preserve">), but the across-problem test does</w:t>
      </w:r>
      <w:r>
        <w:t xml:space="preserve"> </w:t>
      </w:r>
      <w:r>
        <w:t xml:space="preserve">not survive Holm correction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0.137</m:t>
        </m:r>
      </m:oMath>
      <w:r>
        <w:t xml:space="preserve">)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problems.</w:t>
      </w:r>
    </w:p>
    <w:p>
      <w:pPr>
        <w:pStyle w:val="BodyText"/>
      </w:pPr>
      <w:r>
        <w:t xml:space="preserve">CEC2011 therefore corroborates within-family competitiveness on</w:t>
      </w:r>
      <w:r>
        <w:t xml:space="preserve"> </w:t>
      </w:r>
      <w:r>
        <w:t xml:space="preserve">real-world problems at native dimensions — a competitive placement</w:t>
      </w:r>
      <w:r>
        <w:t xml:space="preserve"> </w:t>
      </w:r>
      <w:r>
        <w:t xml:space="preserve">(second of seven) — and does not corroborate first place; no headline</w:t>
      </w:r>
      <w:r>
        <w:t xml:space="preserve"> </w:t>
      </w:r>
      <w:r>
        <w:t xml:space="preserve">claim in this paper rests on CEC2011 alone.</w:t>
      </w:r>
    </w:p>
    <w:bookmarkStart w:id="75" w:name="lbl_fig_cec2011_ranks"/>
    <w:p>
      <w:pPr>
        <w:pStyle w:val="CaptionedFigure"/>
        <w:keepNext/>
        <w:keepLines/>
      </w:pPr>
      <w:r>
        <w:drawing>
          <wp:inline>
            <wp:extent cx="4276090" cy="2220144"/>
            <wp:effectExtent b="0" l="0" r="0" t="0"/>
            <wp:docPr descr="Figure 5.  Friedman mean ranks over the 22 CEC2011 real-world problems (25 runs each, raw best-fitness basis), sorted best-first; DT-GSK highlighted. Lower is better. Within this panel DT-GSK’s across-problem Wilcoxon vs. eGSK is a significant loss (Holm )." title="" id="73" name="Picture"/>
            <a:graphic>
              <a:graphicData uri="http://schemas.openxmlformats.org/drawingml/2006/picture">
                <pic:pic>
                  <pic:nvPicPr>
                    <pic:cNvPr descr="figures/ranks/cec2011_rank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222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06" w:name="ref_fig_cec2011_ranks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5</w:t>
      </w:r>
      <w:r>
        <w:fldChar w:fldCharType="end"/>
      </w:r>
      <w:bookmarkEnd w:id="206"/>
      <w:r>
        <w:rPr>
          <w:b/>
        </w:rPr>
        <w:t xml:space="preserve">. </w:t>
      </w:r>
      <w:r>
        <w:t xml:space="preserve"> Friedman mean ranks over the 22 CEC2011 real-world problems</w:t>
      </w:r>
      <w:r>
        <w:t xml:space="preserve"> </w:t>
      </w:r>
      <w:r>
        <w:t xml:space="preserve">(25 runs each, raw best-fitness basis), sorted best-first; DT-GSK</w:t>
      </w:r>
      <w:r>
        <w:t xml:space="preserve"> </w:t>
      </w:r>
      <w:r>
        <w:t xml:space="preserve">highlighted. Lower is better.</w:t>
      </w:r>
      <w:r>
        <w:t xml:space="preserve"> </w:t>
      </w:r>
      <w:r>
        <w:t xml:space="preserve">Within this panel DT-GSK’s across-problem Wilcoxon vs. eGSK is</w:t>
      </w:r>
      <w:r>
        <w:t xml:space="preserve"> </w:t>
      </w:r>
      <w:r>
        <w:t xml:space="preserve">a significant loss 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</w:p>
    <w:bookmarkEnd w:id="75"/>
    <w:bookmarkEnd w:id="76"/>
    <w:bookmarkStart w:id="78" w:name="lbl_sec_exp_cec2013"/>
    <w:p>
      <w:pPr>
        <w:pStyle w:val="Heading2"/>
      </w:pPr>
      <w:bookmarkStart w:id="207" w:name="ref_sec_exp_cec2013"/>
      <w:r>
        <w:t xml:space="preserve">4.4.</w:t>
      </w:r>
      <w:bookmarkEnd w:id="207"/>
      <w:r>
        <w:tab/>
      </w:r>
      <w:r>
        <w:t xml:space="preserve"> Results on the CEC2013 Second Comparison Suite</w:t>
      </w:r>
    </w:p>
    <w:p>
      <w:pPr>
        <w:pStyle w:val="FirstParagraph"/>
      </w:pPr>
      <w:r>
        <w:t xml:space="preserve">CEC2013 is reported as a second comparison suite — for breadth of</w:t>
      </w:r>
      <w:r>
        <w:t xml:space="preserve"> </w:t>
      </w:r>
      <w:r>
        <w:t xml:space="preserve">comparison under the identical protocol — and carries no</w:t>
      </w:r>
      <w:r>
        <w:t xml:space="preserve"> </w:t>
      </w:r>
      <w:r>
        <w:t xml:space="preserve">independence claim of any kind. The per-function five-statistic</w:t>
      </w:r>
      <w:r>
        <w:t xml:space="preserve"> </w:t>
      </w:r>
      <w:r>
        <w:t xml:space="preserve">tables and the Wilcoxon summaries are in the Supplementary Materials,</w:t>
      </w:r>
      <w:r>
        <w:t xml:space="preserve"> </w:t>
      </w:r>
      <w:r>
        <w:t xml:space="preserve">Section S2; the panel-level numbers quoted here are re-derivable from</w:t>
      </w:r>
      <w:r>
        <w:t xml:space="preserve"> </w:t>
      </w:r>
      <w:r>
        <w:t xml:space="preserve">the released analysis bundle.</w:t>
      </w:r>
    </w:p>
    <w:p>
      <w:pPr>
        <w:pStyle w:val="BodyText"/>
      </w:pPr>
      <w:r>
        <w:t xml:space="preserve">Within the GSK-family panel, DT-GSK attains the best overall</w:t>
      </w:r>
      <w:r>
        <w:t xml:space="preserve"> </w:t>
      </w:r>
      <w:r>
        <w:t xml:space="preserve">Friedman mean rank on CEC2013 (2.80, unweighted mean of the three</w:t>
      </w:r>
      <w:r>
        <w:t xml:space="preserve"> </w:t>
      </w:r>
      <w:r>
        <w:t xml:space="preserve">per-dimension mean ranks, the same descriptive convention as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ref_tab_friedman_cec2017 \h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; eGSK is second at 3.41).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ref_tab_friedman_cec2013 \h </w:instrText>
      </w:r>
      <w:r>
        <w:fldChar w:fldCharType="separate"/>
      </w:r>
      <w:r>
        <w:t xml:space="preserve">16</w:t>
      </w:r>
      <w:r>
        <w:fldChar w:fldCharType="end"/>
      </w:r>
      <w:r>
        <w:t xml:space="preserve"> reports the full per-dimension panel.</w:t>
      </w:r>
    </w:p>
    <w:bookmarkStart w:id="77" w:name="lbl_tab_friedman_cec2013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08" w:name="ref_tab_friedman_cec2013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16</w:t>
      </w:r>
      <w:r>
        <w:fldChar w:fldCharType="end"/>
      </w:r>
      <w:bookmarkEnd w:id="208"/>
      <w:r>
        <w:rPr>
          <w:b/>
        </w:rPr>
        <w:t xml:space="preserve">. </w:t>
      </w:r>
      <w:r>
        <w:t xml:space="preserve"> Friedman mean ranks (lower is better) of the seven-algorithm</w:t>
      </w:r>
      <w:r>
        <w:t xml:space="preserve"> </w:t>
      </w:r>
      <w:r>
        <w:t xml:space="preserve">GSK-family panel on the CEC2013 second comparison suite per dimension</w:t>
      </w:r>
      <w:r>
        <w:t xml:space="preserve"> </w:t>
      </w:r>
      <w:r>
        <w:t xml:space="preserve">(28 per-function mean errors as blocks, 51 runs each) plus the</w:t>
      </w:r>
      <w:r>
        <w:t xml:space="preserve"> </w:t>
      </w:r>
      <w:r>
        <w:t xml:space="preserve">unweighted across-dimension mean (</w:t>
      </w:r>
      <w:r>
        <w:t xml:space="preserve">“Overall”</w:t>
      </w:r>
      <w:r>
        <w:t xml:space="preserve">, a descriptive</w:t>
      </w:r>
      <w:r>
        <w:t xml:space="preserve"> </w:t>
      </w:r>
      <w:r>
        <w:t xml:space="preserve">aggregate); the Friedman + Iman–Davenport omnibus is significant at</w:t>
      </w:r>
      <w:r>
        <w:t xml:space="preserve"> </w:t>
      </w:r>
      <w:r>
        <w:t xml:space="preserve">every dimension (</w:t>
      </w:r>
      <m:oMath>
        <m:r>
          <m:t>p</m:t>
        </m:r>
        <m:r>
          <m:rPr>
            <m:sty m:val="p"/>
          </m:rPr>
          <m:t>≤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 Best rank per column in</w:t>
      </w:r>
      <w:r>
        <w:t xml:space="preserve"> </w:t>
      </w:r>
      <w:r>
        <w:t xml:space="preserve">bold. CEC2013 is reported for breadth of comparison and carries no</w:t>
      </w:r>
      <w:r>
        <w:t xml:space="preserve"> </w:t>
      </w:r>
      <w:r>
        <w:t xml:space="preserve">independence claim.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iedman mean ranks (lower is better) of the seven-algorithm GSK-family panel on the CEC2013 second comparison suite per dimension (28 per-function mean errors as blocks, 51 runs each) plus the unweighted across-dimension mean (“Overall”, a descriptive aggregate); the Friedman + Iman–Davenport omnibus is significant at every dimension (p ≤1.1 ×10^-3). Best rank per column in bold. CEC2013 is reported for breadth of comparison and carries no independence claim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Overall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2.80</w:t>
            </w:r>
          </w:p>
        </w:tc>
      </w:tr>
    </w:tbl>
    <w:bookmarkEnd w:id="77"/>
    <w:p>
      <w:pPr>
        <w:pStyle w:val="BodyText"/>
      </w:pPr>
      <w:r>
        <w:t xml:space="preserve">The per-dimension picture is first/third/first: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DT-GSK leads with mean rank 2.41 (omnibus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);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it places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(3.38)</w:t>
      </w:r>
      <w:r>
        <w:t xml:space="preserve"> </w:t>
      </w:r>
      <w:r>
        <w:t xml:space="preserve">behind eGSK (3.07) and ATMALS-GSK (3.34) (omnibus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);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it leads again with 2.61</w:t>
      </w:r>
      <w:r>
        <w:t xml:space="preserve"> </w:t>
      </w:r>
      <w:r>
        <w:t xml:space="preserve">(omnibus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third place is disclosed as this suite’s counterpart of</w:t>
      </w:r>
      <w:r>
        <w:t xml:space="preserve"> </w:t>
      </w:r>
      <w:r>
        <w:t xml:space="preserve">the CEC2017 mid-dimension weakness; the across-function</w:t>
      </w:r>
      <w:r>
        <w:t xml:space="preserve"> </w:t>
      </w:r>
      <w:r>
        <w:t xml:space="preserve">Holm-corrected Wilcoxon tests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against both eGSK and</w:t>
      </w:r>
      <w:r>
        <w:t xml:space="preserve"> </w:t>
      </w:r>
      <w:r>
        <w:t xml:space="preserve">ATMALS-GSK show no significant difference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0.748</m:t>
        </m:r>
      </m:oMath>
      <w:r>
        <w:t xml:space="preserve"> </w:t>
      </w:r>
      <w:r>
        <w:t xml:space="preserve">each), so the deficit is ordinal, not statistically separable.</w:t>
      </w:r>
    </w:p>
    <w:p>
      <w:pPr>
        <w:pStyle w:val="BodyText"/>
      </w:pPr>
      <w:r>
        <w:t xml:space="preserve">Against the original GSK, DT-GSK records Holm-significant wins at</w:t>
      </w:r>
      <w:r>
        <w:t xml:space="preserve"> </w:t>
      </w:r>
      <w:r>
        <w:t xml:space="preserve">all three dimensions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</m:oMath>
      <w:r>
        <w:t xml:space="preserve">; win/tie/loss 24–2–2,</w:t>
      </w:r>
      <w:r>
        <w:t xml:space="preserve"> </w:t>
      </w:r>
      <w:r>
        <w:t xml:space="preserve">21–2–5, and 24–2–2;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340</m:t>
        </m:r>
        <m:r>
          <m:rPr>
            <m:sty m:val="p"/>
          </m:rPr>
          <m:t>/</m:t>
        </m:r>
        <m:r>
          <m:t>11</m:t>
        </m:r>
      </m:oMath>
      <w:r>
        <w:t xml:space="preserve">,</w:t>
      </w:r>
      <w:r>
        <w:t xml:space="preserve"> </w:t>
      </w:r>
      <m:oMath>
        <m:r>
          <m:t>286</m:t>
        </m:r>
        <m:r>
          <m:rPr>
            <m:sty m:val="p"/>
          </m:rPr>
          <m:t>/</m:t>
        </m:r>
        <m:r>
          <m:t>65</m:t>
        </m:r>
      </m:oMath>
      <w:r>
        <w:t xml:space="preserve">, and</w:t>
      </w:r>
      <w:r>
        <w:t xml:space="preserve"> </w:t>
      </w:r>
      <m:oMath>
        <m:r>
          <m:t>314</m:t>
        </m:r>
        <m:r>
          <m:rPr>
            <m:sty m:val="p"/>
          </m:rPr>
          <m:t>/</m:t>
        </m:r>
        <m:r>
          <m:t>37</m:t>
        </m:r>
      </m:oMath>
      <w:r>
        <w:t xml:space="preserve">).</w:t>
      </w:r>
    </w:p>
    <w:p>
      <w:pPr>
        <w:pStyle w:val="BodyText"/>
      </w:pPr>
      <w:r>
        <w:t xml:space="preserve">The dimension profile of these outcomes mirrors the primary suite:</w:t>
      </w:r>
      <w:r>
        <w:t xml:space="preserve"> </w:t>
      </w:r>
      <w:r>
        <w:t xml:space="preserve">the mid-dimension tier is where the improved family variants —</w:t>
      </w:r>
      <w:r>
        <w:t xml:space="preserve"> </w:t>
      </w:r>
      <w:r>
        <w:t xml:space="preserve">eGSK and ATMALS-GSK in particular — are hardest to separate,</w:t>
      </w:r>
      <w:r>
        <w:t xml:space="preserve"> </w:t>
      </w:r>
      <w:r>
        <w:t xml:space="preserve">while the low- and upper-dimension tiers favor DT-GSK within the</w:t>
      </w:r>
      <w:r>
        <w:t xml:space="preserve"> </w:t>
      </w:r>
      <w:r>
        <w:t xml:space="preserve">panel.</w:t>
      </w:r>
    </w:p>
    <w:p>
      <w:pPr>
        <w:pStyle w:val="BodyText"/>
      </w:pPr>
      <w:r>
        <w:t xml:space="preserve">Because these results come from the same protocol and pairing as the</w:t>
      </w:r>
      <w:r>
        <w:t xml:space="preserve"> </w:t>
      </w:r>
      <w:r>
        <w:t xml:space="preserve">primary suite, they are read as breadth of comparison within the GSK</w:t>
      </w:r>
      <w:r>
        <w:t xml:space="preserve"> </w:t>
      </w:r>
      <w:r>
        <w:t xml:space="preserve">family panel, not as evidence of generalization beyond the suites</w:t>
      </w:r>
      <w:r>
        <w:t xml:space="preserve"> </w:t>
      </w:r>
      <w:r>
        <w:t xml:space="preserve">tested.</w:t>
      </w:r>
    </w:p>
    <w:bookmarkEnd w:id="78"/>
    <w:bookmarkStart w:id="80" w:name="lbl_sec_exp_cec2020"/>
    <w:p>
      <w:pPr>
        <w:pStyle w:val="Heading2"/>
      </w:pPr>
      <w:bookmarkStart w:id="209" w:name="ref_sec_exp_cec2020"/>
      <w:r>
        <w:t xml:space="preserve">4.5.</w:t>
      </w:r>
      <w:bookmarkEnd w:id="209"/>
      <w:r>
        <w:tab/>
      </w:r>
      <w:r>
        <w:t xml:space="preserve"> Results on the CEC2020 Pre-Registered Confirmatory Suite</w:t>
      </w:r>
    </w:p>
    <w:p>
      <w:pPr>
        <w:pStyle w:val="FirstParagraph"/>
      </w:pPr>
      <w:r>
        <w:t xml:space="preserve">CEC2020 is the one suite in this study whose entire analysis — the</w:t>
      </w:r>
      <w:r>
        <w:t xml:space="preserve"> </w:t>
      </w:r>
      <w:r>
        <w:t xml:space="preserve">hypotheses, the analysis families, the tie rules, and the three candidate</w:t>
      </w:r>
      <w:r>
        <w:t xml:space="preserve"> </w:t>
      </w:r>
      <w:r>
        <w:t xml:space="preserve">outcome sentences — was committed to the repository before any CEC2020</w:t>
      </w:r>
      <w:r>
        <w:t xml:space="preserve"> </w:t>
      </w:r>
      <w:r>
        <w:t xml:space="preserve">result existed, at the signing of the registered</w:t>
      </w:r>
      <w:r>
        <w:t xml:space="preserve"> </w:t>
      </w:r>
      <w:r>
        <w:t xml:space="preserve">analysis-plan addendum. The complete registered battery, its robustness</w:t>
      </w:r>
      <w:r>
        <w:t xml:space="preserve"> </w:t>
      </w:r>
      <w:r>
        <w:t xml:space="preserve">checks, and the mid-campaign inspection ledger are reported in</w:t>
      </w:r>
      <w:r>
        <w:t xml:space="preserve"> </w:t>
      </w:r>
      <w:r>
        <w:t xml:space="preserve">Supplementary Section S8, and the outcome sentence below is the</w:t>
      </w:r>
      <w:r>
        <w:t xml:space="preserve"> </w:t>
      </w:r>
      <w:r>
        <w:t xml:space="preserve">pre-committed wording-bank variant selected by the data, not re-drafted</w:t>
      </w:r>
      <w:r>
        <w:t xml:space="preserve"> </w:t>
      </w:r>
      <w:r>
        <w:t xml:space="preserve">after the fact.</w:t>
      </w:r>
    </w:p>
    <w:p>
      <w:pPr>
        <w:pStyle w:val="BodyText"/>
      </w:pPr>
      <w:r>
        <w:t xml:space="preserve">The protocol is the registered one of Table </w:t>
      </w:r>
      <w:r>
        <w:fldChar w:fldCharType="begin"/>
      </w:r>
      <w:r>
        <w:instrText xml:space="preserve"> REF ref_tab_protocol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: 10</w:t>
      </w:r>
      <w:r>
        <w:t xml:space="preserve"> </w:t>
      </w:r>
      <w:r>
        <w:t xml:space="preserve">functions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with F6 and F7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(38 scored cells), 30 runs per cell, a MaxFES that rises from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, and the error</w:t>
      </w:r>
      <w:r>
        <w:t xml:space="preserve"> </w:t>
      </w:r>
      <w:r>
        <w:t xml:space="preserve">basis with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floor.</w:t>
      </w:r>
    </w:p>
    <w:p>
      <w:pPr>
        <w:pStyle w:val="BodyText"/>
      </w:pPr>
      <w:r>
        <w:t xml:space="preserve">On AGSK’s strongest suite — the CEC2020 competition in which it was</w:t>
      </w:r>
      <w:r>
        <w:t xml:space="preserve"> </w:t>
      </w:r>
      <w:r>
        <w:t xml:space="preserve">the runner-up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 — DT-GSK places fourth; the family</w:t>
      </w:r>
      <w:r>
        <w:t xml:space="preserve"> </w:t>
      </w:r>
      <w:r>
        <w:t xml:space="preserve">panel corroborates AGSK’s published strength in this regime. That suite</w:t>
      </w:r>
      <w:r>
        <w:t xml:space="preserve"> </w:t>
      </w:r>
      <w:r>
        <w:t xml:space="preserve">evaluates the low-dimensional boundary condition of the tiered design —</w:t>
      </w:r>
      <w:r>
        <w:t xml:space="preserve"> </w:t>
      </w:r>
      <w:r>
        <w:t xml:space="preserve">every dimension-gated DT-GSK subsystem is inactive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and is not affirmative evidence for the tiering choice itself.</w:t>
      </w:r>
    </w:p>
    <w:p>
      <w:pPr>
        <w:pStyle w:val="BodyText"/>
      </w:pPr>
      <w:r>
        <w:t xml:space="preserve">“Inactive”</w:t>
      </w:r>
      <w:r>
        <w:t xml:space="preserve"> </w:t>
      </w:r>
      <w:r>
        <w:t xml:space="preserve">here follows the gating taxonomy of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ref_tab_dim_gating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: at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cells the always-on scaffold</w:t>
      </w:r>
      <w:r>
        <w:t xml:space="preserve"> </w:t>
      </w:r>
      <w:r>
        <w:t xml:space="preserve">does cross into its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 </w:t>
      </w:r>
      <w:r>
        <w:t xml:space="preserve">tier — the optional</w:t>
      </w:r>
      <w:r>
        <w:t xml:space="preserve"> </w:t>
      </w:r>
      <w:r>
        <w:t xml:space="preserve">differential-evolution arm joins the ACE pool, the credit assignment</w:t>
      </w:r>
      <w:r>
        <w:t xml:space="preserve"> </w:t>
      </w:r>
      <w:r>
        <w:t xml:space="preserve">splits into a top/bottom improvement memory, and several tier constants</w:t>
      </w:r>
      <w:r>
        <w:t xml:space="preserve"> </w:t>
      </w:r>
      <w:r>
        <w:t xml:space="preserve">change — while the gated subsystems themselves (the</w:t>
      </w:r>
      <w:r>
        <w:t xml:space="preserve"> </w:t>
      </w:r>
      <w:r>
        <w:t xml:space="preserve">interaction-structure memory, the deterministic final polish, and the</w:t>
      </w:r>
      <w:r>
        <w:t xml:space="preserve"> </w:t>
      </w:r>
      <w:r>
        <w:t xml:space="preserve">upper-tier controllers) remain off.</w:t>
      </w:r>
    </w:p>
    <w:p>
      <w:pPr>
        <w:pStyle w:val="BodyText"/>
      </w:pPr>
      <w:r>
        <w:t xml:space="preserve">The descriptive across-dimension aggregate (the unweighted mean of the</w:t>
      </w:r>
      <w:r>
        <w:t xml:space="preserve"> </w:t>
      </w:r>
      <w:r>
        <w:t xml:space="preserve">four per-dimension Friedman mean ranks; no test is attached,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task set is reduced to 8 functions, and MaxFES changes by dimension, so</w:t>
      </w:r>
      <w:r>
        <w:t xml:space="preserve"> </w:t>
      </w:r>
      <w:r>
        <w:t xml:space="preserve">the aggregate mixes budget regimes) is 4.11 for DT-GSK, fourth of</w:t>
      </w:r>
      <w:r>
        <w:t xml:space="preserve"> </w:t>
      </w:r>
      <w:r>
        <w:t xml:space="preserve">seven; AGSK is best at 2.09, FDB-AGSK second at 2.31, and APGSK</w:t>
      </w:r>
      <w:r>
        <w:t xml:space="preserve"> </w:t>
      </w:r>
      <w:r>
        <w:t xml:space="preserve">third at 3.09.</w:t>
      </w:r>
    </w:p>
    <w:p>
      <w:pPr>
        <w:pStyle w:val="BodyText"/>
      </w:pPr>
      <w:r>
        <w:t xml:space="preserve">Per dimension, the Friedman–Iman–Davenport omnibus separates the panel</w:t>
      </w:r>
      <w:r>
        <w:t xml:space="preserve"> </w:t>
      </w:r>
      <w:r>
        <w:t xml:space="preserve">at every dimension (</w:t>
      </w:r>
      <m:oMath>
        <m:r>
          <m:t>p</m:t>
        </m:r>
        <m:r>
          <m:rPr>
            <m:sty m:val="p"/>
          </m:rPr>
          <m:t>≤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with the registered</w:t>
      </w:r>
      <w:r>
        <w:t xml:space="preserve"> </w:t>
      </w:r>
      <w:r>
        <w:t xml:space="preserve">seeded permutation check agreeing at each; the mean ranks place DT-GSK</w:t>
      </w:r>
      <w:r>
        <w:t xml:space="preserve"> </w:t>
      </w:r>
      <w:r>
        <w:t xml:space="preserve">at 4.25 (fourth)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 4.10 (fourth)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3.50 (tied-third</w:t>
      </w:r>
      <w:r>
        <w:t xml:space="preserve"> </w:t>
      </w:r>
      <w:r>
        <w:t xml:space="preserve">with APGSK)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, and 4.60 (fifth)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, while AGSK</w:t>
      </w:r>
      <w:r>
        <w:t xml:space="preserve"> </w:t>
      </w:r>
      <w:r>
        <w:t xml:space="preserve">holds the best mean rank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 </w:t>
      </w:r>
      <w:r>
        <w:t xml:space="preserve">(1.90, 2.10, 1.60)</w:t>
      </w:r>
      <w:r>
        <w:t xml:space="preserve"> </w:t>
      </w:r>
      <w:r>
        <w:t xml:space="preserve">and APGSK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(2.38).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ref_tab_cec2020_ranks \h </w:instrText>
      </w:r>
      <w:r>
        <w:fldChar w:fldCharType="separate"/>
      </w:r>
      <w:r>
        <w:t xml:space="preserve">17</w:t>
      </w:r>
      <w:r>
        <w:fldChar w:fldCharType="end"/>
      </w:r>
      <w:r>
        <w:t xml:space="preserve"> reports the complete panel.</w:t>
      </w:r>
    </w:p>
    <w:bookmarkStart w:id="79" w:name="lbl_tab_cec2020_rank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10" w:name="ref_tab_cec2020_ranks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17</w:t>
      </w:r>
      <w:r>
        <w:fldChar w:fldCharType="end"/>
      </w:r>
      <w:bookmarkEnd w:id="210"/>
      <w:r>
        <w:rPr>
          <w:b/>
        </w:rPr>
        <w:t xml:space="preserve">. </w:t>
      </w:r>
      <w:r>
        <w:t xml:space="preserve"> CEC2020 final panel results: tie-corrected Friedman mean ranks per</w:t>
      </w:r>
      <w:r>
        <w:t xml:space="preserve"> </w:t>
      </w:r>
      <w:r>
        <w:t xml:space="preserve">dimension (lower is better; 30 runs per cell, error basis with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floor; best mean rank per dimension column in bold) and the descriptive</w:t>
      </w:r>
      <w:r>
        <w:t xml:space="preserve"> </w:t>
      </w:r>
      <w:r>
        <w:t xml:space="preserve">across-dimension aggregate. No test is attached to</w:t>
      </w:r>
      <w:r>
        <w:t xml:space="preserve"> </w:t>
      </w:r>
      <w:r>
        <w:t xml:space="preserve">the aggregate: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task set is reduced to 8 functions (F6 and F7 are</w:t>
      </w:r>
      <w:r>
        <w:t xml:space="preserve"> </w:t>
      </w:r>
      <w:r>
        <w:t xml:space="preserve">undefined there), and MaxFES changes with dimension, so the aggregate mixes</w:t>
      </w:r>
      <w:r>
        <w:t xml:space="preserve"> </w:t>
      </w:r>
      <w:r>
        <w:t xml:space="preserve">budget regimes. The omnibus rows give the tie-corrected Friedman statistic,</w:t>
      </w:r>
      <w:r>
        <w:t xml:space="preserve"> </w:t>
      </w:r>
      <w:r>
        <w:t xml:space="preserve">the Iman–Davenport</w:t>
      </w:r>
      <w:r>
        <w:t xml:space="preserve"> </w:t>
      </w:r>
      <m:oMath>
        <m:r>
          <m:t>p</m:t>
        </m:r>
      </m:oMath>
      <w:r>
        <w:t xml:space="preserve">, and the registered seeded permutation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). Per-dimension ranks are exact at three decimals (</w:t>
      </w:r>
      <m:oMath>
        <m:r>
          <m:t>N</m:t>
        </m:r>
      </m:oMath>
      <w:r>
        <w:t xml:space="preserve"> </w:t>
      </w:r>
      <w:r>
        <w:t xml:space="preserve">= 8 or</w:t>
      </w:r>
      <w:r>
        <w:t xml:space="preserve"> </w:t>
      </w:r>
      <w:r>
        <w:t xml:space="preserve">10); the aggregate, their unweighted mean, is printed at four. Per-function</w:t>
      </w:r>
      <w:r>
        <w:t xml:space="preserve"> </w:t>
      </w:r>
      <w:r>
        <w:t xml:space="preserve">detail, run-level tests, and effect sizes are in Supplementary</w:t>
      </w:r>
      <w:r>
        <w:t xml:space="preserve"> </w:t>
      </w:r>
      <w:r>
        <w:t xml:space="preserve">Section S8.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final panel results: tie-corrected Friedman mean ranks per dimension (lower is better; 30 runs per cell, error basis with the 10^-8 floor; best mean rank per dimension column in bold) and the descriptive across-dimension aggregate. No test is attached to the aggregate: the D=5 task set is reduced to 8 functions (F6 and F7 are undefined there), and MaxFES changes with dimension, so the aggregate mixes budget regimes. The omnibus rows give the tie-corrected Friedman statistic, the Iman–Davenport p, and the registered seeded permutation p (B = 10^5). Per-dimension ranks are exact at three decimals (N = 8 or 10); the aggregate, their unweighted mean, is printed at four. Per-function detail, run-level tests, and effect sizes are in Supplementary Section S8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Aggregate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2.0875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2.3125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3.0938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4.1125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5.4437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5.4562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5.4938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Functions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Friedman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(tie-corr.)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Iman–Davenport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Permutation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79"/>
    <w:p>
      <w:pPr>
        <w:pStyle w:val="BodyText"/>
      </w:pPr>
      <w:r>
        <w:t xml:space="preserve">In the registered across-function pairwise layer, DT-GSK is</w:t>
      </w:r>
      <w:r>
        <w:t xml:space="preserve"> </w:t>
      </w:r>
      <w:r>
        <w:t xml:space="preserve">Holm-separated in five of the twenty-four comparator–dimension cells:</w:t>
      </w:r>
      <w:r>
        <w:t xml:space="preserve"> </w:t>
      </w:r>
      <w:r>
        <w:t xml:space="preserve">three favorable — against ATMALS-GSK and 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, and</w:t>
      </w:r>
      <w:r>
        <w:t xml:space="preserve"> </w:t>
      </w:r>
      <w:r>
        <w:t xml:space="preserve">against 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— and two unfavorable — against AGSK</w:t>
      </w:r>
      <w:r>
        <w:t xml:space="preserve"> </w:t>
      </w:r>
      <w:r>
        <w:t xml:space="preserve">and FDB-AGSK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. In the remaining nineteen cells, including</w:t>
      </w:r>
      <w:r>
        <w:t xml:space="preserve"> </w:t>
      </w:r>
      <w:r>
        <w:t xml:space="preserve">every comparison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no separation is demonstrated.</w:t>
      </w:r>
    </w:p>
    <w:p>
      <w:pPr>
        <w:pStyle w:val="BodyText"/>
      </w:pPr>
      <w:r>
        <w:t xml:space="preserve">This fourth place is the boundary finding that the registered directional</w:t>
      </w:r>
      <w:r>
        <w:t xml:space="preserve"> </w:t>
      </w:r>
      <w:r>
        <w:t xml:space="preserve">expectation predicted in advance — AGSK and APGSK favored on</w:t>
      </w:r>
      <w:r>
        <w:t xml:space="preserve"> </w:t>
      </w:r>
      <w:r>
        <w:t xml:space="preserve">their home regime, every dimension-gated DT-GSK subsystem structurally</w:t>
      </w:r>
      <w:r>
        <w:t xml:space="preserve"> </w:t>
      </w:r>
      <w:r>
        <w:t xml:space="preserve">off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— and it is reported as such, not as a result that</w:t>
      </w:r>
      <w:r>
        <w:t xml:space="preserve"> </w:t>
      </w:r>
      <w:r>
        <w:t xml:space="preserve">“does not count”</w:t>
      </w:r>
      <w:r>
        <w:t xml:space="preserve">; no CEC2020 sentence in this paper claims superiority</w:t>
      </w:r>
      <w:r>
        <w:t xml:space="preserve"> </w:t>
      </w:r>
      <w:r>
        <w:t xml:space="preserve">over AGSK or FDB-AGSK at any dimension.</w:t>
      </w:r>
    </w:p>
    <w:p>
      <w:pPr>
        <w:pStyle w:val="BodyText"/>
      </w:pPr>
      <w:r>
        <w:t xml:space="preserve">One conflict adjacency accompanies every interpretation of this suite,</w:t>
      </w:r>
      <w:r>
        <w:t xml:space="preserve"> </w:t>
      </w:r>
      <w:r>
        <w:t xml:space="preserve">here as in the back matter: AGSK was the runner-up of the CEC2020</w:t>
      </w:r>
      <w:r>
        <w:t xml:space="preserve"> </w:t>
      </w:r>
      <w:r>
        <w:t xml:space="preserve">competition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, and its paper is a co-author’s.</w:t>
      </w:r>
    </w:p>
    <w:bookmarkEnd w:id="80"/>
    <w:bookmarkStart w:id="82" w:name="lbl_sec_exp_cec2013lsgo"/>
    <w:p>
      <w:pPr>
        <w:pStyle w:val="Heading2"/>
      </w:pPr>
      <w:bookmarkStart w:id="211" w:name="ref_sec_exp_cec2013lsgo"/>
      <w:r>
        <w:t xml:space="preserve">4.6.</w:t>
      </w:r>
      <w:bookmarkEnd w:id="211"/>
      <w:r>
        <w:tab/>
      </w:r>
      <w:r>
        <w:t xml:space="preserve"> Results on the CEC2013LSGO Large-Scale Suite</w:t>
      </w:r>
    </w:p>
    <w:p>
      <w:pPr>
        <w:pStyle w:val="FirstParagraph"/>
      </w:pPr>
      <w:r>
        <w:t xml:space="preserve">The CEC2013LSGO analysis in this paper is family-internal: it ranks the</w:t>
      </w:r>
      <w:r>
        <w:t xml:space="preserve"> </w:t>
      </w:r>
      <w:r>
        <w:t xml:space="preserve">seven GSK-family variants against one another under a common protocol.</w:t>
      </w:r>
      <w:r>
        <w:t xml:space="preserve"> </w:t>
      </w:r>
      <w:r>
        <w:t xml:space="preserve">Dedicated large-scale optimizers — for example</w:t>
      </w:r>
      <w:r>
        <w:t xml:space="preserve"> </w:t>
      </w:r>
      <w:r>
        <w:t xml:space="preserve">SHADE-ILS </w:t>
      </w:r>
      <w:r>
        <w:fldChar w:fldCharType="begin"/>
      </w:r>
      <w:r>
        <w:instrText xml:space="preserve"> CITATION molina2018shadeils \l 1033 </w:instrText>
      </w:r>
      <w:r>
        <w:fldChar w:fldCharType="separate"/>
      </w:r>
      <w:r>
        <w:t xml:space="preserve">[42]</w:t>
      </w:r>
      <w:r>
        <w:fldChar w:fldCharType="end"/>
      </w:r>
      <w:r>
        <w:t xml:space="preserve"> and MOS </w:t>
      </w:r>
      <w:r>
        <w:fldChar w:fldCharType="begin"/>
      </w:r>
      <w:r>
        <w:instrText xml:space="preserve"> CITATION latorre2013mos \l 1033 </w:instrText>
      </w:r>
      <w:r>
        <w:fldChar w:fldCharType="separate"/>
      </w:r>
      <w:r>
        <w:t xml:space="preserve">[43]</w:t>
      </w:r>
      <w:r>
        <w:fldChar w:fldCharType="end"/>
      </w:r>
      <w:r>
        <w:t xml:space="preserve"> —</w:t>
      </w:r>
      <w:r>
        <w:t xml:space="preserve"> </w:t>
      </w:r>
      <w:r>
        <w:t xml:space="preserve">report substantially stronger published results on this suite than any</w:t>
      </w:r>
      <w:r>
        <w:t xml:space="preserve"> </w:t>
      </w:r>
      <w:r>
        <w:t xml:space="preserve">GSK-family member, and no competitiveness with such specialists is</w:t>
      </w:r>
      <w:r>
        <w:t xml:space="preserve"> </w:t>
      </w:r>
      <w:r>
        <w:t xml:space="preserve">claimed here; cross-paradigm comparison is outside this paper’s scope.</w:t>
      </w:r>
    </w:p>
    <w:p>
      <w:pPr>
        <w:pStyle w:val="BodyText"/>
      </w:pPr>
      <w:r>
        <w:t xml:space="preserve">The suite’s evidential tier is disclosed rather than implied: the</w:t>
      </w:r>
      <w:r>
        <w:t xml:space="preserve"> </w:t>
      </w:r>
      <w:r>
        <w:t xml:space="preserve">descriptive layer (mean ranks, omnibus, win/tie/loss) was inspected</w:t>
      </w:r>
      <w:r>
        <w:t xml:space="preserve"> </w:t>
      </w:r>
      <w:r>
        <w:t xml:space="preserve">informally before the analysis addendum was signed and therefore carries</w:t>
      </w:r>
      <w:r>
        <w:t xml:space="preserve"> </w:t>
      </w:r>
      <w:r>
        <w:t xml:space="preserve">no confirmatory weight, whereas the run-level paired layer had never</w:t>
      </w:r>
      <w:r>
        <w:t xml:space="preserve"> </w:t>
      </w:r>
      <w:r>
        <w:t xml:space="preserve">been computed before registration and is confirmatory-with-disclosure;</w:t>
      </w:r>
      <w:r>
        <w:t xml:space="preserve"> </w:t>
      </w:r>
      <w:r>
        <w:t xml:space="preserve">both are reported in full, with this provenance, in Supplementary</w:t>
      </w:r>
      <w:r>
        <w:t xml:space="preserve"> </w:t>
      </w:r>
      <w:r>
        <w:t xml:space="preserve">Section S7.</w:t>
      </w:r>
    </w:p>
    <w:p>
      <w:pPr>
        <w:pStyle w:val="BodyText"/>
      </w:pPr>
      <w:r>
        <w:t xml:space="preserve">Descriptively, DT-GSK and AGSK share the best family mean rank</w:t>
      </w:r>
      <w:r>
        <w:t xml:space="preserve"> </w:t>
      </w:r>
      <w:r>
        <w:t xml:space="preserve">(tied-first, 3.13 each, over the 15 function blocks); no member except</w:t>
      </w:r>
      <w:r>
        <w:t xml:space="preserve"> </w:t>
      </w:r>
      <w:r>
        <w:t xml:space="preserve">eGSK (worse, at 5.47) is separable by the omnibus procedure at the</w:t>
      </w:r>
      <w:r>
        <w:t xml:space="preserve"> </w:t>
      </w:r>
      <w:r>
        <w:t xml:space="preserve">Nemenyi critical distance of 2.33, and DT-GSK is last on F7 and F15.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ref_tab_lsgo_ranks \h </w:instrText>
      </w:r>
      <w:r>
        <w:fldChar w:fldCharType="separate"/>
      </w:r>
      <w:r>
        <w:t xml:space="preserve">18</w:t>
      </w:r>
      <w:r>
        <w:fldChar w:fldCharType="end"/>
      </w:r>
      <w:r>
        <w:t xml:space="preserve"> reports the final family panel.</w:t>
      </w:r>
    </w:p>
    <w:bookmarkStart w:id="81" w:name="lbl_tab_lsgo_rank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12" w:name="ref_tab_lsgo_ranks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18</w:t>
      </w:r>
      <w:r>
        <w:fldChar w:fldCharType="end"/>
      </w:r>
      <w:bookmarkEnd w:id="212"/>
      <w:r>
        <w:rPr>
          <w:b/>
        </w:rPr>
        <w:t xml:space="preserve">. </w:t>
      </w:r>
      <w:r>
        <w:t xml:space="preserve"> CEC2013LSGO final family panel: tie-corrected Friedman mean ranks</w:t>
      </w:r>
      <w:r>
        <w:t xml:space="preserve"> </w:t>
      </w:r>
      <w:r>
        <w:t xml:space="preserve">over the 15 function blocks (raw best-objective basis, 25 runs per cell;</w:t>
      </w:r>
      <w:r>
        <w:t xml:space="preserve"> </w:t>
      </w:r>
      <w:r>
        <w:t xml:space="preserve">lower is better) with the across-function Wilcoxon layer against DT-GSK</w:t>
      </w:r>
      <w:r>
        <w:t xml:space="preserve"> </w:t>
      </w:r>
      <w:r>
        <w:t xml:space="preserve">(win–tie–loss on per-function means, tie band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 exact</w:t>
      </w:r>
      <w:r>
        <w:t xml:space="preserve"> </w:t>
      </w:r>
      <w:r>
        <w:t xml:space="preserve">two-sided sign-flip</w:t>
      </w:r>
      <w:r>
        <w:t xml:space="preserve"> </w:t>
      </w:r>
      <m:oMath>
        <m:r>
          <m:t>p</m:t>
        </m:r>
      </m:oMath>
      <w:r>
        <w:t xml:space="preserve">; Holm-adjusted over the six comparators). The</w:t>
      </w:r>
      <w:r>
        <w:t xml:space="preserve"> </w:t>
      </w:r>
      <w:r>
        <w:t xml:space="preserve">descriptive columns carry no confirmatory weight (inspected before</w:t>
      </w:r>
      <w:r>
        <w:t xml:space="preserve"> </w:t>
      </w:r>
      <w:r>
        <w:t xml:space="preserve">registration); the pairwise columns are the registered</w:t>
      </w:r>
      <w:r>
        <w:t xml:space="preserve"> </w:t>
      </w:r>
      <w:r>
        <w:t xml:space="preserve">supporting-with-disclosure layer, and no comparator separates from</w:t>
      </w:r>
      <w:r>
        <w:t xml:space="preserve"> </w:t>
      </w:r>
      <w:r>
        <w:t xml:space="preserve">DT-GSK. An exact rank tie is reported as tied-first, never absorbed.</w:t>
      </w:r>
      <w:r>
        <w:t xml:space="preserve"> </w:t>
      </w:r>
      <w:r>
        <w:t xml:space="preserve">Omnibus: Friedman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15.31</m:t>
        </m:r>
      </m:oMath>
      <w:r>
        <w:t xml:space="preserve">, Iman–Davenport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0.014</m:t>
        </m:r>
      </m:oMath>
      <w:r>
        <w:t xml:space="preserve">;</w:t>
      </w:r>
      <w:r>
        <w:t xml:space="preserve"> </w:t>
      </w:r>
      <w:r>
        <w:t xml:space="preserve">Nemenyi critical distance</w:t>
      </w:r>
      <w:r>
        <w:t xml:space="preserve"> </w:t>
      </w:r>
      <m:oMath>
        <m:r>
          <m:t>2.33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). Run-level tests and</w:t>
      </w:r>
      <w:r>
        <w:t xml:space="preserve"> </w:t>
      </w:r>
      <w:r>
        <w:t xml:space="preserve">effect sizes are in Supplementary Section S7.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13LSGO final family panel: tie-corrected Friedman mean ranks over the 15 function blocks (raw best-objective basis, 25 runs per cell; lower is better) with the across-function Wilcoxon layer against DT-GSK (win–tie–loss on per-function means, tie band 10^-8; exact two-sided sign-flip p; Holm-adjusted over the six comparators). The descriptive columns carry no confirmatory weight (inspected before registration); the pairwise columns are the registered supporting-with-disclosure layer, and no comparator separates from DT-GSK. An exact rank tie is reported as tied-first, never absorbed. Omnibus: Friedman chi^2 = 15.31, Iman–Davenport p = 0.014; Nemenyi critical distance 2.33 (k = 7, N = 15). Run-level tests and effect sizes are in Supplementary Section S7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 rank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Ordinal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DT-GSK W–T–L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Holm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(tied-first)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(tied-first)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9–0–6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8–0–7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0.5065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8–0–7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11–0–4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11–0–4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11–0–4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0.2875</w:t>
            </w:r>
          </w:p>
        </w:tc>
      </w:tr>
    </w:tbl>
    <w:bookmarkEnd w:id="81"/>
    <w:p>
      <w:pPr>
        <w:pStyle w:val="BodyText"/>
      </w:pPr>
      <w:r>
        <w:t xml:space="preserve">The registered paired layers resolve the standing: across functions, no</w:t>
      </w:r>
      <w:r>
        <w:t xml:space="preserve"> </w:t>
      </w:r>
      <w:r>
        <w:t xml:space="preserve">comparator separates from DT-GSK after Holm correction, and in</w:t>
      </w:r>
      <w:r>
        <w:t xml:space="preserve"> </w:t>
      </w:r>
      <w:r>
        <w:t xml:space="preserve">particular the paired tests do not separate DT-GSK from AGSK (exact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0.847</m:t>
        </m:r>
      </m:oMath>
      <w:r>
        <w:t xml:space="preserve">, Holm-adjusted</w:t>
      </w:r>
      <w:r>
        <w:t xml:space="preserve"> </w:t>
      </w:r>
      <m:oMath>
        <m:r>
          <m:t>1.0</m:t>
        </m:r>
      </m:oMath>
      <w:r>
        <w:t xml:space="preserve">) — the registered ceiling wording,</w:t>
      </w:r>
      <w:r>
        <w:t xml:space="preserve"> </w:t>
      </w:r>
      <w:r>
        <w:t xml:space="preserve">tied-first descriptive rank with no paired separation, applies verbatim.</w:t>
      </w:r>
    </w:p>
    <w:p>
      <w:pPr>
        <w:pStyle w:val="BodyText"/>
      </w:pPr>
      <w:r>
        <w:t xml:space="preserve">At run level the picture is regular in both directions, and both are</w:t>
      </w:r>
      <w:r>
        <w:t xml:space="preserve"> </w:t>
      </w:r>
      <w:r>
        <w:t xml:space="preserve">stated: DT-GSK is Holm-significantly better than every one of the six</w:t>
      </w:r>
      <w:r>
        <w:t xml:space="preserve"> </w:t>
      </w:r>
      <w:r>
        <w:t xml:space="preserve">family members on F4 and F8, and Holm-significantly worse than every one</w:t>
      </w:r>
      <w:r>
        <w:t xml:space="preserve"> </w:t>
      </w:r>
      <w:r>
        <w:t xml:space="preserve">of them on F7 and F15.</w:t>
      </w:r>
    </w:p>
    <w:p>
      <w:pPr>
        <w:pStyle w:val="BodyText"/>
      </w:pPr>
      <w:r>
        <w:t xml:space="preserve">The effect layer bars any superiority reading against ATMALS-GSK: the</w:t>
      </w:r>
      <w:r>
        <w:t xml:space="preserve"> </w:t>
      </w:r>
      <w:r>
        <w:t xml:space="preserve">mean run-level effect across the 15 functions marginally favors that</w:t>
      </w:r>
      <w:r>
        <w:t xml:space="preserve"> </w:t>
      </w:r>
      <w:r>
        <w:t xml:space="preserve">comparator (mean Cliff’s delta</w:t>
      </w:r>
      <w:r>
        <w:t xml:space="preserve"> </w:t>
      </w:r>
      <m:oMath>
        <m:r>
          <m:rPr>
            <m:sty m:val="p"/>
          </m:rPr>
          <m:t>−</m:t>
        </m:r>
        <m:r>
          <m:t>0.0025</m:t>
        </m:r>
      </m:oMath>
      <w:r>
        <w:t xml:space="preserve"> </w:t>
      </w:r>
      <w:r>
        <w:t xml:space="preserve">against DT-GSK), so the</w:t>
      </w:r>
      <w:r>
        <w:t xml:space="preserve"> </w:t>
      </w:r>
      <w:r>
        <w:t xml:space="preserve">effect layer supports no superiority claim over ATMALS-GSK on this suite.</w:t>
      </w:r>
    </w:p>
    <w:p>
      <w:pPr>
        <w:pStyle w:val="BodyText"/>
      </w:pPr>
      <w:r>
        <w:t xml:space="preserve">The one DT-GSK-specific configuration addition on this suite — the</w:t>
      </w:r>
      <w:r>
        <w:t xml:space="preserve"> </w:t>
      </w:r>
      <w:r>
        <w:t xml:space="preserve">two linkage-block-size entries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described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ref_sec_exp_settings \h </w:instrText>
      </w:r>
      <w:r>
        <w:fldChar w:fldCharType="separate"/>
      </w:r>
      <w:r>
        <w:t xml:space="preserve">4.1</w:t>
      </w:r>
      <w:r>
        <w:fldChar w:fldCharType="end"/>
      </w:r>
      <w:r>
        <w:t xml:space="preserve"> — is disclosed, with its rule,</w:t>
      </w:r>
      <w:r>
        <w:t xml:space="preserve"> </w:t>
      </w:r>
      <w:r>
        <w:t xml:space="preserve">rationale, and timing, in Supplementary Section S7.</w:t>
      </w:r>
    </w:p>
    <w:bookmarkEnd w:id="82"/>
    <w:bookmarkStart w:id="91" w:name="lbl_sec_exp_convergence"/>
    <w:p>
      <w:pPr>
        <w:pStyle w:val="Heading2"/>
      </w:pPr>
      <w:bookmarkStart w:id="213" w:name="ref_sec_exp_convergence"/>
      <w:r>
        <w:t xml:space="preserve">4.7.</w:t>
      </w:r>
      <w:bookmarkEnd w:id="213"/>
      <w:r>
        <w:tab/>
      </w:r>
      <w:r>
        <w:t xml:space="preserve"> Convergence Analysis</w:t>
      </w:r>
    </w:p>
    <w:p>
      <w:pPr>
        <w:pStyle w:val="FirstParagraph"/>
      </w:pPr>
      <w:r>
        <w:t xml:space="preserve">Figures </w:t>
      </w:r>
      <w:r>
        <w:fldChar w:fldCharType="begin"/>
      </w:r>
      <w:r>
        <w:instrText xml:space="preserve"> REF ref_fig_conv_cec2017_d30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and </w:t>
      </w:r>
      <w:r>
        <w:fldChar w:fldCharType="begin"/>
      </w:r>
      <w:r>
        <w:instrText xml:space="preserve"> REF ref_fig_conv_cec2017_d100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</w:t>
      </w:r>
      <w:r>
        <w:t xml:space="preserve">show family-overlay convergence curves on CEC2017 at the two featured</w:t>
      </w:r>
      <w:r>
        <w:t xml:space="preserve"> </w:t>
      </w:r>
      <w:r>
        <w:t xml:space="preserve">dimensions. The function selection was prespecified and frozen</w:t>
      </w:r>
      <w:r>
        <w:t xml:space="preserve"> </w:t>
      </w:r>
      <w:r>
        <w:t xml:space="preserve">before rendering, stratified over function category, difficulty tercile, and</w:t>
      </w:r>
      <w:r>
        <w:t xml:space="preserve"> </w:t>
      </w:r>
      <w:r>
        <w:t xml:space="preserve">DT-GSK standing, and it deliberately includes an unfavorable case.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selected panel comprises F3 (unimodal, easy/strong),</w:t>
      </w:r>
      <w:r>
        <w:t xml:space="preserve"> </w:t>
      </w:r>
      <w:r>
        <w:t xml:space="preserve">F10 (simple multimodal, hard/comparable), F12 (hybrid, hard/comparable),</w:t>
      </w:r>
      <w:r>
        <w:t xml:space="preserve"> </w:t>
      </w:r>
      <w:r>
        <w:t xml:space="preserve">and F26 (composition, hard/weak — the mandated unfavorable case).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it comprises F1 (unimodal, easy/strong),</w:t>
      </w:r>
      <w:r>
        <w:t xml:space="preserve"> </w:t>
      </w:r>
      <w:r>
        <w:t xml:space="preserve">F5 (simple multimodal, easy/strong), F12 (hybrid, hard/comparable),</w:t>
      </w:r>
      <w:r>
        <w:t xml:space="preserve"> </w:t>
      </w:r>
      <w:r>
        <w:t xml:space="preserve">and F26 (composition, hard/comparable).</w:t>
      </w:r>
    </w:p>
    <w:p>
      <w:pPr>
        <w:pStyle w:val="BodyText"/>
      </w:pPr>
      <w:r>
        <w:t xml:space="preserve">Every curve is the per-checkpoint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error across all 51</w:t>
      </w:r>
      <w:r>
        <w:t xml:space="preserve"> </w:t>
      </w:r>
      <w:r>
        <w:t xml:space="preserve">runs of that algorithm — the identical aggregation basis for all</w:t>
      </w:r>
      <w:r>
        <w:t xml:space="preserve"> </w:t>
      </w:r>
      <w:r>
        <w:t xml:space="preserve">seven curves in every panel, with no smoothing and no</w:t>
      </w:r>
      <w:r>
        <w:t xml:space="preserve"> </w:t>
      </w:r>
      <w:r>
        <w:t xml:space="preserve">interpolation — on a log-error axis whose display-only floor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marks exact zeros and never enters any statistic. The</w:t>
      </w:r>
      <w:r>
        <w:t xml:space="preserve"> </w:t>
      </w:r>
      <w:r>
        <w:t xml:space="preserve">complete convergence sets — CEC2017 at all four dimensions, CEC2011</w:t>
      </w:r>
      <w:r>
        <w:t xml:space="preserve"> </w:t>
      </w:r>
      <w:r>
        <w:t xml:space="preserve">at native dimensions, and CEC2013 at the prespecified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are</w:t>
      </w:r>
      <w:r>
        <w:t xml:space="preserve"> </w:t>
      </w:r>
      <w:r>
        <w:t xml:space="preserve">in the Supplementary Materials, Section S3.</w:t>
      </w:r>
    </w:p>
    <w:p>
      <w:pPr>
        <w:pStyle w:val="BodyText"/>
      </w:pPr>
      <w:r>
        <w:t xml:space="preserve">The unfavorable case is discussed rather than skipped. On F26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DT-GSK’s final mean error (</w:t>
      </w:r>
      <m:oMath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is</w:t>
      </w:r>
      <w:r>
        <w:t xml:space="preserve"> </w:t>
      </w:r>
      <w:r>
        <w:t xml:space="preserve">higher than five of the six comparators; only ATMALS-GSK</w:t>
      </w:r>
      <w:r>
        <w:t xml:space="preserve"> </w:t>
      </w:r>
      <w:r>
        <w:t xml:space="preserve">(</w:t>
      </w:r>
      <m:oMath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ends higher. Its best run</w:t>
      </w:r>
      <w:r>
        <w:t xml:space="preserve"> </w:t>
      </w:r>
      <w:r>
        <w:t xml:space="preserve">(</w:t>
      </w:r>
      <m:oMath>
        <m:r>
          <m:t>9.85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) never reaches the low attractor that every</w:t>
      </w:r>
      <w:r>
        <w:t xml:space="preserve"> </w:t>
      </w:r>
      <w:r>
        <w:t xml:space="preserve">comparator’s best run reaches (</w:t>
      </w:r>
      <m:oMath>
        <m:r>
          <m:t>2.00</m:t>
        </m:r>
      </m:oMath>
      <w:r>
        <w:t xml:space="preserve">–</w:t>
      </w:r>
      <m:oMath>
        <m:r>
          <m:t>3.00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). At the</w:t>
      </w:r>
      <w:r>
        <w:t xml:space="preserve"> </w:t>
      </w:r>
      <w:r>
        <w:t xml:space="preserve">same time its standard deviation (</w:t>
      </w:r>
      <m:oMath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) is the</w:t>
      </w:r>
      <w:r>
        <w:t xml:space="preserve"> </w:t>
      </w:r>
      <w:r>
        <w:t xml:space="preserve">smallest in the panel, the next smallest being GSK’s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measured pattern at this cell is thus consistent mid-level</w:t>
      </w:r>
      <w:r>
        <w:t xml:space="preserve"> </w:t>
      </w:r>
      <w:r>
        <w:t xml:space="preserve">convergence without basin escapes, on a composition function at the</w:t>
      </w:r>
      <w:r>
        <w:t xml:space="preserve"> </w:t>
      </w:r>
      <w:r>
        <w:t xml:space="preserve">dimension where the structure-memory subsystems are inactive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ref_sec_algorithm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); per-component attribution is not</w:t>
      </w:r>
      <w:r>
        <w:t xml:space="preserve"> </w:t>
      </w:r>
      <w:r>
        <w:t xml:space="preserve">claimed.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 same function is a comparable case: DT-GSK’s</w:t>
      </w:r>
      <w:r>
        <w:t xml:space="preserve"> </w:t>
      </w:r>
      <w:r>
        <w:t xml:space="preserve">final mean error (</w:t>
      </w:r>
      <m:oMath>
        <m:r>
          <m:t>4.09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sits below four comparators</w:t>
      </w:r>
      <w:r>
        <w:t xml:space="preserve"> </w:t>
      </w:r>
      <w:r>
        <w:t xml:space="preserve">(ATMALS-GSK</w:t>
      </w:r>
      <w:r>
        <w:t xml:space="preserve"> </w:t>
      </w:r>
      <m:oMath>
        <m:r>
          <m:t>5.55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; FDB-AGSK</w:t>
      </w:r>
      <w:r>
        <w:t xml:space="preserve"> </w:t>
      </w:r>
      <m:oMath>
        <m:r>
          <m:t>1.03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;</w:t>
      </w:r>
      <w:r>
        <w:t xml:space="preserve"> </w:t>
      </w:r>
      <w:r>
        <w:t xml:space="preserve">AGSK</w:t>
      </w:r>
      <w:r>
        <w:t xml:space="preserve"> </w:t>
      </w:r>
      <m:oMath>
        <m:r>
          <m:t>1.10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; APGSK</w:t>
      </w:r>
      <w:r>
        <w:t xml:space="preserve"> </w:t>
      </w:r>
      <m:oMath>
        <m:r>
          <m:t>1.22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 and</w:t>
      </w:r>
      <w:r>
        <w:t xml:space="preserve"> </w:t>
      </w:r>
      <w:r>
        <w:t xml:space="preserve">above GSK (</w:t>
      </w:r>
      <m:oMath>
        <m:r>
          <m:t>3.69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and eGSK</w:t>
      </w:r>
      <w:r>
        <w:t xml:space="preserve"> </w:t>
      </w:r>
      <w:r>
        <w:t xml:space="preserve">(</w:t>
      </w:r>
      <m:oMath>
        <m:r>
          <m:t>3.05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Both convergence figures share one reading basis, stated once here rather</w:t>
      </w:r>
      <w:r>
        <w:t xml:space="preserve"> </w:t>
      </w:r>
      <w:r>
        <w:t xml:space="preserve">than repeated in each caption: panels follow the fixed, prespecified</w:t>
      </w:r>
      <w:r>
        <w:t xml:space="preserve"> </w:t>
      </w:r>
      <w:r>
        <w:t xml:space="preserve">function-selection rule frozen before rendering (each set includes a mandated</w:t>
      </w:r>
      <w:r>
        <w:t xml:space="preserve"> </w:t>
      </w:r>
      <w:r>
        <w:t xml:space="preserve">unfavorable case); every curve is the per-checkpoint mean error over the 51</w:t>
      </w:r>
      <w:r>
        <w:t xml:space="preserve"> </w:t>
      </w:r>
      <w:r>
        <w:t xml:space="preserve">runs on an identical checkpoint grid with no smoothing; the</w:t>
      </w:r>
      <w:r>
        <w:t xml:space="preserve"> </w:t>
      </w:r>
      <m:oMath>
        <m:r>
          <m:t>y</m:t>
        </m:r>
      </m:oMath>
      <w:r>
        <w:t xml:space="preserve">-axis is</w:t>
      </w:r>
      <w:r>
        <w:t xml:space="preserve"> </w:t>
      </w:r>
      <w:r>
        <w:t xml:space="preserve">log-error with a display-only floor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for exact zeros, which</w:t>
      </w:r>
      <w:r>
        <w:t xml:space="preserve"> </w:t>
      </w:r>
      <w:r>
        <w:t xml:space="preserve">never enters any statistic; and one legend serves all panels.</w:t>
      </w:r>
    </w:p>
    <w:bookmarkStart w:id="86" w:name="lbl_fig_conv_cec2017_d30"/>
    <w:p>
      <w:pPr>
        <w:pStyle w:val="CaptionedFigure"/>
        <w:keepNext/>
        <w:keepLines/>
      </w:pPr>
      <w:r>
        <w:drawing>
          <wp:inline>
            <wp:extent cx="5620004" cy="4148894"/>
            <wp:effectExtent b="0" l="0" r="0" t="0"/>
            <wp:docPr descr="Figure 6.  Family-overlay convergence on CEC2017 at  — DT-GSK’s known-weak tier, ranked second behind eGSK — for the four prespecified functions: F3 (unimodal; easy/strong), F10 (simple multimodal; hard/comparable), F12 (hybrid; hard/comparable), F26 (composition; hard/weak, the mandated unfavorable case). Shared basis as stated above; APGSK checkpoint evidence at  carries the per-run availability qualification of Section 4.1." title="" id="84" name="Picture"/>
            <a:graphic>
              <a:graphicData uri="http://schemas.openxmlformats.org/drawingml/2006/picture">
                <pic:pic>
                  <pic:nvPicPr>
                    <pic:cNvPr descr="figures/convergence/main_cec2017_D3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04" cy="414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14" w:name="ref_fig_conv_cec2017_d30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6</w:t>
      </w:r>
      <w:r>
        <w:fldChar w:fldCharType="end"/>
      </w:r>
      <w:bookmarkEnd w:id="214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DT-GSK’s known-weak tier, ranked second behind eGSK — for the four</w:t>
      </w:r>
      <w:r>
        <w:t xml:space="preserve"> </w:t>
      </w:r>
      <w:r>
        <w:t xml:space="preserve">prespecified functions: F3 (unimodal; easy/strong), F10 (simple multimodal;</w:t>
      </w:r>
      <w:r>
        <w:t xml:space="preserve"> </w:t>
      </w:r>
      <w:r>
        <w:t xml:space="preserve">hard/comparable), F12 (hybrid; hard/comparable), F26 (composition;</w:t>
      </w:r>
      <w:r>
        <w:t xml:space="preserve"> </w:t>
      </w:r>
      <w:r>
        <w:t xml:space="preserve">hard/weak, the mandated unfavorable case). Shared basis as stated above;</w:t>
      </w:r>
      <w:r>
        <w:t xml:space="preserve"> </w:t>
      </w:r>
      <w:r>
        <w:t xml:space="preserve">APGSK checkpoint evidence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carries the per-run availability</w:t>
      </w:r>
      <w:r>
        <w:t xml:space="preserve"> </w:t>
      </w:r>
      <w:r>
        <w:t xml:space="preserve">qualification of Section </w:t>
      </w:r>
      <w:r>
        <w:fldChar w:fldCharType="begin"/>
      </w:r>
      <w:r>
        <w:instrText xml:space="preserve"> REF ref_sec_exp_settings \h </w:instrText>
      </w:r>
      <w:r>
        <w:fldChar w:fldCharType="separate"/>
      </w:r>
      <w:r>
        <w:t xml:space="preserve">4.1</w:t>
      </w:r>
      <w:r>
        <w:fldChar w:fldCharType="end"/>
      </w:r>
      <w:r>
        <w:t xml:space="preserve">.</w:t>
      </w:r>
    </w:p>
    <w:bookmarkEnd w:id="86"/>
    <w:bookmarkStart w:id="90" w:name="lbl_fig_conv_cec2017_d100"/>
    <w:p>
      <w:pPr>
        <w:pStyle w:val="CaptionedFigure"/>
        <w:keepNext/>
        <w:keepLines/>
      </w:pPr>
      <w:r>
        <w:drawing>
          <wp:inline>
            <wp:extent cx="5620004" cy="4148894"/>
            <wp:effectExtent b="0" l="0" r="0" t="0"/>
            <wp:docPr descr="Figure 7.  Family-overlay convergence on CEC2017 at , the tier where the structure-memory and polish subsystems are active, for the four prespecified functions: F1 (unimodal; easy/strong), F5 (simple multimodal; easy/strong), F12 (hybrid; hard/comparable), F26 (composition; hard/comparable). Shared basis as stated above." title="" id="88" name="Picture"/>
            <a:graphic>
              <a:graphicData uri="http://schemas.openxmlformats.org/drawingml/2006/picture">
                <pic:pic>
                  <pic:nvPicPr>
                    <pic:cNvPr descr="figures/convergence/main_cec2017_D10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04" cy="414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15" w:name="ref_fig_conv_cec2017_d100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7</w:t>
      </w:r>
      <w:r>
        <w:fldChar w:fldCharType="end"/>
      </w:r>
      <w:bookmarkEnd w:id="215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the tier where</w:t>
      </w:r>
      <w:r>
        <w:t xml:space="preserve"> </w:t>
      </w:r>
      <w:r>
        <w:t xml:space="preserve">the structure-memory and polish subsystems are active, for the four</w:t>
      </w:r>
      <w:r>
        <w:t xml:space="preserve"> </w:t>
      </w:r>
      <w:r>
        <w:t xml:space="preserve">prespecified functions: F1 (unimodal; easy/strong), F5 (simple multimodal;</w:t>
      </w:r>
      <w:r>
        <w:t xml:space="preserve"> </w:t>
      </w:r>
      <w:r>
        <w:t xml:space="preserve">easy/strong), F12 (hybrid; hard/comparable), F26 (composition;</w:t>
      </w:r>
      <w:r>
        <w:t xml:space="preserve"> </w:t>
      </w:r>
      <w:r>
        <w:t xml:space="preserve">hard/comparable). Shared basis as stated above.</w:t>
      </w:r>
    </w:p>
    <w:bookmarkEnd w:id="90"/>
    <w:bookmarkEnd w:id="91"/>
    <w:bookmarkStart w:id="93" w:name="lbl_sec_exp_runtime"/>
    <w:p>
      <w:pPr>
        <w:pStyle w:val="Heading2"/>
      </w:pPr>
      <w:bookmarkStart w:id="216" w:name="ref_sec_exp_runtime"/>
      <w:r>
        <w:t xml:space="preserve">4.8.</w:t>
      </w:r>
      <w:bookmarkEnd w:id="216"/>
      <w:r>
        <w:tab/>
      </w:r>
      <w:r>
        <w:t xml:space="preserve"> Runtime and Complexity in Practice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ref_tab_runtime \h </w:instrText>
      </w:r>
      <w:r>
        <w:fldChar w:fldCharType="separate"/>
      </w:r>
      <w:r>
        <w:t xml:space="preserve">19</w:t>
      </w:r>
      <w:r>
        <w:fldChar w:fldCharType="end"/>
      </w:r>
      <w:r>
        <w:t xml:space="preserve"> reports DT-GSK’s measured per-run wall-clock time on</w:t>
      </w:r>
      <w:r>
        <w:t xml:space="preserve"> </w:t>
      </w:r>
      <w:r>
        <w:t xml:space="preserve">CEC2017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the 1</w:t>
      </w:r>
      <w:r>
        <w:t xml:space="preserve">,</w:t>
      </w:r>
      <w:r>
        <w:t xml:space="preserve">479 runs per dimension cell, i.e., 29</w:t>
      </w:r>
      <w:r>
        <w:t xml:space="preserve"> </w:t>
      </w:r>
      <w:r>
        <w:t xml:space="preserve">functions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51 runs), collected in a single environment: the 51-run</w:t>
      </w:r>
      <w:r>
        <w:t xml:space="preserve"> </w:t>
      </w:r>
      <w:r>
        <w:t xml:space="preserve">post-fix campaign with the interaction graph’s compiled kernels active. The</w:t>
      </w:r>
      <w:r>
        <w:t xml:space="preserve"> </w:t>
      </w:r>
      <w:r>
        <w:t xml:space="preserve">comparator timings were collected in a separate measurement session, so we do</w:t>
      </w:r>
      <w:r>
        <w:t xml:space="preserve"> </w:t>
      </w:r>
      <w:r>
        <w:t xml:space="preserve">not tabulate a cross-algorithm wall-clock comparison and make no</w:t>
      </w:r>
      <w:r>
        <w:t xml:space="preserve"> </w:t>
      </w:r>
      <w:r>
        <w:t xml:space="preserve">runtime-superiority claim; the figures characterize DT-GSK’s own cost.</w:t>
      </w:r>
    </w:p>
    <w:p>
      <w:pPr>
        <w:pStyle w:val="BodyText"/>
      </w:pPr>
      <w:r>
        <w:t xml:space="preserve">DT-GSK’s per-run time scales with dimension, from 4.93 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41.59 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the bookkeeping cost of its scaffold and</w:t>
      </w:r>
      <w:r>
        <w:t xml:space="preserve"> </w:t>
      </w:r>
      <w:r>
        <w:t xml:space="preserve">structure-memory subsystems on top of the unchanged GSK vector-update operator. These are</w:t>
      </w:r>
      <w:r>
        <w:t xml:space="preserve"> </w:t>
      </w:r>
      <w:r>
        <w:t xml:space="preserve">measured costs at matched evaluation budgets: the overhead is bookkeeping, not</w:t>
      </w:r>
      <w:r>
        <w:t xml:space="preserve"> </w:t>
      </w:r>
      <w:r>
        <w:t xml:space="preserve">extra objective evaluations (Section </w:t>
      </w:r>
      <w:r>
        <w:fldChar w:fldCharType="begin"/>
      </w:r>
      <w:r>
        <w:instrText xml:space="preserve"> REF ref_sec_algorithm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), and it grounds the</w:t>
      </w:r>
      <w:r>
        <w:t xml:space="preserve"> </w:t>
      </w:r>
      <w:r>
        <w:t xml:space="preserve">overhead limitation restated in the conclusions. These measurements are the</w:t>
      </w:r>
      <w:r>
        <w:t xml:space="preserve"> </w:t>
      </w:r>
      <w:r>
        <w:t xml:space="preserve">empirical counterpart of the per-tier asymptotic cost model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ref_sec_alg_complexity \h </w:instrText>
      </w:r>
      <w:r>
        <w:fldChar w:fldCharType="separate"/>
      </w:r>
      <w:r>
        <w:t xml:space="preserve">3.8</w:t>
      </w:r>
      <w:r>
        <w:fldChar w:fldCharType="end"/>
      </w:r>
      <w:r>
        <w:t xml:space="preserve">, so cost is reported both analytically and in</w:t>
      </w:r>
      <w:r>
        <w:t xml:space="preserve"> </w:t>
      </w:r>
      <w:r>
        <w:t xml:space="preserve">wall-clock terms. The isolated compute cost of</w:t>
      </w:r>
      <w:r>
        <w:t xml:space="preserve"> </w:t>
      </w:r>
      <w:r>
        <w:t xml:space="preserve">the interaction-structure memory is quantified in the Supplementary Materials</w:t>
      </w:r>
      <w:r>
        <w:t xml:space="preserve"> </w:t>
      </w:r>
      <w:r>
        <w:t xml:space="preserve">(Section S6.5; the measurement provenance for those figures is recorded in</w:t>
      </w:r>
      <w:r>
        <w:t xml:space="preserve"> </w:t>
      </w:r>
      <w:r>
        <w:t xml:space="preserve">Section S6.7), and it is not small: enabling the memory costs</w:t>
      </w:r>
      <w:r>
        <w:t xml:space="preserve"> </w:t>
      </w:r>
      <m:oMath>
        <m:r>
          <m:rPr>
            <m:sty m:val="p"/>
          </m:rPr>
          <m:t>+</m:t>
        </m:r>
        <m:r>
          <m:t>57.3</m:t>
        </m:r>
        <m:r>
          <m:rPr>
            <m:sty m:val="p"/>
          </m:rPr>
          <m:t>%</m:t>
        </m:r>
      </m:oMath>
      <w:r>
        <w:t xml:space="preserve"> </w:t>
      </w:r>
      <w:r>
        <w:t xml:space="preserve">wall-clock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36.3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+</m:t>
        </m:r>
        <m:r>
          <m:t>30.3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CEC2013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against no detectable standalone accuracy return at the</w:t>
      </w:r>
      <w:r>
        <w:t xml:space="preserve"> </w:t>
      </w:r>
      <w:r>
        <w:t xml:space="preserve">tiers where it is active. On the other suites DT-GSK’s mean per-run time is</w:t>
      </w:r>
      <w:r>
        <w:t xml:space="preserve"> </w:t>
      </w:r>
      <w:r>
        <w:t xml:space="preserve">4.45–34.26 s across CEC2013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and 80.64 s on CEC2011</w:t>
      </w:r>
      <w:r>
        <w:t xml:space="preserve"> </w:t>
      </w:r>
      <w:r>
        <w:t xml:space="preserve">(native dimensions). No comparator wall-clock is reported anywhere in this</w:t>
      </w:r>
      <w:r>
        <w:t xml:space="preserve"> </w:t>
      </w:r>
      <w:r>
        <w:t xml:space="preserve">paper: comparator timings were collected in a separate measurement session, so</w:t>
      </w:r>
      <w:r>
        <w:t xml:space="preserve"> </w:t>
      </w:r>
      <w:r>
        <w:t xml:space="preserve">placing them beside these figures would confound implementation and hardware</w:t>
      </w:r>
      <w:r>
        <w:t xml:space="preserve"> </w:t>
      </w:r>
      <w:r>
        <w:t xml:space="preserve">differences with algorithmic cost. The runtime evidence therefore characterizes</w:t>
      </w:r>
      <w:r>
        <w:t xml:space="preserve"> </w:t>
      </w:r>
      <w:r>
        <w:t xml:space="preserve">DT-GSK’s own cost and its scaling with dimension, and supports no</w:t>
      </w:r>
      <w:r>
        <w:t xml:space="preserve"> </w:t>
      </w:r>
      <w:r>
        <w:t xml:space="preserve">cross-algorithm efficiency claim.</w:t>
      </w:r>
    </w:p>
    <w:bookmarkStart w:id="92" w:name="lbl_tab_runtime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17" w:name="ref_tab_runtime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19</w:t>
      </w:r>
      <w:r>
        <w:fldChar w:fldCharType="end"/>
      </w:r>
      <w:bookmarkEnd w:id="217"/>
      <w:r>
        <w:rPr>
          <w:b/>
        </w:rPr>
        <w:t xml:space="preserve">. </w:t>
      </w:r>
      <w:r>
        <w:t xml:space="preserve"> Measured per-run wall-clock time of DT-GSK on CEC2017 (seconds;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1</w:t>
      </w:r>
      <w:r>
        <w:t xml:space="preserve">,</w:t>
      </w:r>
      <w:r>
        <w:t xml:space="preserve">479 runs per cell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29 functions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51 runs), collected</w:t>
      </w:r>
      <w:r>
        <w:t xml:space="preserve"> </w:t>
      </w:r>
      <w:r>
        <w:t xml:space="preserve">in a single environment: the 51-run post-fix campaign with the interaction</w:t>
      </w:r>
      <w:r>
        <w:t xml:space="preserve"> </w:t>
      </w:r>
      <w:r>
        <w:t xml:space="preserve">graph’s compiled kernels active (an earlier release had silently executed the</w:t>
      </w:r>
      <w:r>
        <w:t xml:space="preserve"> </w:t>
      </w:r>
      <w:r>
        <w:t xml:space="preserve">bit-for-bit-equivalent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reference path, inflating wall-clock only).</w:t>
      </w:r>
      <w:r>
        <w:t xml:space="preserve"> </w:t>
      </w:r>
      <w:r>
        <w:t xml:space="preserve">No comparator wall-clock is tabulated, so no cross-algorithm runtime comparison</w:t>
      </w:r>
      <w:r>
        <w:t xml:space="preserve"> </w:t>
      </w:r>
      <w:r>
        <w:t xml:space="preserve">is made. The isolated</w:t>
      </w:r>
      <w:r>
        <w:t xml:space="preserve"> </w:t>
      </w:r>
      <w:r>
        <w:t xml:space="preserve">interaction-structure-memory overhead is reported in the Supplementary Materials,</w:t>
      </w:r>
      <w:r>
        <w:t xml:space="preserve"> </w:t>
      </w:r>
      <w:r>
        <w:t xml:space="preserve">Section S6.5.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sured per-run wall-clock time of DT-GSK on CEC2017 (seconds; mean ±SD over 1,479 runs per cell = 29 functions ×51 runs), collected in a single environment: the 51-run post-fix campaign with the interaction graph’s compiled kernels active (an earlier release had silently executed the bit-for-bit-equivalent NumPy reference path, inflating wall-clock only). No comparator wall-clock is tabulated, so no cross-algorithm runtime comparison is made. The isolated interaction-structure-memory overhead is reported in the Supplementary Materials, Section S6.5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CEC2017 dimension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DT-GSK per-run wall-clock (s)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4.93</m:t>
              </m:r>
              <m:r>
                <m:rPr>
                  <m:sty m:val="p"/>
                </m:rPr>
                <m:t>±</m:t>
              </m:r>
              <m:r>
                <m:t>0.83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13.04</m:t>
              </m:r>
              <m:r>
                <m:rPr>
                  <m:sty m:val="p"/>
                </m:rPr>
                <m:t>±</m:t>
              </m:r>
              <m:r>
                <m:t>2.69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23.30</m:t>
              </m:r>
              <m:r>
                <m:rPr>
                  <m:sty m:val="p"/>
                </m:rPr>
                <m:t>±</m:t>
              </m:r>
              <m:r>
                <m:t>5.23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41.59</m:t>
              </m:r>
              <m:r>
                <m:rPr>
                  <m:sty m:val="p"/>
                </m:rPr>
                <m:t>±</m:t>
              </m:r>
              <m:r>
                <m:t>13.95</m:t>
              </m:r>
            </m:oMath>
          </w:p>
        </w:tc>
      </w:tr>
    </w:tbl>
    <w:bookmarkEnd w:id="92"/>
    <w:bookmarkEnd w:id="93"/>
    <w:bookmarkStart w:id="98" w:name="lbl_sec_exp_discussion"/>
    <w:p>
      <w:pPr>
        <w:pStyle w:val="Heading2"/>
      </w:pPr>
      <w:bookmarkStart w:id="218" w:name="ref_sec_exp_discussion"/>
      <w:r>
        <w:t xml:space="preserve">4.9.</w:t>
      </w:r>
      <w:bookmarkEnd w:id="218"/>
      <w:r>
        <w:tab/>
      </w:r>
      <w:r>
        <w:t xml:space="preserve"> Discussion</w:t>
      </w:r>
    </w:p>
    <w:bookmarkStart w:id="94" w:name="X0bd5813da59bb5ac8f49a72aabe17bcfab9f15c"/>
    <w:p>
      <w:pPr>
        <w:pStyle w:val="Heading4"/>
      </w:pPr>
      <w:r>
        <w:t xml:space="preserve">Alternative explanations for the standing.</w:t>
      </w:r>
    </w:p>
    <w:p>
      <w:pPr>
        <w:pStyle w:val="FirstParagraph"/>
      </w:pPr>
      <w:r>
        <w:t xml:space="preserve">Three deserve explicit statement. First, the strongest measured component</w:t>
      </w:r>
      <w:r>
        <w:t xml:space="preserve"> </w:t>
      </w:r>
      <w:r>
        <w:t xml:space="preserve">effect belongs to the deterministic endgame</w:t>
      </w:r>
      <w:r>
        <w:t xml:space="preserve"> </w:t>
      </w:r>
      <w:r>
        <w:rPr>
          <w:i/>
          <w:iCs/>
        </w:rPr>
        <w:t xml:space="preserve">as a whole</w:t>
      </w:r>
      <w:r>
        <w:t xml:space="preserve">, and the polish</w:t>
      </w:r>
      <w:r>
        <w:t xml:space="preserve"> </w:t>
      </w:r>
      <w:r>
        <w:t xml:space="preserve">isolation removes that entire compass phase rather than the learned basis</w:t>
      </w:r>
      <w:r>
        <w:t xml:space="preserve"> </w:t>
      </w:r>
      <w:r>
        <w:t xml:space="preserve">alone, so the advantage may rest on classical direct search rather than on</w:t>
      </w:r>
      <w:r>
        <w:t xml:space="preserve"> </w:t>
      </w:r>
      <w:r>
        <w:t xml:space="preserve">anything learned during the run. The three-arm isolation of Supplementary</w:t>
      </w:r>
      <w:r>
        <w:t xml:space="preserve"> </w:t>
      </w:r>
      <w:r>
        <w:t xml:space="preserve">Materials Section S9.1 bears on this explanation and supports it: the coordinate</w:t>
      </w:r>
      <w:r>
        <w:t xml:space="preserve"> </w:t>
      </w:r>
      <w:r>
        <w:t xml:space="preserve">arm alone beats no refinement at both active dimensions. Second, DT-GSK begins from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against the comparators’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a five-fold difference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. The comparators’ value is the family’s</w:t>
      </w:r>
      <w:r>
        <w:t xml:space="preserve"> </w:t>
      </w:r>
      <w:r>
        <w:t xml:space="preserve">reference-implementation setting. A matched-initial-population control</w:t>
      </w:r>
      <w:r>
        <w:t xml:space="preserve"> </w:t>
      </w:r>
      <w:r>
        <w:t xml:space="preserve">isolates the asymmetry (Supplementary Materials,</w:t>
      </w:r>
      <w:r>
        <w:t xml:space="preserve"> </w:t>
      </w:r>
      <w:r>
        <w:t xml:space="preserve">Section S9.2): DT-GSK stays within the top two of the panel at every</w:t>
      </w:r>
      <w:r>
        <w:t xml:space="preserve"> </w:t>
      </w:r>
      <w:r>
        <w:t xml:space="preserve">dimension at the common value, though its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first places</w:t>
      </w:r>
      <w:r>
        <w:t xml:space="preserve"> </w:t>
      </w:r>
      <w:r>
        <w:t xml:space="preserve">are not reproduced there.</w:t>
      </w:r>
    </w:p>
    <w:p>
      <w:pPr>
        <w:pStyle w:val="BodyText"/>
      </w:pPr>
      <w:r>
        <w:t xml:space="preserve">Third, CEC2017 is</w:t>
      </w:r>
      <w:r>
        <w:t xml:space="preserve"> </w:t>
      </w:r>
      <w:r>
        <w:t xml:space="preserve">development-exposed; CEC2011 and CEC2013 corroborate, but neither is</w:t>
      </w:r>
      <w:r>
        <w:t xml:space="preserve"> </w:t>
      </w:r>
      <w:r>
        <w:t xml:space="preserve">independent of configuration selection — the single configuration was fixed on</w:t>
      </w:r>
      <w:r>
        <w:t xml:space="preserve"> </w:t>
      </w:r>
      <w:r>
        <w:t xml:space="preserve">CEC2017 without consulting either suite, so they were not used for selection yet</w:t>
      </w:r>
      <w:r>
        <w:t xml:space="preserve"> </w:t>
      </w:r>
      <w:r>
        <w:t xml:space="preserve">cannot be read as fully independent holdouts. None of the three is excluded by the</w:t>
      </w:r>
      <w:r>
        <w:t xml:space="preserve"> </w:t>
      </w:r>
      <w:r>
        <w:t xml:space="preserve">evidence reported here, and each bounds how far the panel standing should be</w:t>
      </w:r>
      <w:r>
        <w:t xml:space="preserve"> </w:t>
      </w:r>
      <w:r>
        <w:t xml:space="preserve">read as attributable to the tiered design itself. A fourth bound is</w:t>
      </w:r>
      <w:r>
        <w:t xml:space="preserve"> </w:t>
      </w:r>
      <w:r>
        <w:t xml:space="preserve">evidential role rather than alternative explanation: CEC2020 is the one</w:t>
      </w:r>
      <w:r>
        <w:t xml:space="preserve"> </w:t>
      </w:r>
      <w:r>
        <w:t xml:space="preserve">suite whose analysis plan, hypotheses and outcome wording were committed</w:t>
      </w:r>
      <w:r>
        <w:t xml:space="preserve"> </w:t>
      </w:r>
      <w:r>
        <w:t xml:space="preserve">before any of its data existed (the registered addendum was signed, and its</w:t>
      </w:r>
      <w:r>
        <w:t xml:space="preserve"> </w:t>
      </w:r>
      <w:r>
        <w:t xml:space="preserve">checksum bound into the evidence release, before the first CEC2020 result;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ref_sec_exp_cec2020 \h </w:instrText>
      </w:r>
      <w:r>
        <w:fldChar w:fldCharType="separate"/>
      </w:r>
      <w:r>
        <w:t xml:space="preserve">4.5</w:t>
      </w:r>
      <w:r>
        <w:fldChar w:fldCharType="end"/>
      </w:r>
      <w:r>
        <w:t xml:space="preserve"> and</w:t>
      </w:r>
      <w:r>
        <w:t xml:space="preserve"> </w:t>
      </w:r>
      <w:r>
        <w:t xml:space="preserve">Supplementary Section S8), whereas CEC2013LSGO’s descriptive layer was</w:t>
      </w:r>
      <w:r>
        <w:t xml:space="preserve"> </w:t>
      </w:r>
      <w:r>
        <w:t xml:space="preserve">inspected before registration and therefore carries no confirmatory</w:t>
      </w:r>
      <w:r>
        <w:t xml:space="preserve"> </w:t>
      </w:r>
      <w:r>
        <w:t xml:space="preserve">weight (Supplementary Section S7).</w:t>
      </w:r>
    </w:p>
    <w:bookmarkEnd w:id="94"/>
    <w:bookmarkStart w:id="95" w:name="lbl_by_function_class"/>
    <w:p>
      <w:pPr>
        <w:pStyle w:val="Heading4"/>
      </w:pPr>
      <w:r>
        <w:t xml:space="preserve">By function class.</w:t>
      </w:r>
    </w:p>
    <w:p>
      <w:pPr>
        <w:pStyle w:val="FirstParagraph"/>
      </w:pPr>
      <w:r>
        <w:t xml:space="preserve">The class-wise reading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ref_sec_exp_cec2017_desc \h </w:instrText>
      </w:r>
      <w:r>
        <w:fldChar w:fldCharType="separate"/>
      </w:r>
      <w:r>
        <w:t xml:space="preserve">4.2.1</w:t>
      </w:r>
      <w:r>
        <w:fldChar w:fldCharType="end"/>
      </w:r>
      <w:r>
        <w:t xml:space="preserve"> is that DT-GSK’s standing</w:t>
      </w:r>
      <w:r>
        <w:t xml:space="preserve"> </w:t>
      </w:r>
      <w:r>
        <w:t xml:space="preserve">within the panel is strongest on the hybrid class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(best or equal-best class mean rank at all three dimensions) and on</w:t>
      </w:r>
      <w:r>
        <w:t xml:space="preserve"> </w:t>
      </w:r>
      <w:r>
        <w:t xml:space="preserve">the simple multimodal class away from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. Its weakest cell is the</w:t>
      </w:r>
      <w:r>
        <w:t xml:space="preserve"> </w:t>
      </w:r>
      <w:r>
        <w:t xml:space="preserve">composition class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where the class mean rank is 3.70, behind</w:t>
      </w:r>
      <w:r>
        <w:t xml:space="preserve"> </w:t>
      </w:r>
      <w:r>
        <w:t xml:space="preserve">three comparators.</w:t>
      </w:r>
    </w:p>
    <w:p>
      <w:pPr>
        <w:pStyle w:val="BodyText"/>
      </w:pPr>
      <w:r>
        <w:t xml:space="preserve">This distribution is consistent with the design intent of</w:t>
      </w:r>
      <w:r>
        <w:t xml:space="preserve"> </w:t>
      </w:r>
      <w:r>
        <w:t xml:space="preserve">block-structured recombination on partially separable (hybrid)</w:t>
      </w:r>
      <w:r>
        <w:t xml:space="preserve"> </w:t>
      </w:r>
      <w:r>
        <w:t xml:space="preserve">landscapes. The inherited fixed-size (non-contiguous) block variant is</w:t>
      </w:r>
      <w:r>
        <w:t xml:space="preserve"> </w:t>
      </w:r>
      <w:r>
        <w:t xml:space="preserve">already active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where the memory-driven channel is not, and the</w:t>
      </w:r>
      <w:r>
        <w:t xml:space="preserve"> </w:t>
      </w:r>
      <w:r>
        <w:t xml:space="preserve">ISM-supplied linkage blocks join it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. This is stated as</w:t>
      </w:r>
      <w:r>
        <w:t xml:space="preserve"> </w:t>
      </w:r>
      <w:r>
        <w:t xml:space="preserve">plausibility, not as a measured component contribution: the</w:t>
      </w:r>
      <w:r>
        <w:t xml:space="preserve"> </w:t>
      </w:r>
      <w:r>
        <w:t xml:space="preserve">mechanisms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ref_sec_algorithm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are proposed</w:t>
      </w:r>
      <w:r>
        <w:t xml:space="preserve"> </w:t>
      </w:r>
      <w:r>
        <w:t xml:space="preserve">and fully specified, and per-component causal attribution is</w:t>
      </w:r>
      <w:r>
        <w:t xml:space="preserve"> </w:t>
      </w:r>
      <w:r>
        <w:t xml:space="preserve">deliberately not claimed in this paper.</w:t>
      </w:r>
    </w:p>
    <w:bookmarkEnd w:id="95"/>
    <w:bookmarkStart w:id="96" w:name="lbl_by_dimension"/>
    <w:p>
      <w:pPr>
        <w:pStyle w:val="Heading4"/>
      </w:pPr>
      <w:r>
        <w:t xml:space="preserve">By dimension.</w:t>
      </w:r>
    </w:p>
    <w:p>
      <w:pPr>
        <w:pStyle w:val="FirstParagraph"/>
      </w:pPr>
      <w:r>
        <w:t xml:space="preserve">The rank-versus-dimension trend (2.88,</w:t>
      </w:r>
      <w:r>
        <w:t xml:space="preserve"> </w:t>
      </w:r>
      <w:r>
        <w:t xml:space="preserve">2.50, 2.21, 2.34; plotted in the Supplementary Materials) is interpreted as</w:t>
      </w:r>
      <w:r>
        <w:t xml:space="preserve"> </w:t>
      </w:r>
      <w:r>
        <w:t xml:space="preserve">within-panel scalability behavior over the four CEC2017 tiers only.</w:t>
      </w:r>
      <w:r>
        <w:t xml:space="preserve"> </w:t>
      </w:r>
      <w:r>
        <w:t xml:space="preserve">DT-GSK’s relative standing</w:t>
      </w:r>
      <w:r>
        <w:t xml:space="preserve"> </w:t>
      </w:r>
      <w:r>
        <w:t xml:space="preserve">improves from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 remains first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The trend is not monotone, however: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 an ordinal dip to</w:t>
      </w:r>
      <w:r>
        <w:t xml:space="preserve"> </w:t>
      </w:r>
      <w:r>
        <w:t xml:space="preserve">second behind eGSK,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is slightly worse than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BodyText"/>
      </w:pPr>
      <w:r>
        <w:t xml:space="preserve">The upper-tier (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) behavior (Figures </w:t>
      </w:r>
      <w:r>
        <w:fldChar w:fldCharType="begin"/>
      </w:r>
      <w:r>
        <w:instrText xml:space="preserve"> REF ref_fig_cd_cec2017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</w:t>
      </w:r>
      <w:r>
        <w:t xml:space="preserve">and </w:t>
      </w:r>
      <w:r>
        <w:fldChar w:fldCharType="begin"/>
      </w:r>
      <w:r>
        <w:instrText xml:space="preserve"> REF ref_fig_conv_cec2017_d100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; Table </w:t>
      </w:r>
      <w:r>
        <w:fldChar w:fldCharType="begin"/>
      </w:r>
      <w:r>
        <w:instrText xml:space="preserve"> REF ref_tab_friedman_cec2017 \h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) arises under</w:t>
      </w:r>
      <w:r>
        <w:t xml:space="preserve"> </w:t>
      </w:r>
      <w:r>
        <w:t xml:space="preserve">the frozen configuration, in which the interaction-structure memory</w:t>
      </w:r>
      <w:r>
        <w:t xml:space="preserve"> </w:t>
      </w:r>
      <w:r>
        <w:t xml:space="preserve">and several subsystems — the eigenframe polish and the raised population</w:t>
      </w:r>
      <w:r>
        <w:t xml:space="preserve"> </w:t>
      </w:r>
      <w:r>
        <w:t xml:space="preserve">floor — co-activate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.</w:t>
      </w:r>
      <w:r>
        <w:t xml:space="preserve"> </w:t>
      </w:r>
      <w:r>
        <w:t xml:space="preserve">This reading associates the upper-tier behavior with the bundled</w:t>
      </w:r>
      <w:r>
        <w:t xml:space="preserve"> </w:t>
      </w:r>
      <w:r>
        <w:t xml:space="preserve">tier configuration rather than with any isolated component. A direct</w:t>
      </w:r>
      <w:r>
        <w:t xml:space="preserve"> </w:t>
      </w:r>
      <w:r>
        <w:t xml:space="preserve">isolation of the interaction-structure memory (Supplementary Materials</w:t>
      </w:r>
      <w:r>
        <w:t xml:space="preserve"> </w:t>
      </w:r>
      <w:r>
        <w:t xml:space="preserve">Section S6.5) finds no significant standalone benefit at its active</w:t>
      </w:r>
      <w:r>
        <w:t xml:space="preserve"> </w:t>
      </w:r>
      <w:r>
        <w:t xml:space="preserve">tiers, at a tier-dependent compute overhead; the basis isolation</w:t>
      </w:r>
      <w:r>
        <w:t xml:space="preserve"> </w:t>
      </w:r>
      <w:r>
        <w:t xml:space="preserve">(Supplementary Materials Section S9.1) finds the</w:t>
      </w:r>
      <w:r>
        <w:t xml:space="preserve"> </w:t>
      </w:r>
      <w:r>
        <w:t xml:space="preserve">memory’s learned eigenframe outperformed by the coordinate axes in the polish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. Per-component attribution to</w:t>
      </w:r>
      <w:r>
        <w:t xml:space="preserve"> </w:t>
      </w:r>
      <w:r>
        <w:t xml:space="preserve">the memory is therefore not claimed here (Section </w:t>
      </w:r>
      <w:r>
        <w:fldChar w:fldCharType="begin"/>
      </w:r>
      <w:r>
        <w:instrText xml:space="preserve"> REF ref_sec_conclusions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).</w:t>
      </w:r>
      <w:r>
        <w:t xml:space="preserve"> </w:t>
      </w:r>
      <w:r>
        <w:t xml:space="preserve">Conversely,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30</m:t>
        </m:r>
      </m:oMath>
      <w:r>
        <w:t xml:space="preserve"> </w:t>
      </w:r>
      <w:r>
        <w:t xml:space="preserve">DT-GSK runs essentially the</w:t>
      </w:r>
      <w:r>
        <w:t xml:space="preserve"> </w:t>
      </w:r>
      <w:r>
        <w:t xml:space="preserve">adaptive scaffold, so low-dimension behavior — including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second place and the composition-class weakness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reflects this structural gating rather than the tier-gated</w:t>
      </w:r>
      <w:r>
        <w:t xml:space="preserve"> </w:t>
      </w:r>
      <w:r>
        <w:t xml:space="preserve">mechanisms.</w:t>
      </w:r>
    </w:p>
    <w:bookmarkEnd w:id="96"/>
    <w:bookmarkStart w:id="97" w:name="lbl_by_aggregate_counts"/>
    <w:p>
      <w:pPr>
        <w:pStyle w:val="Heading4"/>
      </w:pPr>
      <w:r>
        <w:t xml:space="preserve">By aggregate counts.</w:t>
      </w:r>
    </w:p>
    <w:p>
      <w:pPr>
        <w:pStyle w:val="FirstParagraph"/>
      </w:pPr>
      <w:r>
        <w:t xml:space="preserve">Across the 24 Holm-corrected CEC2017 cells, DT-GSK records 17</w:t>
      </w:r>
      <w:r>
        <w:t xml:space="preserve"> </w:t>
      </w:r>
      <w:r>
        <w:t xml:space="preserve">significant wins, 7 with no significant difference, and no significant loss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ref_tab_wilcoxon_holm \h </w:instrText>
      </w:r>
      <w:r>
        <w:fldChar w:fldCharType="separate"/>
      </w:r>
      <w:r>
        <w:t xml:space="preserve">15</w:t>
      </w:r>
      <w:r>
        <w:fldChar w:fldCharType="end"/>
      </w:r>
      <w:r>
        <w:t xml:space="preserve">). That is a descriptive across-dimension tally:</w:t>
      </w:r>
      <w:r>
        <w:t xml:space="preserve"> </w:t>
      </w:r>
      <w:r>
        <w:t xml:space="preserve">the four within-dimension Holm families are not pooled. The</w:t>
      </w:r>
      <w:r>
        <w:t xml:space="preserve"> </w:t>
      </w:r>
      <w:r>
        <w:t xml:space="preserve">no-difference cells concentrate against</w:t>
      </w:r>
      <w:r>
        <w:t xml:space="preserve"> </w:t>
      </w:r>
      <w:r>
        <w:t xml:space="preserve">eGSK, whose head-to-head win/tie/loss records favor it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(11–2–16, 13–0–16, 12–0–17) even where DT-GSK</w:t>
      </w:r>
      <w:r>
        <w:t xml:space="preserve"> </w:t>
      </w:r>
      <w:r>
        <w:t xml:space="preserve">holds the better Friedman rank. The two are never</w:t>
      </w:r>
      <w:r>
        <w:t xml:space="preserve"> </w:t>
      </w:r>
      <w:r>
        <w:t xml:space="preserve">Nemenyi-separable on this suite.</w:t>
      </w:r>
    </w:p>
    <w:p>
      <w:pPr>
        <w:pStyle w:val="BodyText"/>
      </w:pPr>
      <w:r>
        <w:t xml:space="preserve">On CEC2011, the aggregate is two significant wins, three with no</w:t>
      </w:r>
      <w:r>
        <w:t xml:space="preserve"> </w:t>
      </w:r>
      <w:r>
        <w:t xml:space="preserve">significant difference, and one significant loss — the loss to eGSK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— so the real-world</w:t>
      </w:r>
      <w:r>
        <w:t xml:space="preserve"> </w:t>
      </w:r>
      <w:r>
        <w:t xml:space="preserve">suite corroborates competitive placement (second of seven) within the</w:t>
      </w:r>
      <w:r>
        <w:t xml:space="preserve"> </w:t>
      </w:r>
      <w:r>
        <w:t xml:space="preserve">family panel, not first place.</w:t>
      </w:r>
    </w:p>
    <w:p>
      <w:pPr>
        <w:pStyle w:val="BodyText"/>
      </w:pPr>
      <w:r>
        <w:t xml:space="preserve">On CEC2013, the overall first place (2.80) coexists with 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third place (3.38) behind eGSK and ATMALS-GSK.</w:t>
      </w:r>
    </w:p>
    <w:p>
      <w:pPr>
        <w:pStyle w:val="BodyText"/>
      </w:pPr>
      <w:r>
        <w:t xml:space="preserve">On CEC2020, the across-function tally is three Holm-significant wins,</w:t>
      </w:r>
      <w:r>
        <w:t xml:space="preserve"> </w:t>
      </w:r>
      <w:r>
        <w:t xml:space="preserve">two Holm-significant losses, and nineteen cells with no separation</w:t>
      </w:r>
      <w:r>
        <w:t xml:space="preserve"> </w:t>
      </w:r>
      <w:r>
        <w:t xml:space="preserve">demonstrated, over four independent within-dimension Holm families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ref_sec_exp_cec2020 \h </w:instrText>
      </w:r>
      <w:r>
        <w:fldChar w:fldCharType="separate"/>
      </w:r>
      <w:r>
        <w:t xml:space="preserve">4.5</w:t>
      </w:r>
      <w:r>
        <w:fldChar w:fldCharType="end"/>
      </w:r>
      <w:r>
        <w:t xml:space="preserve">).</w:t>
      </w:r>
    </w:p>
    <w:p>
      <w:pPr>
        <w:pStyle w:val="BodyText"/>
      </w:pPr>
      <w:r>
        <w:t xml:space="preserve">On CEC2013LSGO, the across-function paired layer separates no comparator</w:t>
      </w:r>
      <w:r>
        <w:t xml:space="preserve"> </w:t>
      </w:r>
      <w:r>
        <w:t xml:space="preserve">from DT-GSK, and the run-level regularity — better than all six on</w:t>
      </w:r>
      <w:r>
        <w:t xml:space="preserve"> </w:t>
      </w:r>
      <w:r>
        <w:t xml:space="preserve">F4 and F8, worse than all six on F7 and F15 — is stated in both</w:t>
      </w:r>
      <w:r>
        <w:t xml:space="preserve"> </w:t>
      </w:r>
      <w:r>
        <w:t xml:space="preserve">directions (Section </w:t>
      </w:r>
      <w:r>
        <w:fldChar w:fldCharType="begin"/>
      </w:r>
      <w:r>
        <w:instrText xml:space="preserve"> REF ref_sec_exp_cec2013lsgo \h </w:instrText>
      </w:r>
      <w:r>
        <w:fldChar w:fldCharType="separate"/>
      </w:r>
      <w:r>
        <w:t xml:space="preserve">4.6</w:t>
      </w:r>
      <w:r>
        <w:fldChar w:fldCharType="end"/>
      </w:r>
      <w:r>
        <w:t xml:space="preserve">).</w:t>
      </w:r>
    </w:p>
    <w:p>
      <w:pPr>
        <w:pStyle w:val="BodyText"/>
      </w:pPr>
      <w:r>
        <w:t xml:space="preserve">Taken together, the evidence supports one calibrated statement:</w:t>
      </w:r>
      <w:r>
        <w:t xml:space="preserve"> </w:t>
      </w:r>
      <w:r>
        <w:t xml:space="preserve">within the GSK-family panel and under the frozen budget-fair</w:t>
      </w:r>
      <w:r>
        <w:t xml:space="preserve"> </w:t>
      </w:r>
      <w:r>
        <w:t xml:space="preserve">protocol, DT-GSK is first on two, tied-first on one, second on one,</w:t>
      </w:r>
      <w:r>
        <w:t xml:space="preserve"> </w:t>
      </w:r>
      <w:r>
        <w:t xml:space="preserve">and fourth on one of the five suites’ descriptive family-rank</w:t>
      </w:r>
      <w:r>
        <w:t xml:space="preserve"> </w:t>
      </w:r>
      <w:r>
        <w:t xml:space="preserve">aggregates — first on CEC2017 (2.48) and CEC2013 (2.80), tied-first</w:t>
      </w:r>
      <w:r>
        <w:t xml:space="preserve"> </w:t>
      </w:r>
      <w:r>
        <w:t xml:space="preserve">with AGSK on CEC2013LSGO (3.13 each, with no paired separation),</w:t>
      </w:r>
      <w:r>
        <w:t xml:space="preserve"> </w:t>
      </w:r>
      <w:r>
        <w:t xml:space="preserve">second on CEC2011 (3.36), and fourth on CEC2020 (4.11), the</w:t>
      </w:r>
      <w:r>
        <w:t xml:space="preserve"> </w:t>
      </w:r>
      <w:r>
        <w:t xml:space="preserve">pre-registered confirmatory suite, where the wording-bank outcome</w:t>
      </w:r>
      <w:r>
        <w:t xml:space="preserve"> </w:t>
      </w:r>
      <w:r>
        <w:t xml:space="preserve">sentence of Section </w:t>
      </w:r>
      <w:r>
        <w:fldChar w:fldCharType="begin"/>
      </w:r>
      <w:r>
        <w:instrText xml:space="preserve"> REF ref_sec_exp_cec2020 \h </w:instrText>
      </w:r>
      <w:r>
        <w:fldChar w:fldCharType="separate"/>
      </w:r>
      <w:r>
        <w:t xml:space="preserve">4.5</w:t>
      </w:r>
      <w:r>
        <w:fldChar w:fldCharType="end"/>
      </w:r>
      <w:r>
        <w:t xml:space="preserve"> applies. No statistic pools</w:t>
      </w:r>
      <w:r>
        <w:t xml:space="preserve"> </w:t>
      </w:r>
      <w:r>
        <w:t xml:space="preserve">suites, so this count of independent per-suite descriptive standings is</w:t>
      </w:r>
      <w:r>
        <w:t xml:space="preserve"> </w:t>
      </w:r>
      <w:r>
        <w:t xml:space="preserve">the only cross-suite statement made. eGSK holds the better ordinal</w:t>
      </w:r>
      <w:r>
        <w:t xml:space="preserve"> </w:t>
      </w:r>
      <w:r>
        <w:t xml:space="preserve">rank at the mid-dimension tier,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on both CEC2017 and CEC2013, where</w:t>
      </w:r>
      <w:r>
        <w:t xml:space="preserve"> </w:t>
      </w:r>
      <w:r>
        <w:t xml:space="preserve">the paired tests do not establish a separation, and a Holm-significant</w:t>
      </w:r>
      <w:r>
        <w:t xml:space="preserve"> </w:t>
      </w:r>
      <w:r>
        <w:t xml:space="preserve">advantage on CEC2011.</w:t>
      </w:r>
    </w:p>
    <w:p>
      <w:pPr>
        <w:pStyle w:val="BodyText"/>
      </w:pPr>
      <w:r>
        <w:t xml:space="preserve">These rank statements carry the robustness qualification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ref_sec_exp_stats \h </w:instrText>
      </w:r>
      <w:r>
        <w:fldChar w:fldCharType="separate"/>
      </w:r>
      <w:r>
        <w:t xml:space="preserve">4.2.3</w:t>
      </w:r>
      <w:r>
        <w:fldChar w:fldCharType="end"/>
      </w:r>
      <w:r>
        <w:t xml:space="preserve">: DT-GSK’s own ordinals are stable</w:t>
      </w:r>
      <w:r>
        <w:t xml:space="preserve"> </w:t>
      </w:r>
      <w:r>
        <w:t xml:space="preserve">under the median re-ranking variant and the variant excluding the disputed cells, but</w:t>
      </w:r>
      <w:r>
        <w:t xml:space="preserve"> </w:t>
      </w:r>
      <w:r>
        <w:t xml:space="preserve">several comparator orderings are not.</w:t>
      </w:r>
    </w:p>
    <w:p>
      <w:pPr>
        <w:pStyle w:val="BodyText"/>
      </w:pPr>
      <w:r>
        <w:t xml:space="preserve">Consistent with no-free-lunch considerations, none of these findings</w:t>
      </w:r>
      <w:r>
        <w:t xml:space="preserve"> </w:t>
      </w:r>
      <w:r>
        <w:t xml:space="preserve">is offered as evidence of field-wide superiority: every comparative</w:t>
      </w:r>
      <w:r>
        <w:t xml:space="preserve"> </w:t>
      </w:r>
      <w:r>
        <w:t xml:space="preserve">claim in this paper is bounded to the cited suites, budgets, and the</w:t>
      </w:r>
      <w:r>
        <w:t xml:space="preserve"> </w:t>
      </w:r>
      <w:r>
        <w:t xml:space="preserve">seven-algorithm GSK-family panel </w:t>
      </w:r>
      <w:r>
        <w:fldChar w:fldCharType="begin"/>
      </w:r>
      <w:r>
        <w:instrText xml:space="preserve"> CITATION wolpert1997nfl \l 1033 </w:instrText>
      </w:r>
      <w:r>
        <w:fldChar w:fldCharType="separate"/>
      </w:r>
      <w:r>
        <w:t xml:space="preserve">[44]</w:t>
      </w:r>
      <w:r>
        <w:fldChar w:fldCharType="end"/>
      </w:r>
      <w:r>
        <w:t xml:space="preserve">.</w:t>
      </w:r>
    </w:p>
    <w:bookmarkEnd w:id="97"/>
    <w:bookmarkEnd w:id="98"/>
    <w:bookmarkEnd w:id="99"/>
    <w:bookmarkStart w:id="101" w:name="lbl_sec_conclusions"/>
    <w:p>
      <w:pPr>
        <w:pStyle w:val="Heading1"/>
      </w:pPr>
      <w:bookmarkStart w:id="219" w:name="ref_sec_conclusions"/>
      <w:r>
        <w:t xml:space="preserve">5.</w:t>
      </w:r>
      <w:bookmarkEnd w:id="219"/>
      <w:r>
        <w:tab/>
      </w:r>
      <w:r>
        <w:t xml:space="preserve"> Conclusions</w:t>
      </w:r>
    </w:p>
    <w:p>
      <w:pPr>
        <w:pStyle w:val="FirstParagraph"/>
      </w:pPr>
      <w:r>
        <w:t xml:space="preserve">This paper introduced DT-GSK, a GSK-family algorithm that retains the</w:t>
      </w:r>
      <w:r>
        <w:t xml:space="preserve"> </w:t>
      </w:r>
      <w:r>
        <w:t xml:space="preserve">gaining-sharing vector-update equations and layers an adaptive configuration-and-budget</w:t>
      </w:r>
      <w:r>
        <w:t xml:space="preserve"> </w:t>
      </w:r>
      <w:r>
        <w:t xml:space="preserve">scaffold, a deterministic final polish, and a controlled family evaluation on that</w:t>
      </w:r>
      <w:r>
        <w:t xml:space="preserve"> </w:t>
      </w:r>
      <w:r>
        <w:t xml:space="preserve">core, with an interaction-structure memory as a supporting mechanism.</w:t>
      </w:r>
      <w:r>
        <w:t xml:space="preserve"> </w:t>
      </w:r>
      <w:r>
        <w:t xml:space="preserve">That memory is a decaying, confidence- and evidence-gated</w:t>
      </w:r>
      <w:r>
        <w:t xml:space="preserve"> </w:t>
      </w:r>
      <w:r>
        <w:t xml:space="preserve">coordinate-pair graph learned from the strictly improving moves the run</w:t>
      </w:r>
      <w:r>
        <w:t xml:space="preserve"> </w:t>
      </w:r>
      <w:r>
        <w:t xml:space="preserve">has already accepted. It is active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and consumed</w:t>
      </w:r>
      <w:r>
        <w:t xml:space="preserve"> </w:t>
      </w:r>
      <w:r>
        <w:t xml:space="preserve">twice — as linkage blocks for the block crossover, and as the eigenbasis of</w:t>
      </w:r>
      <w:r>
        <w:t xml:space="preserve"> </w:t>
      </w:r>
      <w:r>
        <w:t xml:space="preserve">the one-shot, RNG-free final polish. An ISM-block subspace local search is</w:t>
      </w:r>
      <w:r>
        <w:t xml:space="preserve"> </w:t>
      </w:r>
      <w:r>
        <w:t xml:space="preserve">implemented but not enabled in the frozen configuration.</w:t>
      </w:r>
      <w:r>
        <w:t xml:space="preserve"> </w:t>
      </w:r>
      <w:r>
        <w:t xml:space="preserve">A dimension-tiered scaffold (ACE with ARGP pruning, the tier-floored</w:t>
      </w:r>
      <w:r>
        <w:t xml:space="preserve"> </w:t>
      </w:r>
      <w:r>
        <w:t xml:space="preserve">NLPSR schedule, the hard-capped BSE, and a deep-stall restart that</w:t>
      </w:r>
      <w:r>
        <w:t xml:space="preserve"> </w:t>
      </w:r>
      <w:r>
        <w:t xml:space="preserve">preserves the global best) carries the tiers where the memory is</w:t>
      </w:r>
      <w:r>
        <w:t xml:space="preserve"> </w:t>
      </w:r>
      <w:r>
        <w:t xml:space="preserve">inactive, and one hash-frozen configuration serves every dimension of</w:t>
      </w:r>
      <w:r>
        <w:t xml:space="preserve"> </w:t>
      </w:r>
      <w:r>
        <w:t xml:space="preserve">the four bound-constrained suites, with a single disclosed large-scale</w:t>
      </w:r>
      <w:r>
        <w:t xml:space="preserve"> </w:t>
      </w:r>
      <w:r>
        <w:t xml:space="preserve">exception</w:t>
      </w:r>
      <w:r>
        <w:t xml:space="preserve"> </w:t>
      </w:r>
      <w:r>
        <w:t xml:space="preserve">(Supplementary Section S7).</w:t>
      </w:r>
    </w:p>
    <w:p>
      <w:pPr>
        <w:pStyle w:val="BodyText"/>
      </w:pPr>
      <w:r>
        <w:t xml:space="preserve">The empirical findings are panel-scoped and dimension-resolved — the</w:t>
      </w:r>
      <w:r>
        <w:t xml:space="preserve"> </w:t>
      </w:r>
      <w:r>
        <w:t xml:space="preserve">study characterizes the algorithm’s standing tier by tier rather than</w:t>
      </w:r>
      <w:r>
        <w:t xml:space="preserve"> </w:t>
      </w:r>
      <w:r>
        <w:t xml:space="preserve">claiming uniform dominance — and the unfavorable cells are stated with</w:t>
      </w:r>
      <w:r>
        <w:t xml:space="preserve"> </w:t>
      </w:r>
      <w:r>
        <w:t xml:space="preserve">the favorable ones. Within the seven-algorithm GSK-family panel</w:t>
      </w:r>
      <w:r>
        <w:t xml:space="preserve"> </w:t>
      </w:r>
      <w:r>
        <w:t xml:space="preserve">on CEC2017, DT-GSK attains the best overall Friedman mean rank —</w:t>
      </w:r>
      <w:r>
        <w:t xml:space="preserve"> </w:t>
      </w:r>
      <w:r>
        <w:t xml:space="preserve">2.48, the unweighted mean of the four per-dimension ranks, with</w:t>
      </w:r>
      <w:r>
        <w:t xml:space="preserve"> </w:t>
      </w:r>
      <w:r>
        <w:t xml:space="preserve">eGSK second at 2.96 — placing first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(2.88,</w:t>
      </w:r>
      <w:r>
        <w:t xml:space="preserve"> </w:t>
      </w:r>
      <w:r>
        <w:t xml:space="preserve">2.21, 2.34) and second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(2.50) behind eGSK</w:t>
      </w:r>
      <w:r>
        <w:t xml:space="preserve"> </w:t>
      </w:r>
      <w:r>
        <w:t xml:space="preserve">(2.29).</w:t>
      </w:r>
      <w:r>
        <w:t xml:space="preserve"> </w:t>
      </w:r>
      <w:r>
        <w:t xml:space="preserve">Across the 24 Holm-corrected pairwise cells it records 17 significant</w:t>
      </w:r>
      <w:r>
        <w:t xml:space="preserve"> </w:t>
      </w:r>
      <w:r>
        <w:t xml:space="preserve">wins, 7 with no significant difference, and no significant loss — a</w:t>
      </w:r>
      <w:r>
        <w:t xml:space="preserve"> </w:t>
      </w:r>
      <w:r>
        <w:t xml:space="preserve">descriptive tally over four independent within-dimension Holm families</w:t>
      </w:r>
      <w:r>
        <w:t xml:space="preserve"> </w:t>
      </w:r>
      <w:r>
        <w:t xml:space="preserve">(size 6 each), not a single result controlled family-wise across</w:t>
      </w:r>
      <w:r>
        <w:t xml:space="preserve"> </w:t>
      </w:r>
      <w:r>
        <w:t xml:space="preserve">dimensions.</w:t>
      </w:r>
      <w:r>
        <w:t xml:space="preserve"> </w:t>
      </w:r>
      <w:r>
        <w:t xml:space="preserve">At the same time, the Holm-corrected pairwise tests separate the two only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0.0035</m:t>
        </m:r>
      </m:oMath>
      <w:r>
        <w:t xml:space="preserve">);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they do not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0.199</m:t>
        </m:r>
      </m:oMath>
      <w:r>
        <w:t xml:space="preserve">,</w:t>
      </w:r>
      <w:r>
        <w:t xml:space="preserve"> </w:t>
      </w:r>
      <m:oMath>
        <m:r>
          <m:t>1.0</m:t>
        </m:r>
      </m:oMath>
      <w:r>
        <w:t xml:space="preserve">, and</w:t>
      </w:r>
      <w:r>
        <w:t xml:space="preserve"> </w:t>
      </w:r>
      <m:oMath>
        <m:r>
          <m:t>0.795</m:t>
        </m:r>
      </m:oMath>
      <w:r>
        <w:t xml:space="preserve">), its head-to-head records</w:t>
      </w:r>
      <w:r>
        <w:t xml:space="preserve"> </w:t>
      </w:r>
      <w:r>
        <w:t xml:space="preserve">against eGSK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are losing ones (11–2–16, 13–0–16,</w:t>
      </w:r>
      <w:r>
        <w:t xml:space="preserve"> </w:t>
      </w:r>
      <w:r>
        <w:t xml:space="preserve">12–0–17), and the two algorithms are never Nemenyi-separable on this suite</w:t>
      </w:r>
      <w:r>
        <w:t xml:space="preserve"> </w:t>
      </w:r>
      <w:r>
        <w:t xml:space="preserve">(all four rank gaps lie inside the critical difference of</w:t>
      </w:r>
      <w:r>
        <w:t xml:space="preserve"> </w:t>
      </w:r>
      <w:r>
        <w:t xml:space="preserve">1.67).</w:t>
      </w:r>
      <w:r>
        <w:t xml:space="preserve"> </w:t>
      </w:r>
      <w:r>
        <w:t xml:space="preserve">On CEC2011, DT-GSK places second of seven (3.36; eGSK first at</w:t>
      </w:r>
      <w:r>
        <w:t xml:space="preserve"> </w:t>
      </w:r>
      <w:r>
        <w:t xml:space="preserve">2.52), and its across-problem Wilcoxon against eGSK is a</w:t>
      </w:r>
      <w:r>
        <w:t xml:space="preserve"> </w:t>
      </w:r>
      <w:r>
        <w:t xml:space="preserve">Holm-significant loss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On the CEC2013 second comparison suite, the overall descriptive</w:t>
      </w:r>
      <w:r>
        <w:t xml:space="preserve"> </w:t>
      </w:r>
      <w:r>
        <w:t xml:space="preserve">aggregate is again the panel’s best (2.80), with a per-dimension</w:t>
      </w:r>
      <w:r>
        <w:t xml:space="preserve"> </w:t>
      </w:r>
      <w:r>
        <w:t xml:space="preserve">profile of first/third/first — third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behind eGSK and</w:t>
      </w:r>
      <w:r>
        <w:t xml:space="preserve"> </w:t>
      </w:r>
      <w:r>
        <w:t xml:space="preserve">ATMALS-GSK.</w:t>
      </w:r>
      <w:r>
        <w:t xml:space="preserve"> </w:t>
      </w:r>
      <w:r>
        <w:t xml:space="preserve">On AGSK’s strongest suite — the CEC2020 competition in which it was</w:t>
      </w:r>
      <w:r>
        <w:t xml:space="preserve"> </w:t>
      </w:r>
      <w:r>
        <w:t xml:space="preserve">the runner-up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 — DT-GSK places fourth; the family</w:t>
      </w:r>
      <w:r>
        <w:t xml:space="preserve"> </w:t>
      </w:r>
      <w:r>
        <w:t xml:space="preserve">panel corroborates AGSK’s published strength in this regime. That suite</w:t>
      </w:r>
      <w:r>
        <w:t xml:space="preserve"> </w:t>
      </w:r>
      <w:r>
        <w:t xml:space="preserve">evaluates the low-dimensional boundary condition of the tiered design —</w:t>
      </w:r>
      <w:r>
        <w:t xml:space="preserve"> </w:t>
      </w:r>
      <w:r>
        <w:t xml:space="preserve">every dimension-gated DT-GSK subsystem is inactive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and is not affirmative evidence for the tiering choice itself. That suite is the pre-registered confirmatory</w:t>
      </w:r>
      <w:r>
        <w:t xml:space="preserve"> </w:t>
      </w:r>
      <w:r>
        <w:t xml:space="preserve">leg — its analysis and outcome wording were committed before any of</w:t>
      </w:r>
      <w:r>
        <w:t xml:space="preserve"> </w:t>
      </w:r>
      <w:r>
        <w:t xml:space="preserve">its data existed — and DT-GSK is Holm-separated in only five of its</w:t>
      </w:r>
      <w:r>
        <w:t xml:space="preserve"> </w:t>
      </w:r>
      <w:r>
        <w:t xml:space="preserve">twenty-four pairwise cells, three favorable and two</w:t>
      </w:r>
      <w:r>
        <w:t xml:space="preserve"> </w:t>
      </w:r>
      <w:r>
        <w:t xml:space="preserve">unfavorable.</w:t>
      </w:r>
      <w:r>
        <w:t xml:space="preserve"> </w:t>
      </w:r>
      <w:r>
        <w:t xml:space="preserve">On CEC2013LSGO the comparison is family-internal: DT-GSK and AGSK</w:t>
      </w:r>
      <w:r>
        <w:t xml:space="preserve"> </w:t>
      </w:r>
      <w:r>
        <w:t xml:space="preserve">share the best descriptive family mean rank (tied-first, 3.13 each),</w:t>
      </w:r>
      <w:r>
        <w:t xml:space="preserve"> </w:t>
      </w:r>
      <w:r>
        <w:t xml:space="preserve">and the registered paired tests do not separate DT-GSK from AGSK</w:t>
      </w:r>
      <w:r>
        <w:t xml:space="preserve"> </w:t>
      </w:r>
      <w:r>
        <w:t xml:space="preserve">— nor from any other family member across functions; at run level it</w:t>
      </w:r>
      <w:r>
        <w:t xml:space="preserve"> </w:t>
      </w:r>
      <w:r>
        <w:t xml:space="preserve">is Holm-significantly better than every family member on F4 and F8 and</w:t>
      </w:r>
      <w:r>
        <w:t xml:space="preserve"> </w:t>
      </w:r>
      <w:r>
        <w:t xml:space="preserve">worse than every family member on F7 and</w:t>
      </w:r>
      <w:r>
        <w:t xml:space="preserve"> </w:t>
      </w:r>
      <w:r>
        <w:t xml:space="preserve">F15.</w:t>
      </w:r>
      <w:r>
        <w:t xml:space="preserve"> </w:t>
      </w:r>
      <w:r>
        <w:t xml:space="preserve">The CEC2017, CEC2011 and CEC2013 orderings carry the prespecified</w:t>
      </w:r>
      <w:r>
        <w:t xml:space="preserve"> </w:t>
      </w:r>
      <w:r>
        <w:t xml:space="preserve">robustness qualification of Section </w:t>
      </w:r>
      <w:r>
        <w:fldChar w:fldCharType="begin"/>
      </w:r>
      <w:r>
        <w:instrText xml:space="preserve"> REF ref_sec_exp_stats \h </w:instrText>
      </w:r>
      <w:r>
        <w:fldChar w:fldCharType="separate"/>
      </w:r>
      <w:r>
        <w:t xml:space="preserve">4.2.3</w:t>
      </w:r>
      <w:r>
        <w:fldChar w:fldCharType="end"/>
      </w:r>
      <w:r>
        <w:t xml:space="preserve">: DT-GSK’s own ordinal</w:t>
      </w:r>
      <w:r>
        <w:t xml:space="preserve"> </w:t>
      </w:r>
      <w:r>
        <w:t xml:space="preserve">positions are identical under the median re-ranking and the</w:t>
      </w:r>
      <w:r>
        <w:t xml:space="preserve"> </w:t>
      </w:r>
      <w:r>
        <w:t xml:space="preserve">variants that exclude the disputed cells, while several orderings between</w:t>
      </w:r>
      <w:r>
        <w:t xml:space="preserve"> </w:t>
      </w:r>
      <w:r>
        <w:t xml:space="preserve">comparators are not. On CEC2020, DT-GSK’s aggregate ordinal is stable</w:t>
      </w:r>
      <w:r>
        <w:t xml:space="preserve"> </w:t>
      </w:r>
      <w:r>
        <w:t xml:space="preserve">under both registered across-dimension aggregate variants — the</w:t>
      </w:r>
      <w:r>
        <w:t xml:space="preserve"> </w:t>
      </w:r>
      <w:r>
        <w:t xml:space="preserve">pre-committed instability rule did not fire — while the median re-rank</w:t>
      </w:r>
      <w:r>
        <w:t xml:space="preserve"> </w:t>
      </w:r>
      <w:r>
        <w:t xml:space="preserve">moves its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ordinal</w:t>
      </w:r>
      <w:r>
        <w:t xml:space="preserve"> </w:t>
      </w:r>
      <w:r>
        <w:t xml:space="preserve">(Supplementary Section S8).</w:t>
      </w:r>
    </w:p>
    <w:bookmarkStart w:id="100" w:name="lbl_limitations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The parameter-sensitivity evidence is exploratory and narrow: a one-factor</w:t>
      </w:r>
      <w:r>
        <w:t xml:space="preserve"> </w:t>
      </w:r>
      <w:r>
        <w:t xml:space="preserve">sweep over seven constants at two levels,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only, with</w:t>
      </w:r>
      <w:r>
        <w:t xml:space="preserve"> </w:t>
      </w:r>
      <w:r>
        <w:t xml:space="preserve">15 repetitions per cell against the frozen panel’s 51 (Supplementary Materials,</w:t>
      </w:r>
      <w:r>
        <w:t xml:space="preserve"> </w:t>
      </w:r>
      <w:r>
        <w:t xml:space="preserve">Section S9.4). It is descriptive and carries no hypothesis test. A</w:t>
      </w:r>
      <w:r>
        <w:t xml:space="preserve"> </w:t>
      </w:r>
      <w:r>
        <w:t xml:space="preserve">pre-registered boundary study (Supplementary Materials,</w:t>
      </w:r>
      <w:r>
        <w:t xml:space="preserve"> </w:t>
      </w:r>
      <w:r>
        <w:t xml:space="preserve">Section S9.5) varies the tier boundaries themselves: the standing is</w:t>
      </w:r>
      <w:r>
        <w:t xml:space="preserve"> </w:t>
      </w:r>
      <w:r>
        <w:t xml:space="preserve">insensitive to the tested shifts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while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both neighbouring profiles beat the shipped middle set and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set beats the shipped upper profile on paired means with</w:t>
      </w:r>
      <w:r>
        <w:t xml:space="preserve"> </w:t>
      </w:r>
      <w:r>
        <w:t xml:space="preserve">the family ordinal unchanged — boundary-level findings, attributed to no</w:t>
      </w:r>
      <w:r>
        <w:t xml:space="preserve"> </w:t>
      </w:r>
      <w:r>
        <w:t xml:space="preserve">individual mechanism, that extend the disclosed mis-specification.</w:t>
      </w:r>
      <w:r>
        <w:t xml:space="preserve"> </w:t>
      </w:r>
      <w:r>
        <w:t xml:space="preserve">Neither ARGP nor the deep-stall restart is isolated by the remove-one study,</w:t>
      </w:r>
      <w:r>
        <w:t xml:space="preserve"> </w:t>
      </w:r>
      <w:r>
        <w:t xml:space="preserve">which excludes both by pre-specification.</w:t>
      </w:r>
    </w:p>
    <w:p>
      <w:pPr>
        <w:pStyle w:val="BodyText"/>
      </w:pPr>
      <w:r>
        <w:t xml:space="preserve">The remaining limitations bounding these findings are stated in full, with</w:t>
      </w:r>
      <w:r>
        <w:t xml:space="preserve"> </w:t>
      </w:r>
      <w:r>
        <w:t xml:space="preserve">their numeric evidence, in the Supplementary Materials, Section S5. In</w:t>
      </w:r>
      <w:r>
        <w:t xml:space="preserve"> </w:t>
      </w:r>
      <w:r>
        <w:t xml:space="preserve">outline: the</w:t>
      </w:r>
      <w:r>
        <w:t xml:space="preserve"> </w:t>
      </w:r>
      <w:r>
        <w:t xml:space="preserve">mid-dimension tier favors eGSK, which leads at CEC2017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on CEC2013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and on CEC2011. The structure memory and the polish are gated to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so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30</m:t>
        </m:r>
      </m:oMath>
      <w:r>
        <w:t xml:space="preserve"> </w:t>
      </w:r>
      <w:r>
        <w:t xml:space="preserve">DT-GSK is essentially the adaptive scaffold.</w:t>
      </w:r>
      <w:r>
        <w:t xml:space="preserve"> </w:t>
      </w:r>
      <w:r>
        <w:t xml:space="preserve">A configuration-transplant experiment locates part of that</w:t>
      </w:r>
      <w:r>
        <w:t xml:space="preserve"> </w:t>
      </w:r>
      <w:r>
        <w:t xml:space="preserve">weakness: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parameter set DT-GSK resolves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outperforms the set it ships, on 20 of 29 functions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Supplementary Materials,</w:t>
      </w:r>
      <w:r>
        <w:t xml:space="preserve"> </w:t>
      </w:r>
      <w:r>
        <w:t xml:space="preserve">Section S9.3), so the shipped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configuration is inferior to</w:t>
      </w:r>
      <w:r>
        <w:t xml:space="preserve"> </w:t>
      </w:r>
      <w:r>
        <w:t xml:space="preserve">the tested low-tier transplant at that dimension. This localizes a</w:t>
      </w:r>
      <w:r>
        <w:t xml:space="preserve"> </w:t>
      </w:r>
      <w:r>
        <w:t xml:space="preserve">configuration-level weakness; it does not identify the responsible key, and</w:t>
      </w:r>
      <w:r>
        <w:t xml:space="preserve"> </w:t>
      </w:r>
      <w:r>
        <w:t xml:space="preserve">the same experiment demonstrates tiering against a high-dimension transplant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which is why contribution C2 is claimed for those</w:t>
      </w:r>
      <w:r>
        <w:t xml:space="preserve"> </w:t>
      </w:r>
      <w:r>
        <w:t xml:space="preserve">two dimensions only. Which of the differing configuration keys carries</w:t>
      </w:r>
      <w:r>
        <w:t xml:space="preserve"> </w:t>
      </w:r>
      <w:r>
        <w:t xml:space="preserve">the effect is not resolved here and is left open.</w:t>
      </w:r>
    </w:p>
    <w:p>
      <w:pPr>
        <w:pStyle w:val="BodyText"/>
      </w:pPr>
      <w:r>
        <w:t xml:space="preserve">Pairing is by common seed, problem and run rather than by an identical</w:t>
      </w:r>
      <w:r>
        <w:t xml:space="preserve"> </w:t>
      </w:r>
      <w:r>
        <w:t xml:space="preserve">starting population: DT-GSK self-initializes its own</w:t>
      </w:r>
      <w:r>
        <w:t xml:space="preserve"> </w:t>
      </w:r>
      <m:oMath>
        <m:r>
          <m:t>5</m:t>
        </m:r>
        <m:r>
          <m:t>D</m:t>
        </m:r>
      </m:oMath>
      <w:r>
        <w:t xml:space="preserve"> </w:t>
      </w:r>
      <w:r>
        <w:t xml:space="preserve">population from</w:t>
      </w:r>
      <w:r>
        <w:t xml:space="preserve"> </w:t>
      </w:r>
      <w:r>
        <w:t xml:space="preserve">the same seed-paired stream, the one documented departure from the shared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used by the six comparators. That departure is bounded rather than</w:t>
      </w:r>
      <w:r>
        <w:t xml:space="preserve"> </w:t>
      </w:r>
      <w:r>
        <w:t xml:space="preserve">merely disclosed: held to the comparators’ initial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100</m:t>
        </m:r>
      </m:oMath>
      <w:r>
        <w:t xml:space="preserve">, DT-GSK</w:t>
      </w:r>
      <w:r>
        <w:t xml:space="preserve"> </w:t>
      </w:r>
      <w:r>
        <w:t xml:space="preserve">stays within the panel’s top two at every CEC2017 dimension, but its first</w:t>
      </w:r>
      <w:r>
        <w:t xml:space="preserve"> </w:t>
      </w:r>
      <w:r>
        <w:t xml:space="preserve">places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do not survive, so those two rank claims</w:t>
      </w:r>
      <w:r>
        <w:t xml:space="preserve"> </w:t>
      </w:r>
      <w:r>
        <w:t xml:space="preserve">rest in part on the population rule (Supplementary Materials,</w:t>
      </w:r>
      <w:r>
        <w:t xml:space="preserve"> </w:t>
      </w:r>
      <w:r>
        <w:t xml:space="preserve">Section S9.2).</w:t>
      </w:r>
      <w:r>
        <w:t xml:space="preserve"> </w:t>
      </w:r>
      <w:r>
        <w:t xml:space="preserve">Every comparative finding is panel-relative by design, with no claim against</w:t>
      </w:r>
      <w:r>
        <w:t xml:space="preserve"> </w:t>
      </w:r>
      <w:r>
        <w:t xml:space="preserve">other metaheuristic families, and the eGSK cells derive from a port whose</w:t>
      </w:r>
      <w:r>
        <w:t xml:space="preserve"> </w:t>
      </w:r>
      <w:r>
        <w:t xml:space="preserve">SLSQP polish substitutes the reference implementation’s fmincon solver, so no</w:t>
      </w:r>
      <w:r>
        <w:t xml:space="preserve"> </w:t>
      </w:r>
      <w:r>
        <w:t xml:space="preserve">runtime-superiority claim is made in either direction.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no</w:t>
      </w:r>
      <w:r>
        <w:t xml:space="preserve"> </w:t>
      </w:r>
      <w:r>
        <w:t xml:space="preserve">member of the family, DT-GSK included, approaches the performance that</w:t>
      </w:r>
      <w:r>
        <w:t xml:space="preserve"> </w:t>
      </w:r>
      <w:r>
        <w:t xml:space="preserve">dedicated large-scale specialists report in the literature; the family’s</w:t>
      </w:r>
      <w:r>
        <w:t xml:space="preserve"> </w:t>
      </w:r>
      <w:r>
        <w:t xml:space="preserve">evidence of competitiveness therefore ends at the dimensionalities of the</w:t>
      </w:r>
      <w:r>
        <w:t xml:space="preserve"> </w:t>
      </w:r>
      <w:r>
        <w:t xml:space="preserve">bound-constrained</w:t>
      </w:r>
      <w:r>
        <w:t xml:space="preserve"> </w:t>
      </w:r>
      <w:r>
        <w:t xml:space="preserve">suites.</w:t>
      </w:r>
      <w:r>
        <w:t xml:space="preserve"> </w:t>
      </w:r>
      <w:r>
        <w:t xml:space="preserve">The study runs on a single host and environment. Five of the six</w:t>
      </w:r>
      <w:r>
        <w:t xml:space="preserve"> </w:t>
      </w:r>
      <w:r>
        <w:t xml:space="preserve">comparators were authored or co-authored by two of the present authors, and no</w:t>
      </w:r>
      <w:r>
        <w:t xml:space="preserve"> </w:t>
      </w:r>
      <w:r>
        <w:t xml:space="preserve">external non-GSK baseline enters any panel, table, figure or claim —</w:t>
      </w:r>
      <w:r>
        <w:t xml:space="preserve"> </w:t>
      </w:r>
      <w:r>
        <w:t xml:space="preserve">the repository does contain runnable non-GSK implementations and, for</w:t>
      </w:r>
      <w:r>
        <w:t xml:space="preserve"> </w:t>
      </w:r>
      <w:r>
        <w:t xml:space="preserve">three large-scale specialists, CEC2013LSGO result banks produced under</w:t>
      </w:r>
      <w:r>
        <w:t xml:space="preserve"> </w:t>
      </w:r>
      <w:r>
        <w:t xml:space="preserve">this paper’s protocol, all disclosed in the Data Availability Statement</w:t>
      </w:r>
      <w:r>
        <w:t xml:space="preserve"> </w:t>
      </w:r>
      <w:r>
        <w:t xml:space="preserve">and none analyzed</w:t>
      </w:r>
      <w:r>
        <w:t xml:space="preserve"> </w:t>
      </w:r>
      <w:r>
        <w:t xml:space="preserve">here.</w:t>
      </w:r>
      <w:r>
        <w:t xml:space="preserve"> </w:t>
      </w:r>
      <w:r>
        <w:t xml:space="preserve">This is a deliberate trade of breadth of</w:t>
      </w:r>
      <w:r>
        <w:t xml:space="preserve"> </w:t>
      </w:r>
      <w:r>
        <w:t xml:space="preserve">comparison for internal validity: every panel cell reported here was re-executed</w:t>
      </w:r>
      <w:r>
        <w:t xml:space="preserve"> </w:t>
      </w:r>
      <w:r>
        <w:t xml:space="preserve">under one protocol, one budget rule and one seed schedule, whereas a wider</w:t>
      </w:r>
      <w:r>
        <w:t xml:space="preserve"> </w:t>
      </w:r>
      <w:r>
        <w:t xml:space="preserve">roster assembled from values quoted across source publications would carry</w:t>
      </w:r>
      <w:r>
        <w:t xml:space="preserve"> </w:t>
      </w:r>
      <w:r>
        <w:t xml:space="preserve">uncontrolled implementation and environment differences into the comparison. Attribution gaps bound what the</w:t>
      </w:r>
      <w:r>
        <w:t xml:space="preserve"> </w:t>
      </w:r>
      <w:r>
        <w:t xml:space="preserve">component evidence can support; the basis gap among them is closed by a</w:t>
      </w:r>
      <w:r>
        <w:t xml:space="preserve"> </w:t>
      </w:r>
      <w:r>
        <w:t xml:space="preserve">direct three-arm isolation (Supplementary Materials, Section S9.1), which</w:t>
      </w:r>
      <w:r>
        <w:t xml:space="preserve"> </w:t>
      </w:r>
      <w:r>
        <w:t xml:space="preserve">separates the deterministic endgame</w:t>
      </w:r>
      <w:r>
        <w:t xml:space="preserve"> </w:t>
      </w:r>
      <w:r>
        <w:t xml:space="preserve">(supported) from the learned basis it searches (not supported), leaving open</w:t>
      </w:r>
      <w:r>
        <w:t xml:space="preserve"> </w:t>
      </w:r>
      <w:r>
        <w:t xml:space="preserve">alternative bases, other suites, and the conditions under which accepted-move</w:t>
      </w:r>
      <w:r>
        <w:t xml:space="preserve"> </w:t>
      </w:r>
      <w:r>
        <w:t xml:space="preserve">geometry becomes informative. Finally, the</w:t>
      </w:r>
      <w:r>
        <w:t xml:space="preserve"> </w:t>
      </w:r>
      <w:r>
        <w:t xml:space="preserve">statistical scope is itself bounded, with inference within dimension and the</w:t>
      </w:r>
      <w:r>
        <w:t xml:space="preserve"> </w:t>
      </w:r>
      <w:r>
        <w:t xml:space="preserve">across-dimension aggregate descriptive.</w:t>
      </w:r>
    </w:p>
    <w:p>
      <w:pPr>
        <w:pStyle w:val="BodyText"/>
      </w:pPr>
      <w:r>
        <w:t xml:space="preserve">Component-level evidence anchors the mechanisms and frames the open</w:t>
      </w:r>
      <w:r>
        <w:t xml:space="preserve"> </w:t>
      </w:r>
      <w:r>
        <w:t xml:space="preserve">questions. A scaffold remove-one</w:t>
      </w:r>
      <w:r>
        <w:t xml:space="preserve"> </w:t>
      </w:r>
      <w:r>
        <w:t xml:space="preserve">component study — each component disabled in turn within the otherwise</w:t>
      </w:r>
      <w:r>
        <w:t xml:space="preserve"> </w:t>
      </w:r>
      <w:r>
        <w:t xml:space="preserve">complete system, so that a cell measures that component’s marginal</w:t>
      </w:r>
      <w:r>
        <w:t xml:space="preserve"> </w:t>
      </w:r>
      <w:r>
        <w:t xml:space="preserve">contribution in context rather than its standalone effect in isolation, with the</w:t>
      </w:r>
      <w:r>
        <w:t xml:space="preserve"> </w:t>
      </w:r>
      <w:r>
        <w:t xml:space="preserve">interaction-structure memory held off in</w:t>
      </w:r>
      <w:r>
        <w:t xml:space="preserve"> </w:t>
      </w:r>
      <w:r>
        <w:t xml:space="preserve">every cell — is reported in the Supplementary Materials, as is a</w:t>
      </w:r>
      <w:r>
        <w:t xml:space="preserve"> </w:t>
      </w:r>
      <w:r>
        <w:t xml:space="preserve">direct isolation of the interaction-structure memory overlay itself</w:t>
      </w:r>
      <w:r>
        <w:t xml:space="preserve"> </w:t>
      </w:r>
      <w:r>
        <w:t xml:space="preserve">(Section S6.5). The isolation finds</w:t>
      </w:r>
      <w:r>
        <w:t xml:space="preserve"> </w:t>
      </w:r>
      <w:r>
        <w:rPr>
          <w:i/>
          <w:iCs/>
        </w:rPr>
        <w:t xml:space="preserve">no detectable standalone</w:t>
      </w:r>
      <w:r>
        <w:rPr>
          <w:i/>
          <w:iCs/>
        </w:rPr>
        <w:t xml:space="preserve"> </w:t>
      </w:r>
      <w:r>
        <w:rPr>
          <w:i/>
          <w:iCs/>
        </w:rPr>
        <w:t xml:space="preserve">benefit</w:t>
      </w:r>
      <w:r>
        <w:t xml:space="preserve"> </w:t>
      </w:r>
      <w:r>
        <w:t xml:space="preserve">at the memory’s active tiers, at a tier-dependent compute overhead.</w:t>
      </w:r>
      <w:r>
        <w:t xml:space="preserve"> </w:t>
      </w:r>
      <w:r>
        <w:t xml:space="preserve">A breakdown by function class shows this null holds even on the hybrid</w:t>
      </w:r>
      <w:r>
        <w:t xml:space="preserve"> </w:t>
      </w:r>
      <w:r>
        <w:t xml:space="preserve">and composition functions, so the aggregate null is not explained by the</w:t>
      </w:r>
      <w:r>
        <w:t xml:space="preserve"> </w:t>
      </w:r>
      <w:r>
        <w:t xml:space="preserve">separable-problem subset. Both are benchmark categories in which variable</w:t>
      </w:r>
      <w:r>
        <w:t xml:space="preserve"> </w:t>
      </w:r>
      <w:r>
        <w:t xml:space="preserve">interaction is present by construction, though they are not a validated</w:t>
      </w:r>
      <w:r>
        <w:t xml:space="preserve"> </w:t>
      </w:r>
      <w:r>
        <w:t xml:space="preserve">ground-truth annotation of coordinate interaction. We</w:t>
      </w:r>
      <w:r>
        <w:t xml:space="preserve"> </w:t>
      </w:r>
      <w:r>
        <w:t xml:space="preserve">therefore report the interaction-structure memory as a</w:t>
      </w:r>
      <w:r>
        <w:t xml:space="preserve"> </w:t>
      </w:r>
      <w:r>
        <w:rPr>
          <w:i/>
          <w:iCs/>
        </w:rPr>
        <w:t xml:space="preserve">controlled</w:t>
      </w:r>
      <w:r>
        <w:rPr>
          <w:i/>
          <w:iCs/>
        </w:rPr>
        <w:t xml:space="preserve"> </w:t>
      </w:r>
      <w:r>
        <w:rPr>
          <w:i/>
          <w:iCs/>
        </w:rPr>
        <w:t xml:space="preserve">negative result</w:t>
      </w:r>
      <w:r>
        <w:t xml:space="preserve">: under this design, learning coordinate-pair structure from accepted</w:t>
      </w:r>
      <w:r>
        <w:t xml:space="preserve"> </w:t>
      </w:r>
      <w:r>
        <w:t xml:space="preserve">moves without additional objective evaluations yields no detectable standalone</w:t>
      </w:r>
      <w:r>
        <w:t xml:space="preserve"> </w:t>
      </w:r>
      <w:r>
        <w:t xml:space="preserve">improvement to a GSK optimizer at these</w:t>
      </w:r>
      <w:r>
        <w:t xml:space="preserve"> </w:t>
      </w:r>
      <w:r>
        <w:t xml:space="preserve">dimensions. This is a failure to detect an effect, not a demonstration that</w:t>
      </w:r>
      <w:r>
        <w:t xml:space="preserve"> </w:t>
      </w:r>
      <w:r>
        <w:t xml:space="preserve">none exists: no equivalence test or confidence bound on the effect size was</w:t>
      </w:r>
      <w:r>
        <w:t xml:space="preserve"> </w:t>
      </w:r>
      <w:r>
        <w:t xml:space="preserve">computed, so the result places no numerical ceiling on how large a benefit the</w:t>
      </w:r>
      <w:r>
        <w:t xml:space="preserve"> </w:t>
      </w:r>
      <w:r>
        <w:t xml:space="preserve">design could have missed.</w:t>
      </w:r>
    </w:p>
    <w:p>
      <w:pPr>
        <w:pStyle w:val="BodyText"/>
      </w:pPr>
      <w:r>
        <w:t xml:space="preserve">A direct basis isolation sharpens this. In the</w:t>
      </w:r>
      <w:r>
        <w:t xml:space="preserve"> </w:t>
      </w:r>
      <w:r>
        <w:t xml:space="preserve">memory’s terminal exploitation channel — the basis the final polish searches</w:t>
      </w:r>
      <w:r>
        <w:t xml:space="preserve"> </w:t>
      </w:r>
      <w:r>
        <w:t xml:space="preserve">along — the learned eigenframe is outperformed by the plain coordinate axes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25 of 29 functions) and, under</w:t>
      </w:r>
      <w:r>
        <w:t xml:space="preserve"> </w:t>
      </w:r>
      <w:r>
        <w:t xml:space="preserve">the manuscript’s stated tie rule,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as well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0.0489</m:t>
        </m:r>
      </m:oMath>
      <w:r>
        <w:t xml:space="preserve">), while the</w:t>
      </w:r>
      <w:r>
        <w:t xml:space="preserve"> </w:t>
      </w:r>
      <w:r>
        <w:t xml:space="preserve">polish itself beats no refinement at both active dimensions (Supplementary</w:t>
      </w:r>
      <w:r>
        <w:t xml:space="preserve"> </w:t>
      </w:r>
      <w:r>
        <w:t xml:space="preserve">Materials, Section S9.1). At both active dimensions, therefore,</w:t>
      </w:r>
      <w:r>
        <w:t xml:space="preserve"> </w:t>
      </w:r>
      <w:r>
        <w:t xml:space="preserve">exploiting the learned structure did not merely fail to help: it subtracted from</w:t>
      </w:r>
      <w:r>
        <w:t xml:space="preserve"> </w:t>
      </w:r>
      <w:r>
        <w:t xml:space="preserve">a refinement that works without it. Contribution C1 is stated basis-neutrally</w:t>
      </w:r>
      <w:r>
        <w:t xml:space="preserve"> </w:t>
      </w:r>
      <w:r>
        <w:t xml:space="preserve">for this reason.</w:t>
      </w:r>
      <w:r>
        <w:t xml:space="preserve"> </w:t>
      </w:r>
      <w:r>
        <w:t xml:space="preserve">Both mechanisms are retained unchanged. The configuration evaluated here was</w:t>
      </w:r>
      <w:r>
        <w:t xml:space="preserve"> </w:t>
      </w:r>
      <w:r>
        <w:t xml:space="preserve">fixed and checksum-locked before these isolations were run, so replacing a</w:t>
      </w:r>
      <w:r>
        <w:t xml:space="preserve"> </w:t>
      </w:r>
      <w:r>
        <w:t xml:space="preserve">component in response to the experiment that measured it would define a</w:t>
      </w:r>
      <w:r>
        <w:t xml:space="preserve"> </w:t>
      </w:r>
      <w:r>
        <w:t xml:space="preserve">different algorithm, and every number reported here is bound to the one that</w:t>
      </w:r>
      <w:r>
        <w:t xml:space="preserve"> </w:t>
      </w:r>
      <w:r>
        <w:t xml:space="preserve">was evaluated. The isolations therefore correct the claims rather than the</w:t>
      </w:r>
      <w:r>
        <w:t xml:space="preserve"> </w:t>
      </w:r>
      <w:r>
        <w:t xml:space="preserve">method, and the mechanisms remain in the shipped configuration so that both</w:t>
      </w:r>
      <w:r>
        <w:t xml:space="preserve"> </w:t>
      </w:r>
      <w:r>
        <w:t xml:space="preserve">negative results are reproducible from it.</w:t>
      </w:r>
    </w:p>
    <w:p>
      <w:pPr>
        <w:pStyle w:val="BodyText"/>
      </w:pPr>
      <w:r>
        <w:t xml:space="preserve">It is</w:t>
      </w:r>
      <w:r>
        <w:t xml:space="preserve"> </w:t>
      </w:r>
      <w:r>
        <w:t xml:space="preserve">presented alongside the reproducible dimension-tiered system rather than as a</w:t>
      </w:r>
      <w:r>
        <w:t xml:space="preserve"> </w:t>
      </w:r>
      <w:r>
        <w:t xml:space="preserve">fourth claimed contribution. Reporting it, together with the mid-dimension</w:t>
      </w:r>
      <w:r>
        <w:t xml:space="preserve"> </w:t>
      </w:r>
      <w:r>
        <w:t xml:space="preserve">second place and the Holm-significant CEC2011 loss, is part of what the</w:t>
      </w:r>
      <w:r>
        <w:t xml:space="preserve"> </w:t>
      </w:r>
      <w:r>
        <w:t xml:space="preserve">evaluation contribution (C3) is for: the locked protocol that supports the</w:t>
      </w:r>
      <w:r>
        <w:t xml:space="preserve"> </w:t>
      </w:r>
      <w:r>
        <w:t xml:space="preserve">favorable findings fixes the unfavorable ones in the same record, and both are</w:t>
      </w:r>
      <w:r>
        <w:t xml:space="preserve"> </w:t>
      </w:r>
      <w:r>
        <w:t xml:space="preserve">re-derivable from the same release.</w:t>
      </w:r>
      <w:r>
        <w:t xml:space="preserve"> </w:t>
      </w:r>
      <w:r>
        <w:t xml:space="preserve">The mid-dimension deficit</w:t>
      </w:r>
      <w:r>
        <w:t xml:space="preserve"> </w:t>
      </w:r>
      <w:r>
        <w:t xml:space="preserve">motivates studying the structure memory’s activation boundary below its</w:t>
      </w:r>
      <w:r>
        <w:t xml:space="preserve"> </w:t>
      </w:r>
      <w:r>
        <w:t xml:space="preserve">current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gate.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the family’s standing is</w:t>
      </w:r>
      <w:r>
        <w:t xml:space="preserve"> </w:t>
      </w:r>
      <w:r>
        <w:t xml:space="preserve">consistent with the Supplementary Section S6.5 isolation null rather than an</w:t>
      </w:r>
      <w:r>
        <w:t xml:space="preserve"> </w:t>
      </w:r>
      <w:r>
        <w:t xml:space="preserve">independent measurement of it: no component contrast was run at that</w:t>
      </w:r>
      <w:r>
        <w:t xml:space="preserve"> </w:t>
      </w:r>
      <w:r>
        <w:t xml:space="preserve">scale, so the large-scale result attributes nothing to the memory or the</w:t>
      </w:r>
      <w:r>
        <w:t xml:space="preserve"> </w:t>
      </w:r>
      <w:r>
        <w:t xml:space="preserve">polish in either direction, and pairing the memory with</w:t>
      </w:r>
      <w:r>
        <w:t xml:space="preserve"> </w:t>
      </w:r>
      <w:r>
        <w:t xml:space="preserve">decomposition-style scaling in the differential-grouping</w:t>
      </w:r>
      <w:r>
        <w:t xml:space="preserve"> </w:t>
      </w:r>
      <w:r>
        <w:t xml:space="preserve">line </w:t>
      </w:r>
      <w:r>
        <w:fldChar w:fldCharType="begin"/>
      </w:r>
      <w:r>
        <w:instrText xml:space="preserve"> CITATION omidvar2014dg \l 1033 </w:instrText>
      </w:r>
      <w:r>
        <w:fldChar w:fldCharType="separate"/>
      </w:r>
      <w:r>
        <w:t xml:space="preserve">[22]</w:t>
      </w:r>
      <w:r>
        <w:fldChar w:fldCharType="end"/>
      </w:r>
      <w:r>
        <w:t xml:space="preserve"> remains future work.</w:t>
      </w:r>
    </w:p>
    <w:p>
      <w:pPr>
        <w:pStyle w:val="BodyText"/>
      </w:pPr>
      <w:r>
        <w:t xml:space="preserve">And evaluation beyond the family — non-GSK baselines under the same</w:t>
      </w:r>
      <w:r>
        <w:t xml:space="preserve"> </w:t>
      </w:r>
      <w:r>
        <w:t xml:space="preserve">locked, budget-fair protocol — is the natural external test of the</w:t>
      </w:r>
      <w:r>
        <w:t xml:space="preserve"> </w:t>
      </w:r>
      <w:r>
        <w:t xml:space="preserve">panel-scoped findings reported here. The implementation, the frozen</w:t>
      </w:r>
      <w:r>
        <w:t xml:space="preserve"> </w:t>
      </w:r>
      <w:r>
        <w:t xml:space="preserve">configuration, per-run raw results, seed schedules, and the versioned</w:t>
      </w:r>
      <w:r>
        <w:t xml:space="preserve"> </w:t>
      </w:r>
      <w:r>
        <w:t xml:space="preserve">evidence releases accompanying this article are identified in the Data</w:t>
      </w:r>
      <w:r>
        <w:t xml:space="preserve"> </w:t>
      </w:r>
      <w:r>
        <w:t xml:space="preserve">Availability Statement, and the byte-stable determinism layer</w:t>
      </w:r>
      <w:r>
        <w:t xml:space="preserve"> </w:t>
      </w:r>
      <w:r>
        <w:t xml:space="preserve">lets the released analysis pipeline re-derive the reported</w:t>
      </w:r>
      <w:r>
        <w:t xml:space="preserve"> </w:t>
      </w:r>
      <w:r>
        <w:t xml:space="preserve">numbers from them in the declared supported environment.</w:t>
      </w:r>
    </w:p>
    <w:bookmarkEnd w:id="100"/>
    <w:bookmarkEnd w:id="101"/>
    <w:bookmarkStart w:id="102" w:name="lbl_supplementary_materials"/>
    <w:p>
      <w:pPr>
        <w:pStyle w:val="Heading1"/>
      </w:pPr>
      <w:r>
        <w:t xml:space="preserve">Supplementary Materials</w:t>
      </w:r>
    </w:p>
    <w:p>
      <w:pPr>
        <w:pStyle w:val="FirstParagraph"/>
      </w:pPr>
      <w:r>
        <w:t xml:space="preserve">The following supporting information accompanies this</w:t>
      </w:r>
      <w:r>
        <w:t xml:space="preserve"> </w:t>
      </w:r>
      <w:r>
        <w:t xml:space="preserve">article: Supplementary Sections S1–S9, comprising the complete CEC2017</w:t>
      </w:r>
      <w:r>
        <w:t xml:space="preserve"> </w:t>
      </w:r>
      <w:r>
        <w:t xml:space="preserve">per-function panel tables (S1); pairwise matrices and additional-suite</w:t>
      </w:r>
      <w:r>
        <w:t xml:space="preserve"> </w:t>
      </w:r>
      <w:r>
        <w:t xml:space="preserve">detail for CEC2011 and the CEC2013 second comparison suite, including</w:t>
      </w:r>
      <w:r>
        <w:t xml:space="preserve"> </w:t>
      </w:r>
      <w:r>
        <w:t xml:space="preserve">the descriptive rank-stability intervals (S2); the convergence</w:t>
      </w:r>
      <w:r>
        <w:t xml:space="preserve"> </w:t>
      </w:r>
      <w:r>
        <w:t xml:space="preserve">figure sets for CEC2017, CEC2011 and CEC2013, every scored function at the</w:t>
      </w:r>
      <w:r>
        <w:t xml:space="preserve"> </w:t>
      </w:r>
      <w:r>
        <w:t xml:space="preserve">prespecified dimensions (S3); a population-schedule visualization and</w:t>
      </w:r>
      <w:r>
        <w:t xml:space="preserve"> </w:t>
      </w:r>
      <w:r>
        <w:t xml:space="preserve">diagnostic-availability note (S4); a</w:t>
      </w:r>
      <w:r>
        <w:t xml:space="preserve"> </w:t>
      </w:r>
      <w:r>
        <w:t xml:space="preserve">reproducibility appendix covering the seed schedule and pairing, the</w:t>
      </w:r>
      <w:r>
        <w:t xml:space="preserve"> </w:t>
      </w:r>
      <w:r>
        <w:t xml:space="preserve">hash-frozen configuration, and the evidence-release checksums (S5); a</w:t>
      </w:r>
      <w:r>
        <w:t xml:space="preserve"> </w:t>
      </w:r>
      <w:r>
        <w:t xml:space="preserve">supplement-only component-contribution study — a scaffold</w:t>
      </w:r>
      <w:r>
        <w:t xml:space="preserve"> </w:t>
      </w:r>
      <w:r>
        <w:t xml:space="preserve">remove-one decomposition and a direct isolation of the interaction-structure</w:t>
      </w:r>
      <w:r>
        <w:t xml:space="preserve"> </w:t>
      </w:r>
      <w:r>
        <w:t xml:space="preserve">memory (which finds no significant standalone benefit at its active</w:t>
      </w:r>
      <w:r>
        <w:t xml:space="preserve"> </w:t>
      </w:r>
      <w:r>
        <w:t xml:space="preserve">tiers), drawn from separate component-isolation evidence, reported after the primary</w:t>
      </w:r>
      <w:r>
        <w:t xml:space="preserve"> </w:t>
      </w:r>
      <w:r>
        <w:t xml:space="preserve">freeze and altering no primary result, together with the per-component cost accounting, the post-hoc function-class analysis, and the implementation-caveats trail for the two corrected defects — the material the main text cites as S6.5, S6.6, and S6.7 (S6); the CEC2013LSGO large-scale study, with its family-internal scope, evidential-tier and provenance disclosures (S7); the pre-registered CEC2020 confirmatory battery, reported with its registered outcome wording (S8); and the mechanism-isolation and sensitivity experiments — the refinement-basis isolation, the matched-population-size control, the tiered-versus-tier-constant transplant, the exploratory selected-constant screen, and the dimension-boundary study — each pre-registered before it produced a result (S9).</w:t>
      </w:r>
    </w:p>
    <w:bookmarkEnd w:id="102"/>
    <w:bookmarkStart w:id="103" w:name="lbl_author_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Conceptualization, M.E.A.M.;</w:t>
      </w:r>
      <w:r>
        <w:t xml:space="preserve"> </w:t>
      </w:r>
      <w:r>
        <w:t xml:space="preserve">methodology, M.E.A.M. and A.W.M.; software, M.E.A.M.;</w:t>
      </w:r>
      <w:r>
        <w:t xml:space="preserve"> </w:t>
      </w:r>
      <w:r>
        <w:t xml:space="preserve">formal analysis, M.E.A.M. and A.W.M.; investigation, M.E.A.M. and A.W.M.;</w:t>
      </w:r>
      <w:r>
        <w:t xml:space="preserve"> </w:t>
      </w:r>
      <w:r>
        <w:t xml:space="preserve">data curation, M.E.A.M. and A.W.M.;</w:t>
      </w:r>
      <w:r>
        <w:t xml:space="preserve"> </w:t>
      </w:r>
      <w:r>
        <w:t xml:space="preserve">writing—original draft preparation, M.E.A.M. and A.W.M.;</w:t>
      </w:r>
      <w:r>
        <w:t xml:space="preserve"> </w:t>
      </w:r>
      <w:r>
        <w:t xml:space="preserve">writing—review and editing, H.S.M.R.;</w:t>
      </w:r>
      <w:r>
        <w:t xml:space="preserve"> </w:t>
      </w:r>
      <w:r>
        <w:t xml:space="preserve">supervision, H.S.M.R. and A.W.M.; project administration, A.W.M.</w:t>
      </w:r>
      <w:r>
        <w:t xml:space="preserve"> </w:t>
      </w:r>
      <w:r>
        <w:t xml:space="preserve">All authors have read and agreed to the published version of the manuscript.</w:t>
      </w:r>
    </w:p>
    <w:bookmarkEnd w:id="103"/>
    <w:bookmarkStart w:id="105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p>
      <w:pPr>
        <w:pStyle w:val="BodyText"/>
      </w:pPr>
      <w:r>
        <w:rPr>
          <w:b/>
          <w:bCs/>
        </w:rPr>
        <w:t xml:space="preserve">Institutional Review Board Statement: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Informed Consent Statement: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Data Availability Statement:</w:t>
      </w:r>
      <w:r>
        <w:t xml:space="preserve"> </w:t>
      </w:r>
      <w:r>
        <w:t xml:space="preserve">The source code,</w:t>
      </w:r>
      <w:r>
        <w:t xml:space="preserve"> </w:t>
      </w:r>
      <w:r>
        <w:t xml:space="preserve">configuration files, and experimental result data supporting the findings of</w:t>
      </w:r>
      <w:r>
        <w:t xml:space="preserve"> </w:t>
      </w:r>
      <w:r>
        <w:t xml:space="preserve">this study are openly available in the public DT-GSK repository at</w:t>
      </w:r>
      <w:r>
        <w:t xml:space="preserve"> </w:t>
      </w:r>
      <w:hyperlink r:id="rId104">
        <w:r>
          <w:rPr>
            <w:rStyle w:val="Hyperlink"/>
          </w:rPr>
          <w:t xml:space="preserve">https://github.com/MostafaMassoud/DT-GSK</w:t>
        </w:r>
      </w:hyperlink>
      <w:r>
        <w:t xml:space="preserve">; the originally submitted</w:t>
      </w:r>
      <w:r>
        <w:t xml:space="preserve"> </w:t>
      </w:r>
      <w:r>
        <w:t xml:space="preserve">version corresponds to the repository tag v2.13 and this revised version to</w:t>
      </w:r>
      <w:r>
        <w:t xml:space="preserve"> </w:t>
      </w:r>
      <w:r>
        <w:t xml:space="preserve">tag v2.32, and any further materials are</w:t>
      </w:r>
      <w:r>
        <w:t xml:space="preserve"> </w:t>
      </w:r>
      <w:r>
        <w:t xml:space="preserve">available from the corresponding author upon reasonable request. The</w:t>
      </w:r>
      <w:r>
        <w:t xml:space="preserve"> </w:t>
      </w:r>
      <w:r>
        <w:t xml:space="preserve">supplementary materials accompanying the manuscript provide the additional</w:t>
      </w:r>
      <w:r>
        <w:t xml:space="preserve"> </w:t>
      </w:r>
      <w:r>
        <w:t xml:space="preserve">methodological and experimental details needed to evaluate the reported</w:t>
      </w:r>
      <w:r>
        <w:t xml:space="preserve"> </w:t>
      </w:r>
      <w:r>
        <w:t xml:space="preserve">results.</w:t>
      </w:r>
      <w:r>
        <w:t xml:space="preserve"> </w:t>
      </w:r>
      <w:r>
        <w:t xml:space="preserve">All CEC2017, CEC2011 and CEC2013 values derive from a single primary</w:t>
      </w:r>
      <w:r>
        <w:t xml:space="preserve"> </w:t>
      </w:r>
      <w:r>
        <w:t xml:space="preserve">evidence release, rel-2026-07-20-67d9345f9, whose manifest records a</w:t>
      </w:r>
      <w:r>
        <w:t xml:space="preserve"> </w:t>
      </w:r>
      <w:r>
        <w:t xml:space="preserve">SHA-256 checksum for every released file; the two suites added after</w:t>
      </w:r>
      <w:r>
        <w:t xml:space="preserve"> </w:t>
      </w:r>
      <w:r>
        <w:t xml:space="preserve">that release was minted are carried by their own separate,</w:t>
      </w:r>
      <w:r>
        <w:t xml:space="preserve"> </w:t>
      </w:r>
      <w:r>
        <w:t xml:space="preserve">non-superseding releases, lsgo-rel-2026-07-28-ff1a046ef (CEC2013LSGO)</w:t>
      </w:r>
      <w:r>
        <w:t xml:space="preserve"> </w:t>
      </w:r>
      <w:r>
        <w:t xml:space="preserve">and cec2020-rel-2026-07-29-5867abe1e (CEC2020), each with its own</w:t>
      </w:r>
      <w:r>
        <w:t xml:space="preserve"> </w:t>
      </w:r>
      <w:r>
        <w:t xml:space="preserve">checksummed manifest; four of the mechanism-isolation experiments (E1–E4)</w:t>
      </w:r>
      <w:r>
        <w:t xml:space="preserve"> </w:t>
      </w:r>
      <w:r>
        <w:t xml:space="preserve">are carried by a fourth additive, non-superseding release,</w:t>
      </w:r>
      <w:r>
        <w:t xml:space="preserve"> </w:t>
      </w:r>
      <w:r>
        <w:t xml:space="preserve">rev-rel-2026-08-26-dd42d37eb, which</w:t>
      </w:r>
      <w:r>
        <w:t xml:space="preserve"> </w:t>
      </w:r>
      <w:r>
        <w:t xml:space="preserve">leaves every primary value unchanged; the dimension-boundary experiment (E5)</w:t>
      </w:r>
      <w:r>
        <w:t xml:space="preserve"> </w:t>
      </w:r>
      <w:r>
        <w:t xml:space="preserve">is carried by a fifth additive release,</w:t>
      </w:r>
      <w:r>
        <w:t xml:space="preserve"> </w:t>
      </w:r>
      <w:r>
        <w:t xml:space="preserve">rev2-rel-2026-08-28-203c78744, on the same terms; the identity re-execution</w:t>
      </w:r>
      <w:r>
        <w:t xml:space="preserve"> </w:t>
      </w:r>
      <w:r>
        <w:t xml:space="preserve">behind the Supplementary Materials Table A45 residual is carried by a further</w:t>
      </w:r>
      <w:r>
        <w:t xml:space="preserve"> </w:t>
      </w:r>
      <w:r>
        <w:t xml:space="preserve">additive release,</w:t>
      </w:r>
      <w:r>
        <w:t xml:space="preserve"> </w:t>
      </w:r>
      <w:r>
        <w:t xml:space="preserve">g1-rel-2026-08-28-65b3d39e6; and the derived statistical artifacts</w:t>
      </w:r>
      <w:r>
        <w:t xml:space="preserve"> </w:t>
      </w:r>
      <w:r>
        <w:t xml:space="preserve">behind every table and figure are versioned as checksummed analysis</w:t>
      </w:r>
      <w:r>
        <w:t xml:space="preserve"> </w:t>
      </w:r>
      <w:r>
        <w:t xml:space="preserve">bundles alongside them. The supplementary component-isolation study</w:t>
      </w:r>
      <w:r>
        <w:t xml:space="preserve"> </w:t>
      </w:r>
      <w:r>
        <w:t xml:space="preserve">(Section S6) draws on a separate immutable component-isolation release,</w:t>
      </w:r>
      <w:r>
        <w:t xml:space="preserve"> </w:t>
      </w:r>
      <w:r>
        <w:t xml:space="preserve">identified and checksummed in the Supplementary Materials.</w:t>
      </w:r>
      <w:r>
        <w:t xml:space="preserve"> </w:t>
      </w:r>
      <w:r>
        <w:t xml:space="preserve">Beyond the analyzed suites, the implementation also includes runnable</w:t>
      </w:r>
      <w:r>
        <w:t xml:space="preserve"> </w:t>
      </w:r>
      <w:r>
        <w:t xml:space="preserve">versions of eight non-GSK baseline optimizers and, for three of</w:t>
      </w:r>
      <w:r>
        <w:t xml:space="preserve"> </w:t>
      </w:r>
      <w:r>
        <w:t xml:space="preserve">them (SHADE-ILS, MOS and DECC-G), complete result banks on CEC2013LSGO</w:t>
      </w:r>
      <w:r>
        <w:t xml:space="preserve"> </w:t>
      </w:r>
      <w:r>
        <w:t xml:space="preserve">produced under this paper’s protocol. These implementations carry no</w:t>
      </w:r>
      <w:r>
        <w:t xml:space="preserve"> </w:t>
      </w:r>
      <w:r>
        <w:t xml:space="preserve">validation evidence checkable within this project: the vendored ports</w:t>
      </w:r>
      <w:r>
        <w:t xml:space="preserve"> </w:t>
      </w:r>
      <w:r>
        <w:t xml:space="preserve">are byte-faithful copies whose author-code parity records reside in a</w:t>
      </w:r>
      <w:r>
        <w:t xml:space="preserve"> </w:t>
      </w:r>
      <w:r>
        <w:t xml:space="preserve">separate project, and DECC-G is first-party code written from its source</w:t>
      </w:r>
      <w:r>
        <w:t xml:space="preserve"> </w:t>
      </w:r>
      <w:r>
        <w:t xml:space="preserve">paper with no author-code oracle. They fall outside this paper’s</w:t>
      </w:r>
      <w:r>
        <w:t xml:space="preserve"> </w:t>
      </w:r>
      <w:r>
        <w:t xml:space="preserve">analyzed scope, enter no panel, table, figure or claim, and no</w:t>
      </w:r>
      <w:r>
        <w:t xml:space="preserve"> </w:t>
      </w:r>
      <w:r>
        <w:t xml:space="preserve">comparability audit against the family is claimed for</w:t>
      </w:r>
      <w:r>
        <w:t xml:space="preserve"> </w:t>
      </w:r>
      <w:r>
        <w:t xml:space="preserve">them.</w:t>
      </w:r>
      <w:r>
        <w:t xml:space="preserve"> </w:t>
      </w:r>
      <w:r>
        <w:t xml:space="preserve">The complete shipped configuration is the single dimension-aware,</w:t>
      </w:r>
      <w:r>
        <w:t xml:space="preserve"> </w:t>
      </w:r>
      <w:r>
        <w:t xml:space="preserve">hash-frozen configuration, enforced by a configuration-lock validator</w:t>
      </w:r>
      <w:r>
        <w:t xml:space="preserve"> </w:t>
      </w:r>
      <w:r>
        <w:t xml:space="preserve">and a byte-stability regression test; the accompanying runbook</w:t>
      </w:r>
      <w:r>
        <w:t xml:space="preserve"> </w:t>
      </w:r>
      <w:r>
        <w:t xml:space="preserve">documents the commands that reproduce the</w:t>
      </w:r>
      <w:r>
        <w:t xml:space="preserve"> </w:t>
      </w:r>
      <w:r>
        <w:t xml:space="preserve">experiment grid and the analysis outputs, and the tuning-protocol</w:t>
      </w:r>
      <w:r>
        <w:t xml:space="preserve"> </w:t>
      </w:r>
      <w:r>
        <w:t xml:space="preserve">disclosure is provided in the Supplementary</w:t>
      </w:r>
      <w:r>
        <w:t xml:space="preserve"> </w:t>
      </w:r>
      <w:r>
        <w:t xml:space="preserve">Materials. The DT-GSK code is licensed under the MIT License, an</w:t>
      </w:r>
      <w:r>
        <w:t xml:space="preserve"> </w:t>
      </w:r>
      <w:r>
        <w:t xml:space="preserve">OSI-approved open-source licence (the full grant text is in the</w:t>
      </w:r>
      <w:r>
        <w:t xml:space="preserve"> </w:t>
      </w:r>
      <w:r>
        <w:t xml:space="preserve">accompanying LICENSE file), and our own derived data and</w:t>
      </w:r>
      <w:r>
        <w:t xml:space="preserve"> </w:t>
      </w:r>
      <w:r>
        <w:t xml:space="preserve">analysis artifacts under the Creative Commons Attribution 4.0 International</w:t>
      </w:r>
      <w:r>
        <w:t xml:space="preserve"> </w:t>
      </w:r>
      <w:r>
        <w:t xml:space="preserve">(CC BY 4.0) License; the CEC2017, CEC2011, CEC2013, CEC2020 and</w:t>
      </w:r>
      <w:r>
        <w:t xml:space="preserve"> </w:t>
      </w:r>
      <w:r>
        <w:t xml:space="preserve">CEC2013LSGO benchmark definitions remain</w:t>
      </w:r>
      <w:r>
        <w:t xml:space="preserve"> </w:t>
      </w:r>
      <w:r>
        <w:t xml:space="preserve">under their respective upstream terms.</w:t>
      </w:r>
    </w:p>
    <w:p>
      <w:pPr>
        <w:pStyle w:val="BodyText"/>
      </w:pPr>
      <w:r>
        <w:rPr>
          <w:b/>
          <w:bCs/>
        </w:rPr>
        <w:t xml:space="preserve">Use of Generative Artificial Intelligence:</w:t>
      </w:r>
      <w:r>
        <w:t xml:space="preserve"> </w:t>
      </w:r>
      <w:r>
        <w:t xml:space="preserve">During the preparation and revision of this manuscript (2026), the authors used</w:t>
      </w:r>
      <w:r>
        <w:t xml:space="preserve"> </w:t>
      </w:r>
      <w:r>
        <w:t xml:space="preserve">two generative-AI assistants: Claude (Opus 4.6, 4.8 and 5.0; Anthropic) and</w:t>
      </w:r>
      <w:r>
        <w:t xml:space="preserve"> </w:t>
      </w:r>
      <w:r>
        <w:t xml:space="preserve">ChatGPT (OpenAI). They assisted with language editing and rephrasing; the</w:t>
      </w:r>
      <w:r>
        <w:t xml:space="preserve"> </w:t>
      </w:r>
      <w:r>
        <w:t xml:space="preserve">drafting of expository prose that restates and explains findings the authors had</w:t>
      </w:r>
      <w:r>
        <w:t xml:space="preserve"> </w:t>
      </w:r>
      <w:r>
        <w:t xml:space="preserve">already established from the frozen evidence; structural review, consistency</w:t>
      </w:r>
      <w:r>
        <w:t xml:space="preserve"> </w:t>
      </w:r>
      <w:r>
        <w:t xml:space="preserve">checking, and review of the statistical and methodological descriptions; and</w:t>
      </w:r>
      <w:r>
        <w:t xml:space="preserve"> </w:t>
      </w:r>
      <w:r>
        <w:t xml:space="preserve">software-engineering support during implementation and tooling work. The</w:t>
      </w:r>
      <w:r>
        <w:t xml:space="preserve"> </w:t>
      </w:r>
      <w:r>
        <w:t xml:space="preserve">algorithm design and the experimental protocol are the authors’ own, and every</w:t>
      </w:r>
      <w:r>
        <w:t xml:space="preserve"> </w:t>
      </w:r>
      <w:r>
        <w:t xml:space="preserve">reported number was produced by the authors’ deterministic analysis pipeline</w:t>
      </w:r>
      <w:r>
        <w:t xml:space="preserve"> </w:t>
      </w:r>
      <w:r>
        <w:t xml:space="preserve">from a version-locked evidence archive: no AI system designed an experiment,</w:t>
      </w:r>
      <w:r>
        <w:t xml:space="preserve"> </w:t>
      </w:r>
      <w:r>
        <w:t xml:space="preserve">produced data, computed a statistic, or generated a scientific claim, result, or</w:t>
      </w:r>
      <w:r>
        <w:t xml:space="preserve"> </w:t>
      </w:r>
      <w:r>
        <w:t xml:space="preserve">conclusion, and no AI system is an author of this work. Every suggestion was</w:t>
      </w:r>
      <w:r>
        <w:t xml:space="preserve"> </w:t>
      </w:r>
      <w:r>
        <w:t xml:space="preserve">critically evaluated and, where adopted, revised and verified by the authors,</w:t>
      </w:r>
      <w:r>
        <w:t xml:space="preserve"> </w:t>
      </w:r>
      <w:r>
        <w:t xml:space="preserve">who take full responsibility for the content of this publication.</w:t>
      </w:r>
    </w:p>
    <w:bookmarkEnd w:id="105"/>
    <w:bookmarkStart w:id="106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During the preparation and revision of this manuscript, the</w:t>
      </w:r>
      <w:r>
        <w:t xml:space="preserve"> </w:t>
      </w:r>
      <w:r>
        <w:t xml:space="preserve">authors used Claude (Opus 4.6, 4.8 and 5.0; Anthropic) and ChatGPT (OpenAI) for</w:t>
      </w:r>
      <w:r>
        <w:t xml:space="preserve"> </w:t>
      </w:r>
      <w:r>
        <w:t xml:space="preserve">language editing, for drafting descriptive text, for structural and consistency</w:t>
      </w:r>
      <w:r>
        <w:t xml:space="preserve"> </w:t>
      </w:r>
      <w:r>
        <w:t xml:space="preserve">review, and for software-engineering support during implementation</w:t>
      </w:r>
      <w:r>
        <w:t xml:space="preserve"> </w:t>
      </w:r>
      <w:r>
        <w:t xml:space="preserve">and tooling, in accordance with the MDPI policy on the use of</w:t>
      </w:r>
      <w:r>
        <w:t xml:space="preserve"> </w:t>
      </w:r>
      <w:r>
        <w:t xml:space="preserve">generative artificial intelligence. No scientific content — the</w:t>
      </w:r>
      <w:r>
        <w:t xml:space="preserve"> </w:t>
      </w:r>
      <w:r>
        <w:t xml:space="preserve">algorithm design, the experimental protocol, the statistical method, or any</w:t>
      </w:r>
      <w:r>
        <w:t xml:space="preserve"> </w:t>
      </w:r>
      <w:r>
        <w:t xml:space="preserve">reported number — was AI-generated. The authors have reviewed and</w:t>
      </w:r>
      <w:r>
        <w:t xml:space="preserve"> </w:t>
      </w:r>
      <w:r>
        <w:t xml:space="preserve">edited all output and take full responsibility for the content of this</w:t>
      </w:r>
      <w:r>
        <w:t xml:space="preserve"> </w:t>
      </w:r>
      <w:r>
        <w:t xml:space="preserve">publication.</w:t>
      </w:r>
    </w:p>
    <w:bookmarkEnd w:id="106"/>
    <w:bookmarkStart w:id="107" w:name="lbl_conflicts_of_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Author A.W.M. is the originator of the baseline</w:t>
      </w:r>
      <w:r>
        <w:t xml:space="preserve"> </w:t>
      </w:r>
      <w:r>
        <w:t xml:space="preserve">Gaining-Sharing Knowledge (GSK) algorithm and a co-author of the</w:t>
      </w:r>
      <w:r>
        <w:t xml:space="preserve"> </w:t>
      </w:r>
      <w:r>
        <w:t xml:space="preserve">AGSK, APGSK, eGSK, and ATMALS-GSK variants used as within-family</w:t>
      </w:r>
      <w:r>
        <w:t xml:space="preserve"> </w:t>
      </w:r>
      <w:r>
        <w:t xml:space="preserve">comparators in this paper; FDB-AGSK, a further comparator, is an</w:t>
      </w:r>
      <w:r>
        <w:t xml:space="preserve"> </w:t>
      </w:r>
      <w:r>
        <w:t xml:space="preserve">independent third-party variant. Author H.S.M.R. is a co-author of</w:t>
      </w:r>
      <w:r>
        <w:t xml:space="preserve"> </w:t>
      </w:r>
      <w:r>
        <w:t xml:space="preserve">the eGSK variant used as a comparator. Author A.W.M. is the doctoral</w:t>
      </w:r>
      <w:r>
        <w:t xml:space="preserve"> </w:t>
      </w:r>
      <w:r>
        <w:t xml:space="preserve">supervisor of author M.E.A.M. One adjacency is disclosed specifically:</w:t>
      </w:r>
      <w:r>
        <w:t xml:space="preserve"> </w:t>
      </w:r>
      <w:r>
        <w:t xml:space="preserve">AGSK was the runner-up of the CEC2020 competition whose suite serves in</w:t>
      </w:r>
      <w:r>
        <w:t xml:space="preserve"> </w:t>
      </w:r>
      <w:r>
        <w:t xml:space="preserve">this paper as the pre-registered confirmatory benchmark, and the AGSK</w:t>
      </w:r>
      <w:r>
        <w:t xml:space="preserve"> </w:t>
      </w:r>
      <w:r>
        <w:t xml:space="preserve">paper is A.W.M.’s; this adjacency is stated here and accompanies every</w:t>
      </w:r>
      <w:r>
        <w:t xml:space="preserve"> </w:t>
      </w:r>
      <w:r>
        <w:t xml:space="preserve">interpretation of the CEC2020 results in the text. These</w:t>
      </w:r>
      <w:r>
        <w:t xml:space="preserve"> </w:t>
      </w:r>
      <w:r>
        <w:t xml:space="preserve">relationships are disclosed here and are also evident from the</w:t>
      </w:r>
      <w:r>
        <w:t xml:space="preserve"> </w:t>
      </w:r>
      <w:r>
        <w:t xml:space="preserve">authorship line and the related-work review. The comparator</w:t>
      </w:r>
      <w:r>
        <w:t xml:space="preserve"> </w:t>
      </w:r>
      <w:r>
        <w:t xml:space="preserve">results do not rest on the conflicted authors’ judgment: every</w:t>
      </w:r>
      <w:r>
        <w:t xml:space="preserve"> </w:t>
      </w:r>
      <w:r>
        <w:t xml:space="preserve">comparator was re-executed from its reference-implementation</w:t>
      </w:r>
      <w:r>
        <w:t xml:space="preserve"> </w:t>
      </w:r>
      <w:r>
        <w:t xml:space="preserve">configuration (Table </w:t>
      </w:r>
      <w:r>
        <w:fldChar w:fldCharType="begin"/>
      </w:r>
      <w:r>
        <w:instrText xml:space="preserve"> REF ref_tab_comparator_params_main \h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;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ref_sec_alg_overview \h </w:instrText>
      </w:r>
      <w:r>
        <w:fldChar w:fldCharType="separate"/>
      </w:r>
      <w:r>
        <w:t xml:space="preserve">3.2</w:t>
      </w:r>
      <w:r>
        <w:fldChar w:fldCharType="end"/>
      </w:r>
      <w:r>
        <w:t xml:space="preserve"> discloses where these differ from the</w:t>
      </w:r>
      <w:r>
        <w:t xml:space="preserve"> </w:t>
      </w:r>
      <w:r>
        <w:t xml:space="preserve">source papers) under the</w:t>
      </w:r>
      <w:r>
        <w:t xml:space="preserve"> </w:t>
      </w:r>
      <w:r>
        <w:t xml:space="preserve">optimizer-independent seed schedule, and the released evidence and</w:t>
      </w:r>
      <w:r>
        <w:t xml:space="preserve"> </w:t>
      </w:r>
      <w:r>
        <w:t xml:space="preserve">analysis pipeline permit any third party to re-derive every reported</w:t>
      </w:r>
      <w:r>
        <w:t xml:space="preserve"> </w:t>
      </w:r>
      <w:r>
        <w:t xml:space="preserve">number. No other conflicts of interest are</w:t>
      </w:r>
      <w:r>
        <w:t xml:space="preserve"> </w:t>
      </w:r>
      <w:r>
        <w:t xml:space="preserve">declared, and no funding body influenced the design, implementation,</w:t>
      </w:r>
      <w:r>
        <w:t xml:space="preserve"> </w:t>
      </w:r>
      <w:r>
        <w:t xml:space="preserve">statistical protocol, or interpretation of the reported experiments.</w:t>
      </w:r>
    </w:p>
    <w:bookmarkEnd w:id="107"/>
    <w:bookmarkStart w:id="108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The following abbreviations are used in this manuscript: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Gaining-Sharing Knowledge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Dimension-Tiered Gaining-Sharing Knowledge (this paper)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interaction-structure memory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Configuration Engine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Acceptance-Rate Gated Pruning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NLPSR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Population-Size Reduction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Budget-Safe Escape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Evolution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SQP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Quadratic Programming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SLSQP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Least-Squares Programming (SciPy routine)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Congress on Evolutionary Computation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Evaluations (MaxFES: maximum number of FES)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Moving Average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Exponentially Weighted Moving Average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Random-Number Generator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Difference (Nemenyi)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Bias-Corrected and accelerated (bootstrap)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</w:t>
            </w:r>
          </w:p>
        </w:tc>
      </w:tr>
    </w:tbl>
    <w:bookmarkEnd w:id="108"/>
    <w:bookmarkStart w:id="146" w:name="references"/>
    <w:p>
      <w:pPr>
        <w:pStyle w:val="Heading1"/>
      </w:pPr>
      <w:r>
        <w:t xml:space="preserve">References</w:t>
      </w:r>
    </w:p>
    <w:p>
      <w:pPr>
        <w:pStyle w:val="Bibliography"/>
      </w:pPr>
      <w:r>
        <w:t xml:space="preserve">1. </w:t>
      </w:r>
      <w:r>
        <w:t xml:space="preserve"> Awad, N.H.; Ali, M.Z.; Liang, J.J.; Qu, B.Y.; Suganthan, P.N.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2017 Special Session and Competition on Single Objective Real-Parameter Numerical Optimization. Technical report, Nanyang Technological University, Singapore, 2016.</w:t>
      </w:r>
    </w:p>
    <w:p>
      <w:pPr>
        <w:pStyle w:val="Bibliography"/>
      </w:pPr>
      <w:r>
        <w:t xml:space="preserve">2. </w:t>
      </w:r>
      <w:r>
        <w:t xml:space="preserve"> Das, S.; Suganthan, P.N.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2011 Competition on Testing Evolutionary Algorithms on Real World Optimization Problems. Technical report, Jadavpur University and Nanyang Technological University, 2011.</w:t>
      </w:r>
    </w:p>
    <w:p>
      <w:pPr>
        <w:pStyle w:val="Bibliography"/>
      </w:pPr>
      <w:r>
        <w:t xml:space="preserve">3. </w:t>
      </w:r>
      <w:r>
        <w:t xml:space="preserve"> Hussain, K.; Mohd Salleh, M.N.; Cheng, S.; Shi, Y. Metaheuristic Research: A Comprehensive Survey.</w:t>
      </w:r>
      <w:r>
        <w:t xml:space="preserve"> </w:t>
      </w:r>
      <w:r>
        <w:rPr>
          <w:i/>
          <w:iCs/>
        </w:rPr>
        <w:t xml:space="preserve">Artificial Intelligence Review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52</w:t>
      </w:r>
      <w:r>
        <w:t xml:space="preserve">, 2191–2233. doi:</w:t>
      </w:r>
      <w:hyperlink r:id="rId109">
        <w:r>
          <w:rPr>
            <w:rStyle w:val="Hyperlink"/>
          </w:rPr>
          <w:t xml:space="preserve">10.1007/s10462-017-9605-z</w:t>
        </w:r>
      </w:hyperlink>
      <w:r>
        <w:t xml:space="preserve">.</w:t>
      </w:r>
    </w:p>
    <w:p>
      <w:pPr>
        <w:pStyle w:val="Bibliography"/>
      </w:pPr>
      <w:r>
        <w:t xml:space="preserve">4. </w:t>
      </w:r>
      <w:r>
        <w:t xml:space="preserve"> Del Ser, J.; Osaba, E.; Molina, D.; Yang, X.S.; Salcedo-Sanz, S.; Camacho, D.; Das, S.; Suganthan, P.N.; Coello Coello, C.A.; Herrera, F. Bio-Inspired Computation: Where We Stand and What’s Next.</w:t>
      </w:r>
      <w:r>
        <w:t xml:space="preserve"> </w:t>
      </w:r>
      <w:r>
        <w:rPr>
          <w:i/>
          <w:iCs/>
        </w:rPr>
        <w:t xml:space="preserve">Swarm and Evolutionary Computation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48</w:t>
      </w:r>
      <w:r>
        <w:t xml:space="preserve">, 206–227. doi:</w:t>
      </w:r>
      <w:hyperlink r:id="rId110">
        <w:r>
          <w:rPr>
            <w:rStyle w:val="Hyperlink"/>
          </w:rPr>
          <w:t xml:space="preserve">10.1016/j.swevo.2019.04.008</w:t>
        </w:r>
      </w:hyperlink>
      <w:r>
        <w:t xml:space="preserve">.</w:t>
      </w:r>
    </w:p>
    <w:p>
      <w:pPr>
        <w:pStyle w:val="Bibliography"/>
      </w:pPr>
      <w:r>
        <w:t xml:space="preserve">5. </w:t>
      </w:r>
      <w:r>
        <w:t xml:space="preserve"> Mohamed, A.W.; Hadi, A.A.; Mohamed, A.K. Gaining-Sharing Knowledge Based Algorithm for Solving Optimization Problems: A Novel Nature-Inspired Algorithm.</w:t>
      </w:r>
      <w:r>
        <w:t xml:space="preserve"> </w:t>
      </w:r>
      <w:r>
        <w:rPr>
          <w:i/>
          <w:iCs/>
        </w:rPr>
        <w:t xml:space="preserve">International Journal of Machine Learning and Cybernetics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 1501–1529. doi:</w:t>
      </w:r>
      <w:hyperlink r:id="rId111">
        <w:r>
          <w:rPr>
            <w:rStyle w:val="Hyperlink"/>
          </w:rPr>
          <w:t xml:space="preserve">10.1007/s13042-019-01053-x</w:t>
        </w:r>
      </w:hyperlink>
      <w:r>
        <w:t xml:space="preserve">.</w:t>
      </w:r>
    </w:p>
    <w:p>
      <w:pPr>
        <w:pStyle w:val="Bibliography"/>
      </w:pPr>
      <w:r>
        <w:t xml:space="preserve">6. </w:t>
      </w:r>
      <w:r>
        <w:t xml:space="preserve"> Mohamed, A.W.; Hadi, A.A.; Mohamed, A.K.; Awad, N.H. Evaluating the Performance of Adaptive Gaining-Sharing Knowledge Based Algorithm on</w:t>
      </w:r>
      <w:r>
        <w:t xml:space="preserve"> </w:t>
      </w:r>
      <w:r>
        <w:t xml:space="preserve">CEC</w:t>
      </w:r>
      <w:r>
        <w:t xml:space="preserve"> </w:t>
      </w:r>
      <w:r>
        <w:t xml:space="preserve">2020 Benchmark Problems. Proceedings of the 2020 IEEE Congress on Evolutionary Computation (CEC). IEEE, 2020, pp. 1–8. doi:</w:t>
      </w:r>
      <w:hyperlink r:id="rId112">
        <w:r>
          <w:rPr>
            <w:rStyle w:val="Hyperlink"/>
          </w:rPr>
          <w:t xml:space="preserve">10.1109/CEC48606.2020.9185901</w:t>
        </w:r>
      </w:hyperlink>
      <w:r>
        <w:t xml:space="preserve">.</w:t>
      </w:r>
    </w:p>
    <w:p>
      <w:pPr>
        <w:pStyle w:val="Bibliography"/>
      </w:pPr>
      <w:r>
        <w:t xml:space="preserve">7. </w:t>
      </w:r>
      <w:r>
        <w:t xml:space="preserve"> Mohamed, A.W.; Abutarboush, H.F.; Hadi, A.A.; Mohamed, A.K. Gaining-Sharing Knowledge Based Algorithm With Adaptive Parameters for Engineering Optimization.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 65934–65946. doi:</w:t>
      </w:r>
      <w:hyperlink r:id="rId113">
        <w:r>
          <w:rPr>
            <w:rStyle w:val="Hyperlink"/>
          </w:rPr>
          <w:t xml:space="preserve">10.1109/ACCESS.2021.3076091</w:t>
        </w:r>
      </w:hyperlink>
      <w:r>
        <w:t xml:space="preserve">.</w:t>
      </w:r>
    </w:p>
    <w:p>
      <w:pPr>
        <w:pStyle w:val="Bibliography"/>
      </w:pPr>
      <w:r>
        <w:t xml:space="preserve">8. </w:t>
      </w:r>
      <w:r>
        <w:t xml:space="preserve"> Bak</w:t>
      </w:r>
      <w:r>
        <w:t xml:space="preserve">ı</w:t>
      </w:r>
      <w:r>
        <w:t xml:space="preserve">r, H.; Duman, S.; Guvenc, U.; Kahraman, H.T. Improved Adaptive Gaining-Sharing Knowledge Algorithm with</w:t>
      </w:r>
      <w:r>
        <w:t xml:space="preserve"> </w:t>
      </w:r>
      <w:r>
        <w:t xml:space="preserve">FDB</w:t>
      </w:r>
      <w:r>
        <w:t xml:space="preserve">-Based Guiding Mechanism for Optimization of Optimal Reactive Power Flow Problem.</w:t>
      </w:r>
      <w:r>
        <w:t xml:space="preserve"> </w:t>
      </w:r>
      <w:r>
        <w:rPr>
          <w:i/>
          <w:iCs/>
        </w:rPr>
        <w:t xml:space="preserve">Electrical Engineering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105</w:t>
      </w:r>
      <w:r>
        <w:t xml:space="preserve">, 3121–3160. doi:</w:t>
      </w:r>
      <w:hyperlink r:id="rId114">
        <w:r>
          <w:rPr>
            <w:rStyle w:val="Hyperlink"/>
          </w:rPr>
          <w:t xml:space="preserve">10.1007/s00202-023-01803-9</w:t>
        </w:r>
      </w:hyperlink>
      <w:r>
        <w:t xml:space="preserve">.</w:t>
      </w:r>
    </w:p>
    <w:p>
      <w:pPr>
        <w:pStyle w:val="Bibliography"/>
      </w:pPr>
      <w:r>
        <w:t xml:space="preserve">9. </w:t>
      </w:r>
      <w:r>
        <w:t xml:space="preserve"> Jawad, M.A.; Roshdy, H.S.M.; Mohamed, A.W. Enhanced Gaining-Sharing Knowledge-Based Algorithm.</w:t>
      </w:r>
      <w:r>
        <w:t xml:space="preserve"> </w:t>
      </w:r>
      <w:r>
        <w:rPr>
          <w:i/>
          <w:iCs/>
        </w:rPr>
        <w:t xml:space="preserve">Results in Control and Optimization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, 100542. doi:</w:t>
      </w:r>
      <w:hyperlink r:id="rId115">
        <w:r>
          <w:rPr>
            <w:rStyle w:val="Hyperlink"/>
          </w:rPr>
          <w:t xml:space="preserve">10.1016/j.rico.2025.100542</w:t>
        </w:r>
      </w:hyperlink>
      <w:r>
        <w:t xml:space="preserve">.</w:t>
      </w:r>
    </w:p>
    <w:p>
      <w:pPr>
        <w:pStyle w:val="Bibliography"/>
      </w:pPr>
      <w:r>
        <w:t xml:space="preserve">10. </w:t>
      </w:r>
      <w:r>
        <w:t xml:space="preserve"> Alfadli, N.M.; Oun, E.M.; Mohamed, A.W. Auto-Tuning Memory-Based Adaptive Local Search Gaining–Sharing Knowledge-Based Algorithm for Solving Optimization Problems.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 398. doi:</w:t>
      </w:r>
      <w:hyperlink r:id="rId116">
        <w:r>
          <w:rPr>
            <w:rStyle w:val="Hyperlink"/>
          </w:rPr>
          <w:t xml:space="preserve">10.3390/a18070398</w:t>
        </w:r>
      </w:hyperlink>
      <w:r>
        <w:t xml:space="preserve">.</w:t>
      </w:r>
    </w:p>
    <w:p>
      <w:pPr>
        <w:pStyle w:val="Bibliography"/>
      </w:pPr>
      <w:r>
        <w:t xml:space="preserve">11. </w:t>
      </w:r>
      <w:r>
        <w:t xml:space="preserve"> Tanabe, R.; Fukunaga, A.S. Improving the Search Performance of</w:t>
      </w:r>
      <w:r>
        <w:t xml:space="preserve"> </w:t>
      </w:r>
      <w:r>
        <w:t xml:space="preserve">SHADE</w:t>
      </w:r>
      <w:r>
        <w:t xml:space="preserve"> </w:t>
      </w:r>
      <w:r>
        <w:t xml:space="preserve">Using Linear Population Size Reduction. Proceedings of the 2014 IEEE Congress on Evolutionary Computation. IEEE, 2014, pp. 1658–1665. doi:</w:t>
      </w:r>
      <w:hyperlink r:id="rId117">
        <w:r>
          <w:rPr>
            <w:rStyle w:val="Hyperlink"/>
          </w:rPr>
          <w:t xml:space="preserve">10.1109/CEC.2014.6900380</w:t>
        </w:r>
      </w:hyperlink>
      <w:r>
        <w:t xml:space="preserve">.</w:t>
      </w:r>
    </w:p>
    <w:p>
      <w:pPr>
        <w:pStyle w:val="Bibliography"/>
      </w:pPr>
      <w:r>
        <w:t xml:space="preserve">12. </w:t>
      </w:r>
      <w:r>
        <w:t xml:space="preserve"> Xie, L.; Wang, Y.; Tang, S.; Li, Y.; Zhang, Z.; Huang, C. Adaptive Gaining-Sharing Knowledge-Based Variant Algorithm with Historical Probability Expansion and Its Application in Escape Maneuver Decision Making.</w:t>
      </w:r>
      <w:r>
        <w:t xml:space="preserve"> </w:t>
      </w:r>
      <w:r>
        <w:rPr>
          <w:i/>
          <w:iCs/>
        </w:rPr>
        <w:t xml:space="preserve">Artificial Intelligence Review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58</w:t>
      </w:r>
      <w:r>
        <w:t xml:space="preserve">, 161. doi:</w:t>
      </w:r>
      <w:hyperlink r:id="rId118">
        <w:r>
          <w:rPr>
            <w:rStyle w:val="Hyperlink"/>
          </w:rPr>
          <w:t xml:space="preserve">10.1007/s10462-024-11096-4</w:t>
        </w:r>
      </w:hyperlink>
      <w:r>
        <w:t xml:space="preserve">.</w:t>
      </w:r>
    </w:p>
    <w:p>
      <w:pPr>
        <w:pStyle w:val="Bibliography"/>
      </w:pPr>
      <w:r>
        <w:t xml:space="preserve">13. </w:t>
      </w:r>
      <w:r>
        <w:t xml:space="preserve"> Liang, Z.; Wang, Z. Enhancing Population Diversity Based Gaining-Sharing Knowledge Based Algorithm for Global Optimization and Engineering Design Problems.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252</w:t>
      </w:r>
      <w:r>
        <w:t xml:space="preserve">, 123958. doi:</w:t>
      </w:r>
      <w:hyperlink r:id="rId119">
        <w:r>
          <w:rPr>
            <w:rStyle w:val="Hyperlink"/>
          </w:rPr>
          <w:t xml:space="preserve">10.1016/j.eswa.2024.123958</w:t>
        </w:r>
      </w:hyperlink>
      <w:r>
        <w:t xml:space="preserve">.</w:t>
      </w:r>
    </w:p>
    <w:p>
      <w:pPr>
        <w:pStyle w:val="Bibliography"/>
      </w:pPr>
      <w:r>
        <w:t xml:space="preserve">14. </w:t>
      </w:r>
      <w:r>
        <w:t xml:space="preserve"> Jalali, S.M.J.; Ahmadian, M.; Ahmadian, S.; Khosravi, A.; Alazab, M.; Nahavandi, S. An Oppositional-</w:t>
      </w:r>
      <w:r>
        <w:t xml:space="preserve">C</w:t>
      </w:r>
      <w:r>
        <w:t xml:space="preserve">auchy Based</w:t>
      </w:r>
      <w:r>
        <w:t xml:space="preserve"> </w:t>
      </w:r>
      <w:r>
        <w:t xml:space="preserve">GSK</w:t>
      </w:r>
      <w:r>
        <w:t xml:space="preserve"> </w:t>
      </w:r>
      <w:r>
        <w:t xml:space="preserve">Evolutionary Algorithm with a Novel Deep Ensemble Reinforcement Learning Strategy for</w:t>
      </w:r>
      <w:r>
        <w:t xml:space="preserve"> </w:t>
      </w:r>
      <w:r>
        <w:t xml:space="preserve">COVID</w:t>
      </w:r>
      <w:r>
        <w:t xml:space="preserve">-19 Diagnosis.</w:t>
      </w:r>
      <w:r>
        <w:t xml:space="preserve"> </w:t>
      </w:r>
      <w:r>
        <w:rPr>
          <w:i/>
          <w:iCs/>
        </w:rPr>
        <w:t xml:space="preserve">Applied Soft Computing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111</w:t>
      </w:r>
      <w:r>
        <w:t xml:space="preserve">, 107675. doi:</w:t>
      </w:r>
      <w:hyperlink r:id="rId120">
        <w:r>
          <w:rPr>
            <w:rStyle w:val="Hyperlink"/>
          </w:rPr>
          <w:t xml:space="preserve">10.1016/j.asoc.2021.107675</w:t>
        </w:r>
      </w:hyperlink>
      <w:r>
        <w:t xml:space="preserve">.</w:t>
      </w:r>
    </w:p>
    <w:p>
      <w:pPr>
        <w:pStyle w:val="Bibliography"/>
      </w:pPr>
      <w:r>
        <w:t xml:space="preserve">15. </w:t>
      </w:r>
      <w:r>
        <w:t xml:space="preserve"> Pan, J.S.; Liu, L.F.; Chu, S.C.; Song, P.C.; Liu, G.G. A New Gaining-Sharing Knowledge Based Algorithm with Parallel Opposition-Based Learning for Internet of Vehicles.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 2953. doi:</w:t>
      </w:r>
      <w:hyperlink r:id="rId121">
        <w:r>
          <w:rPr>
            <w:rStyle w:val="Hyperlink"/>
          </w:rPr>
          <w:t xml:space="preserve">10.3390/math11132953</w:t>
        </w:r>
      </w:hyperlink>
      <w:r>
        <w:t xml:space="preserve">.</w:t>
      </w:r>
    </w:p>
    <w:p>
      <w:pPr>
        <w:pStyle w:val="Bibliography"/>
      </w:pPr>
      <w:r>
        <w:t xml:space="preserve">16. </w:t>
      </w:r>
      <w:r>
        <w:t xml:space="preserve"> Nomer, H.A.A.; Mohamed, A.W.; Yousef, A.H.</w:t>
      </w:r>
      <w:r>
        <w:t xml:space="preserve"> </w:t>
      </w:r>
      <w:r>
        <w:t xml:space="preserve">GSK-RL</w:t>
      </w:r>
      <w:r>
        <w:t xml:space="preserve">: Adaptive Gaining-Sharing Knowledge Algorithm Using Reinforcement Learning. Proceedings of the 2021 Novel Intelligent and Leading Emerging Sciences Conference (NILES). IEEE, 2021. doi:</w:t>
      </w:r>
      <w:hyperlink r:id="rId122">
        <w:r>
          <w:rPr>
            <w:rStyle w:val="Hyperlink"/>
          </w:rPr>
          <w:t xml:space="preserve">10.1109/NILES53778.2021.9600551</w:t>
        </w:r>
      </w:hyperlink>
      <w:r>
        <w:t xml:space="preserve">.</w:t>
      </w:r>
    </w:p>
    <w:p>
      <w:pPr>
        <w:pStyle w:val="Bibliography"/>
      </w:pPr>
      <w:r>
        <w:t xml:space="preserve">17. </w:t>
      </w:r>
      <w:r>
        <w:t xml:space="preserve"> Zhong, X.; Duan, M.; Zhang, X.; Cheng, P. A Hybrid Differential Evolution Based on Gaining-Sharing Knowledge Algorithm and Harris Hawks Optimization.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, e0250951. doi:</w:t>
      </w:r>
      <w:hyperlink r:id="rId123">
        <w:r>
          <w:rPr>
            <w:rStyle w:val="Hyperlink"/>
          </w:rPr>
          <w:t xml:space="preserve">10.1371/journal.pone.0250951</w:t>
        </w:r>
      </w:hyperlink>
      <w:r>
        <w:t xml:space="preserve">.</w:t>
      </w:r>
    </w:p>
    <w:p>
      <w:pPr>
        <w:pStyle w:val="Bibliography"/>
      </w:pPr>
      <w:r>
        <w:t xml:space="preserve">18. </w:t>
      </w:r>
      <w:r>
        <w:t xml:space="preserve"> Liang, Z.; Shu, T.; Ding, Z. A Novel Improved Whale Optimization Algorithm for Global Optimization and Engineering Applications.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 636. doi:</w:t>
      </w:r>
      <w:hyperlink r:id="rId124">
        <w:r>
          <w:rPr>
            <w:rStyle w:val="Hyperlink"/>
          </w:rPr>
          <w:t xml:space="preserve">10.3390/math12050636</w:t>
        </w:r>
      </w:hyperlink>
      <w:r>
        <w:t xml:space="preserve">.</w:t>
      </w:r>
    </w:p>
    <w:p>
      <w:pPr>
        <w:pStyle w:val="Bibliography"/>
      </w:pPr>
      <w:r>
        <w:t xml:space="preserve">19. </w:t>
      </w:r>
      <w:r>
        <w:t xml:space="preserve"> Chalabi, N.E.; Attia, A.; Alnowibet, K.A.; Zawbaa, H.M.; Masri, H.; Mohamed, A.W. A Multi-Objective Gaining-Sharing Knowledge-Based Optimization Algorithm for Solving Engineering Problems.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 3092. doi:</w:t>
      </w:r>
      <w:hyperlink r:id="rId125">
        <w:r>
          <w:rPr>
            <w:rStyle w:val="Hyperlink"/>
          </w:rPr>
          <w:t xml:space="preserve">10.3390/math11143092</w:t>
        </w:r>
      </w:hyperlink>
      <w:r>
        <w:t xml:space="preserve">.</w:t>
      </w:r>
    </w:p>
    <w:p>
      <w:pPr>
        <w:pStyle w:val="Bibliography"/>
      </w:pPr>
      <w:r>
        <w:t xml:space="preserve">20. </w:t>
      </w:r>
      <w:r>
        <w:t xml:space="preserve"> Ma, H.; Zhang, J.; Wei, W.; Cheng, W.; Liu, Q. A Modified Gaining-Sharing Knowledge Algorithm Based on Dual-Population and Multi-Operators for Unconstrained Optimization. Advances in Swarm Intelligence: Proceedings of the 14th International Conference, ICSI 2023; Springer Nature: Cham, Switzerland, 2023; Lecture Notes in Computer Science, pp. 309–319. doi:</w:t>
      </w:r>
      <w:hyperlink r:id="rId126">
        <w:r>
          <w:rPr>
            <w:rStyle w:val="Hyperlink"/>
          </w:rPr>
          <w:t xml:space="preserve">10.1007/978-3-031-36622-2_25</w:t>
        </w:r>
      </w:hyperlink>
      <w:r>
        <w:t xml:space="preserve">.</w:t>
      </w:r>
    </w:p>
    <w:p>
      <w:pPr>
        <w:pStyle w:val="Bibliography"/>
      </w:pPr>
      <w:r>
        <w:t xml:space="preserve">21. </w:t>
      </w:r>
      <w:r>
        <w:t xml:space="preserve"> Tanabe, R.; Fukunaga, A. Success-History Based Parameter Adaptation for Differential Evolution. Proceedings of the 2013 IEEE Congress on Evolutionary Computation. IEEE, 2013, pp. 71–78. doi:</w:t>
      </w:r>
      <w:hyperlink r:id="rId127">
        <w:r>
          <w:rPr>
            <w:rStyle w:val="Hyperlink"/>
          </w:rPr>
          <w:t xml:space="preserve">10.1109/CEC.2013.6557555</w:t>
        </w:r>
      </w:hyperlink>
      <w:r>
        <w:t xml:space="preserve">.</w:t>
      </w:r>
    </w:p>
    <w:p>
      <w:pPr>
        <w:pStyle w:val="Bibliography"/>
      </w:pPr>
      <w:r>
        <w:t xml:space="preserve">22. </w:t>
      </w:r>
      <w:r>
        <w:t xml:space="preserve"> Omidvar, M.N.; Li, X.; Mei, Y.; Yao, X. Cooperative Co-Evolution With Differential Grouping for Large Scale Optimization.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2014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 378–393. doi:</w:t>
      </w:r>
      <w:hyperlink r:id="rId128">
        <w:r>
          <w:rPr>
            <w:rStyle w:val="Hyperlink"/>
          </w:rPr>
          <w:t xml:space="preserve">10.1109/TEVC.2013.2281543</w:t>
        </w:r>
      </w:hyperlink>
      <w:r>
        <w:t xml:space="preserve">.</w:t>
      </w:r>
    </w:p>
    <w:p>
      <w:pPr>
        <w:pStyle w:val="Bibliography"/>
      </w:pPr>
      <w:r>
        <w:t xml:space="preserve">23. </w:t>
      </w:r>
      <w:r>
        <w:t xml:space="preserve"> Hansen, N.; Ostermeier, A. Completely Derandomized Self-Adaptation in Evolution Strategies.</w:t>
      </w:r>
      <w:r>
        <w:t xml:space="preserve"> </w:t>
      </w:r>
      <w:r>
        <w:rPr>
          <w:i/>
          <w:iCs/>
        </w:rPr>
        <w:t xml:space="preserve">Evolutionary Computation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 159–195. doi:</w:t>
      </w:r>
      <w:hyperlink r:id="rId129">
        <w:r>
          <w:rPr>
            <w:rStyle w:val="Hyperlink"/>
          </w:rPr>
          <w:t xml:space="preserve">10.1162/106365601750190398</w:t>
        </w:r>
      </w:hyperlink>
      <w:r>
        <w:t xml:space="preserve">.</w:t>
      </w:r>
    </w:p>
    <w:p>
      <w:pPr>
        <w:pStyle w:val="Bibliography"/>
      </w:pPr>
      <w:r>
        <w:t xml:space="preserve">24. </w:t>
      </w:r>
      <w:r>
        <w:t xml:space="preserve"> Guo, S.M.; Yang, C.C. Enhancing Differential Evolution Utilizing Eigenvector-Based Crossover Operator.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, 31–49. doi:</w:t>
      </w:r>
      <w:hyperlink r:id="rId130">
        <w:r>
          <w:rPr>
            <w:rStyle w:val="Hyperlink"/>
          </w:rPr>
          <w:t xml:space="preserve">10.1109/TEVC.2013.2297160</w:t>
        </w:r>
      </w:hyperlink>
      <w:r>
        <w:t xml:space="preserve">.</w:t>
      </w:r>
    </w:p>
    <w:p>
      <w:pPr>
        <w:pStyle w:val="Bibliography"/>
      </w:pPr>
      <w:r>
        <w:t xml:space="preserve">25. </w:t>
      </w:r>
      <w:r>
        <w:t xml:space="preserve"> Da Costa, L.; Fialho,</w:t>
      </w:r>
      <w:r>
        <w:t xml:space="preserve"> </w:t>
      </w:r>
      <w:r>
        <w:t xml:space="preserve">Á</w:t>
      </w:r>
      <w:r>
        <w:t xml:space="preserve">.; Schoenauer, M.; Sebag, M. Adaptive Operator Selection with Dynamic Multi-Armed Bandits. Proceedings of the 10th Annual Conference on Genetic and Evolutionary Computation, 2008, pp. 913–920. doi:</w:t>
      </w:r>
      <w:hyperlink r:id="rId131">
        <w:r>
          <w:rPr>
            <w:rStyle w:val="Hyperlink"/>
          </w:rPr>
          <w:t xml:space="preserve">10.1145/1389095.1389272</w:t>
        </w:r>
      </w:hyperlink>
      <w:r>
        <w:t xml:space="preserve">.</w:t>
      </w:r>
    </w:p>
    <w:p>
      <w:pPr>
        <w:pStyle w:val="Bibliography"/>
      </w:pPr>
      <w:r>
        <w:t xml:space="preserve">26. </w:t>
      </w:r>
      <w:r>
        <w:t xml:space="preserve"> Auer, P.; Cesa-Bianchi, N.; Fischer, P. Finite-Time Analysis of the Multiarmed Bandit Problem.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, 235–256. doi:</w:t>
      </w:r>
      <w:hyperlink r:id="rId132">
        <w:r>
          <w:rPr>
            <w:rStyle w:val="Hyperlink"/>
          </w:rPr>
          <w:t xml:space="preserve">10.1023/A:1013689704352</w:t>
        </w:r>
      </w:hyperlink>
      <w:r>
        <w:t xml:space="preserve">.</w:t>
      </w:r>
    </w:p>
    <w:p>
      <w:pPr>
        <w:pStyle w:val="Bibliography"/>
      </w:pPr>
      <w:r>
        <w:t xml:space="preserve">27. </w:t>
      </w:r>
      <w:r>
        <w:t xml:space="preserve"> Kolda, T.G.; Lewis, R.M.; Torczon, V. Optimization by Direct Search: New Perspectives on Some Classical and Modern Methods.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 </w:t>
      </w:r>
      <w:r>
        <w:rPr>
          <w:b/>
          <w:bCs/>
        </w:rPr>
        <w:t xml:space="preserve">2003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, 385–482. doi:</w:t>
      </w:r>
      <w:hyperlink r:id="rId133">
        <w:r>
          <w:rPr>
            <w:rStyle w:val="Hyperlink"/>
          </w:rPr>
          <w:t xml:space="preserve">10.1137/S0036144502428893</w:t>
        </w:r>
      </w:hyperlink>
      <w:r>
        <w:t xml:space="preserve">.</w:t>
      </w:r>
    </w:p>
    <w:p>
      <w:pPr>
        <w:pStyle w:val="Bibliography"/>
      </w:pPr>
      <w:r>
        <w:t xml:space="preserve">28. </w:t>
      </w:r>
      <w:r>
        <w:t xml:space="preserve"> Nelder, J.A.; Mead, R. A Simplex Method for Function Minimization.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 </w:t>
      </w:r>
      <w:r>
        <w:rPr>
          <w:b/>
          <w:bCs/>
        </w:rPr>
        <w:t xml:space="preserve">1965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 308–313. doi:</w:t>
      </w:r>
      <w:hyperlink r:id="rId134">
        <w:r>
          <w:rPr>
            <w:rStyle w:val="Hyperlink"/>
          </w:rPr>
          <w:t xml:space="preserve">10.1093/comjnl/7.4.308</w:t>
        </w:r>
      </w:hyperlink>
      <w:r>
        <w:t xml:space="preserve">.</w:t>
      </w:r>
    </w:p>
    <w:p>
      <w:pPr>
        <w:pStyle w:val="Bibliography"/>
      </w:pPr>
      <w:r>
        <w:t xml:space="preserve">29. </w:t>
      </w:r>
      <w:r>
        <w:t xml:space="preserve"> Zhang, J.; Sanderson, A.C.</w:t>
      </w:r>
      <w:r>
        <w:t xml:space="preserve"> </w:t>
      </w:r>
      <w:r>
        <w:t xml:space="preserve">JADE</w:t>
      </w:r>
      <w:r>
        <w:t xml:space="preserve">: Adaptive Differential Evolution with Optional External Archive.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, 945–958. doi:</w:t>
      </w:r>
      <w:hyperlink r:id="rId135">
        <w:r>
          <w:rPr>
            <w:rStyle w:val="Hyperlink"/>
          </w:rPr>
          <w:t xml:space="preserve">10.1109/TEVC.2009.2014613</w:t>
        </w:r>
      </w:hyperlink>
      <w:r>
        <w:t xml:space="preserve">.</w:t>
      </w:r>
    </w:p>
    <w:p>
      <w:pPr>
        <w:pStyle w:val="Bibliography"/>
      </w:pPr>
      <w:r>
        <w:t xml:space="preserve">30. </w:t>
      </w:r>
      <w:r>
        <w:t xml:space="preserve"> Storn, R.; Price, K. Differential Evolution – A Simple and Efficient Heuristic for Global Optimization over Continuous Spaces.</w:t>
      </w:r>
      <w:r>
        <w:t xml:space="preserve"> </w:t>
      </w:r>
      <w:r>
        <w:rPr>
          <w:i/>
          <w:iCs/>
        </w:rPr>
        <w:t xml:space="preserve">Journal of Global Optimization</w:t>
      </w:r>
      <w:r>
        <w:t xml:space="preserve"> </w:t>
      </w:r>
      <w:r>
        <w:rPr>
          <w:b/>
          <w:bCs/>
        </w:rPr>
        <w:t xml:space="preserve">1997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 341–359. doi:</w:t>
      </w:r>
      <w:hyperlink r:id="rId136">
        <w:r>
          <w:rPr>
            <w:rStyle w:val="Hyperlink"/>
          </w:rPr>
          <w:t xml:space="preserve">10.1023/A:1008202821328</w:t>
        </w:r>
      </w:hyperlink>
      <w:r>
        <w:t xml:space="preserve">.</w:t>
      </w:r>
    </w:p>
    <w:p>
      <w:pPr>
        <w:pStyle w:val="Bibliography"/>
      </w:pPr>
      <w:r>
        <w:t xml:space="preserve">31. </w:t>
      </w:r>
      <w:r>
        <w:t xml:space="preserve"> Gao, F.; Han, L. Implementing the</w:t>
      </w:r>
      <w:r>
        <w:t xml:space="preserve"> </w:t>
      </w:r>
      <w:r>
        <w:t xml:space="preserve">Nelder-Mead</w:t>
      </w:r>
      <w:r>
        <w:t xml:space="preserve"> </w:t>
      </w:r>
      <w:r>
        <w:t xml:space="preserve">Simplex Algorithm with Adaptive Parameters.</w:t>
      </w:r>
      <w:r>
        <w:t xml:space="preserve"> </w:t>
      </w:r>
      <w:r>
        <w:rPr>
          <w:i/>
          <w:iCs/>
        </w:rPr>
        <w:t xml:space="preserve">Computational Optimization and Applications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51</w:t>
      </w:r>
      <w:r>
        <w:t xml:space="preserve">, 259–277. doi:</w:t>
      </w:r>
      <w:hyperlink r:id="rId137">
        <w:r>
          <w:rPr>
            <w:rStyle w:val="Hyperlink"/>
          </w:rPr>
          <w:t xml:space="preserve">10.1007/s10589-010-9329-3</w:t>
        </w:r>
      </w:hyperlink>
      <w:r>
        <w:t xml:space="preserve">.</w:t>
      </w:r>
    </w:p>
    <w:p>
      <w:pPr>
        <w:pStyle w:val="Bibliography"/>
      </w:pPr>
      <w:r>
        <w:t xml:space="preserve">32. </w:t>
      </w:r>
      <w:r>
        <w:t xml:space="preserve"> Liang, J.J.; Qu, B.Y.; Suganthan, P.N.; Hern</w:t>
      </w:r>
      <w:r>
        <w:t xml:space="preserve">á</w:t>
      </w:r>
      <w:r>
        <w:t xml:space="preserve">ndez-D</w:t>
      </w:r>
      <w:r>
        <w:t xml:space="preserve">í</w:t>
      </w:r>
      <w:r>
        <w:t xml:space="preserve">az, A.G.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2013 Special Session on Real-Parameter Optimization. Technical report, Zhengzhou University and Nanyang Technological University, 2013.</w:t>
      </w:r>
    </w:p>
    <w:p>
      <w:pPr>
        <w:pStyle w:val="Bibliography"/>
      </w:pPr>
      <w:r>
        <w:t xml:space="preserve">33. </w:t>
      </w:r>
      <w:r>
        <w:t xml:space="preserve"> Yue, C.T.; Price, K.V.; Suganthan, P.N.; Liang, J.J.; Ali, M.Z.; Qu, B.Y.; Awad, N.H.; Biswas, P.P.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2020 Special Session and Competition on Single Objective Bound Constrained Numerical Optimization. Technical Report 201911, Computational Intelligence Laboratory, Zhengzhou University, Zhengzhou China and Nanyang Technological University, Singapore, 2019.</w:t>
      </w:r>
    </w:p>
    <w:p>
      <w:pPr>
        <w:pStyle w:val="Bibliography"/>
      </w:pPr>
      <w:r>
        <w:t xml:space="preserve">34. </w:t>
      </w:r>
      <w:r>
        <w:t xml:space="preserve"> Li, X.; Tang, K.; Omidvar, M.N.; Yang, Z.; Qin, K. Benchmark Functions for the</w:t>
      </w:r>
      <w:r>
        <w:t xml:space="preserve"> </w:t>
      </w:r>
      <w:r>
        <w:t xml:space="preserve">CEC</w:t>
      </w:r>
      <w:r>
        <w:t xml:space="preserve">’2013 Special Session and Competition on Large-Scale Global Optimization. Technical report, RMIT University, Melbourne, Australia, 2013.</w:t>
      </w:r>
    </w:p>
    <w:p>
      <w:pPr>
        <w:pStyle w:val="Bibliography"/>
      </w:pPr>
      <w:r>
        <w:t xml:space="preserve">35. </w:t>
      </w:r>
      <w:r>
        <w:t xml:space="preserve"> Wilcoxon, F. Individual Comparisons by Ranking Methods.</w:t>
      </w:r>
      <w:r>
        <w:t xml:space="preserve"> </w:t>
      </w:r>
      <w:r>
        <w:rPr>
          <w:i/>
          <w:iCs/>
        </w:rPr>
        <w:t xml:space="preserve">Biometrics Bulletin</w:t>
      </w:r>
      <w:r>
        <w:t xml:space="preserve"> </w:t>
      </w:r>
      <w:r>
        <w:rPr>
          <w:b/>
          <w:bCs/>
        </w:rPr>
        <w:t xml:space="preserve">1945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 80–83. doi:</w:t>
      </w:r>
      <w:hyperlink r:id="rId138">
        <w:r>
          <w:rPr>
            <w:rStyle w:val="Hyperlink"/>
          </w:rPr>
          <w:t xml:space="preserve">10.2307/3001968</w:t>
        </w:r>
      </w:hyperlink>
      <w:r>
        <w:t xml:space="preserve">.</w:t>
      </w:r>
    </w:p>
    <w:p>
      <w:pPr>
        <w:pStyle w:val="Bibliography"/>
      </w:pPr>
      <w:r>
        <w:t xml:space="preserve">36. </w:t>
      </w:r>
      <w:r>
        <w:t xml:space="preserve"> Holm, S. A Simple Sequentially Rejective Multiple Test Procedure.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rPr>
          <w:b/>
          <w:bCs/>
        </w:rPr>
        <w:t xml:space="preserve">1979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 65–70. The 1979 issue predates CrossRef DOI assignment for this journal; the canonical stable identifier is the JSTOR record at https://www.jstor.org/stable/4615733.</w:t>
      </w:r>
    </w:p>
    <w:p>
      <w:pPr>
        <w:pStyle w:val="Bibliography"/>
      </w:pPr>
      <w:r>
        <w:t xml:space="preserve">37. </w:t>
      </w:r>
      <w:r>
        <w:t xml:space="preserve"> Vargha, A.; Delaney, H.D. A Critique and Improvement of the</w:t>
      </w:r>
      <w:r>
        <w:t xml:space="preserve"> </w:t>
      </w:r>
      <w:r>
        <w:t xml:space="preserve">CL</w:t>
      </w:r>
      <w:r>
        <w:t xml:space="preserve"> </w:t>
      </w:r>
      <w:r>
        <w:t xml:space="preserve">Common Language Effect Size Statistics of</w:t>
      </w:r>
      <w:r>
        <w:t xml:space="preserve"> </w:t>
      </w:r>
      <w:r>
        <w:t xml:space="preserve">McGraw</w:t>
      </w:r>
      <w:r>
        <w:t xml:space="preserve"> </w:t>
      </w:r>
      <w:r>
        <w:t xml:space="preserve">and</w:t>
      </w:r>
      <w:r>
        <w:t xml:space="preserve"> </w:t>
      </w:r>
      <w:r>
        <w:t xml:space="preserve">Wong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Educational and Behavioral Statistics</w:t>
      </w:r>
      <w:r>
        <w:t xml:space="preserve"> </w:t>
      </w:r>
      <w:r>
        <w:rPr>
          <w:b/>
          <w:bCs/>
        </w:rPr>
        <w:t xml:space="preserve">2000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, 101–132. doi:</w:t>
      </w:r>
      <w:hyperlink r:id="rId139">
        <w:r>
          <w:rPr>
            <w:rStyle w:val="Hyperlink"/>
          </w:rPr>
          <w:t xml:space="preserve">10.3102/10769986025002101</w:t>
        </w:r>
      </w:hyperlink>
      <w:r>
        <w:t xml:space="preserve">.</w:t>
      </w:r>
    </w:p>
    <w:p>
      <w:pPr>
        <w:pStyle w:val="Bibliography"/>
      </w:pPr>
      <w:r>
        <w:t xml:space="preserve">38. </w:t>
      </w:r>
      <w:r>
        <w:t xml:space="preserve"> Friedman, M. The Use of Ranks to Avoid the Assumption of Normality Implicit in the Analysis of Variance.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rPr>
          <w:b/>
          <w:bCs/>
        </w:rPr>
        <w:t xml:space="preserve">1937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, 675–701. doi:</w:t>
      </w:r>
      <w:hyperlink r:id="rId140">
        <w:r>
          <w:rPr>
            <w:rStyle w:val="Hyperlink"/>
          </w:rPr>
          <w:t xml:space="preserve">10.1080/01621459.1937.10503522</w:t>
        </w:r>
      </w:hyperlink>
      <w:r>
        <w:t xml:space="preserve">.</w:t>
      </w:r>
    </w:p>
    <w:p>
      <w:pPr>
        <w:pStyle w:val="Bibliography"/>
      </w:pPr>
      <w:r>
        <w:t xml:space="preserve">39. </w:t>
      </w:r>
      <w:r>
        <w:t xml:space="preserve"> Demšar, J. Statistical Comparisons of Classifiers over Multiple Data Sets.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 1–30. JMLR volumes from 2006 predate formal DOI assignment; the canonical publisher-hosted record is at https://www.jmlr.org/papers/v7/demsar06a.html.</w:t>
      </w:r>
    </w:p>
    <w:p>
      <w:pPr>
        <w:pStyle w:val="Bibliography"/>
      </w:pPr>
      <w:r>
        <w:t xml:space="preserve">40. </w:t>
      </w:r>
      <w:r>
        <w:t xml:space="preserve"> Efron, B.; Tibshirani, R.J.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; Chapman &amp; Hall: New York, 1993. doi:</w:t>
      </w:r>
      <w:hyperlink r:id="rId141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p>
      <w:pPr>
        <w:pStyle w:val="Bibliography"/>
      </w:pPr>
      <w:r>
        <w:t xml:space="preserve">41. </w:t>
      </w:r>
      <w:r>
        <w:t xml:space="preserve"> Benjamini, Y.; Hochberg, Y.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rPr>
          <w:b/>
          <w:bCs/>
        </w:rPr>
        <w:t xml:space="preserve">1995</w:t>
      </w:r>
      <w:r>
        <w:t xml:space="preserve">,</w:t>
      </w:r>
      <w:r>
        <w:t xml:space="preserve"> </w:t>
      </w:r>
      <w:r>
        <w:rPr>
          <w:i/>
          <w:iCs/>
        </w:rPr>
        <w:t xml:space="preserve">57</w:t>
      </w:r>
      <w:r>
        <w:t xml:space="preserve">, 289–300. doi:</w:t>
      </w:r>
      <w:hyperlink r:id="rId142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p>
      <w:pPr>
        <w:pStyle w:val="Bibliography"/>
      </w:pPr>
      <w:r>
        <w:t xml:space="preserve">42. </w:t>
      </w:r>
      <w:r>
        <w:t xml:space="preserve"> Molina, D.; LaTorre, A.; Herrera, F.</w:t>
      </w:r>
      <w:r>
        <w:t xml:space="preserve"> </w:t>
      </w:r>
      <w:r>
        <w:t xml:space="preserve">SHADE</w:t>
      </w:r>
      <w:r>
        <w:t xml:space="preserve"> </w:t>
      </w:r>
      <w:r>
        <w:t xml:space="preserve">with Iterative Local Search for Large-Scale Global Optimization. 2018 IEEE Congress on Evolutionary Computation (CEC). IEEE, 2018, pp. 1–8. doi:</w:t>
      </w:r>
      <w:hyperlink r:id="rId143">
        <w:r>
          <w:rPr>
            <w:rStyle w:val="Hyperlink"/>
          </w:rPr>
          <w:t xml:space="preserve">10.1109/CEC.2018.8477755</w:t>
        </w:r>
      </w:hyperlink>
      <w:r>
        <w:t xml:space="preserve">.</w:t>
      </w:r>
    </w:p>
    <w:p>
      <w:pPr>
        <w:pStyle w:val="Bibliography"/>
      </w:pPr>
      <w:r>
        <w:t xml:space="preserve">43. </w:t>
      </w:r>
      <w:r>
        <w:t xml:space="preserve"> LaTorre, A.; Muelas, S.; Pe</w:t>
      </w:r>
      <w:r>
        <w:t xml:space="preserve">ñ</w:t>
      </w:r>
      <w:r>
        <w:t xml:space="preserve">a, J.M. Large Scale Global Optimization: Experimental Results with</w:t>
      </w:r>
      <w:r>
        <w:t xml:space="preserve"> </w:t>
      </w:r>
      <w:r>
        <w:t xml:space="preserve">MOS</w:t>
      </w:r>
      <w:r>
        <w:t xml:space="preserve">-based Hybrid Algorithms. Proceedings of the 2013 IEEE Congress on Evolutionary Computation. IEEE, 2013, pp. 2742–2749. doi:</w:t>
      </w:r>
      <w:hyperlink r:id="rId144">
        <w:r>
          <w:rPr>
            <w:rStyle w:val="Hyperlink"/>
          </w:rPr>
          <w:t xml:space="preserve">10.1109/CEC.2013.6557901</w:t>
        </w:r>
      </w:hyperlink>
      <w:r>
        <w:t xml:space="preserve">.</w:t>
      </w:r>
    </w:p>
    <w:p>
      <w:pPr>
        <w:pStyle w:val="Bibliography"/>
      </w:pPr>
      <w:r>
        <w:t xml:space="preserve">44. </w:t>
      </w:r>
      <w:r>
        <w:t xml:space="preserve"> Wolpert, D.H.; Macready, W.G. No Free Lunch Theorems for Optimization.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1997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 67–82. doi:</w:t>
      </w:r>
      <w:hyperlink r:id="rId145">
        <w:r>
          <w:rPr>
            <w:rStyle w:val="Hyperlink"/>
          </w:rPr>
          <w:t xml:space="preserve">10.1109/4235.585893</w:t>
        </w:r>
      </w:hyperlink>
      <w:r>
        <w:t xml:space="preserve">.</w:t>
      </w:r>
    </w:p>
    <w:bookmarkEnd w:id="146"/>
    <w:sectPr>
      <w:footerReference w:type="default" r:id="rId8001"/>
      <w:footnotePr>
        <w:numRestart w:val="eachSect"/>
      </w:footnotePr>
      <w:pgSz w:h="16838" w:w="11906"/>
      <w:pgMar w:bottom="1417" w:footer="709" w:header="709" w:left="1134" w:right="1134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76" w:lineRule="auto"/>
      <w:jc w:val="both"/>
    </w:pPr>
    <w:rPr>
      <w:rFonts w:ascii="Palatino Linotype" w:cs="Palatino Linotype" w:hAnsi="Palatino Linotype"/>
      <w:sz w:val="20"/>
    </w:rPr>
  </w:style>
  <w:style w:styleId="BodyText" w:type="paragraph">
    <w:name w:val="Body Text"/>
    <w:basedOn w:val="Normal"/>
    <w:link w:val="BodyTextChar"/>
    <w:qFormat/>
    <w:pPr>
      <w:spacing w:after="80" w:before="0" w:line="276" w:lineRule="auto"/>
      <w:jc w:val="both"/>
    </w:pPr>
    <w:rPr>
      <w:rFonts w:ascii="Palatino Linotype" w:cs="Palatino Linotype" w:hAnsi="Palatino Linotype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76" w:lineRule="auto"/>
      <w:jc w:val="both"/>
    </w:pPr>
    <w:rPr>
      <w:rFonts w:ascii="Palatino Linotype" w:cs="Palatino Linotype" w:hAnsi="Palatino Linotype"/>
      <w:sz w:val="20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Palatino Linotype" w:cs="Palatino Linotype" w:hAnsi="Palatino Linotype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Palatino Linotype" w:asciiTheme="majorHAnsi" w:cs="Palatino Linotype" w:cstheme="majorBidi" w:eastAsiaTheme="majorEastAsia" w:hAnsi="Palatino Linotype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left"/>
    </w:pPr>
    <w:rPr>
      <w:rFonts w:ascii="Palatino Linotype" w:cs="Palatino Linotype" w:hAnsi="Palatino Linotype"/>
      <w:b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left"/>
    </w:pPr>
    <w:rPr>
      <w:rFonts w:ascii="Palatino Linotype" w:cs="Palatino Linotype" w:hAnsi="Palatino Linotype"/>
      <w:b w:val="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rFonts w:ascii="Palatino Linotype" w:cs="Palatino Linotype" w:hAnsi="Palatino Linotype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rFonts w:ascii="Palatino Linotype" w:cs="Palatino Linotype" w:hAnsi="Palatino Linotype"/>
      <w:b w:val="0"/>
      <w:sz w:val="19"/>
      <w:szCs w:val="20"/>
    </w:rPr>
  </w:style>
  <w:style w:styleId="Bibliography" w:type="paragraph">
    <w:name w:val="Bibliography"/>
    <w:basedOn w:val="Normal"/>
    <w:next w:val="Bibliography"/>
    <w:qFormat/>
    <w:pPr>
      <w:spacing w:after="60" w:before="0"/>
      <w:ind w:hanging="425" w:left="425"/>
      <w:jc w:val="both"/>
    </w:pPr>
    <w:rPr>
      <w:rFonts w:ascii="Palatino Linotype" w:cs="Palatino Linotype" w:hAnsi="Palatino Linotype"/>
      <w:sz w:val="1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Palatino Linotype" w:asciiTheme="majorHAnsi" w:cs="Palatino Linotype" w:cstheme="majorBidi" w:eastAsiaTheme="majorEastAsia" w:hAnsi="Palatino Linotype" w:hAnsiTheme="majorHAnsi"/>
      <w:b/>
      <w:i w:val="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Palatino Linotype" w:asciiTheme="majorHAnsi" w:cs="Palatino Linotype" w:cstheme="majorBidi" w:eastAsiaTheme="majorEastAsia" w:hAnsi="Palatino Linotype" w:hAnsiTheme="majorHAnsi"/>
      <w:b w:val="0"/>
      <w:i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alatino Linotype" w:cs="Palatino Linotype" w:cstheme="majorBidi" w:eastAsiaTheme="majorEastAsia" w:hAnsi="Palatino Linotype"/>
      <w:b w:val="0"/>
      <w:i w:val="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Palatino Linotype" w:cs="Palatino Linotype" w:cstheme="majorBidi" w:eastAsiaTheme="majorEastAsia" w:hAnsi="Palatino Linotype"/>
      <w:b w:val="0"/>
      <w:i w:val="0"/>
      <w:iCs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keepNext/>
        <w:spacing w:after="20" w:before="20"/>
      </w:pPr>
      <w:rPr>
        <w:b/>
      </w:rPr>
      <w:tcPr>
        <w:shd w:color="auto" w:fill="E7E6E6" w:val="clear"/>
        <w:tcBorders>
          <w:top w:color="000000" w:space="0" w:sz="8" w:val="single"/>
          <w:bottom w:color="000000" w:space="0" w:sz="4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120" w:before="120"/>
      <w:jc w:val="both"/>
    </w:pPr>
    <w:rPr>
      <w:rFonts w:ascii="Palatino Linotype" w:cs="Palatino Linotype" w:hAnsi="Palatino Linotype"/>
      <w:b w:val="0"/>
      <w:i w:val="0"/>
      <w:sz w:val="18"/>
    </w:rPr>
  </w:style>
  <w:style w:customStyle="1" w:styleId="TableCaption" w:type="paragraph">
    <w:name w:val="Table Caption"/>
    <w:basedOn w:val="Caption"/>
    <w:pPr>
      <w:keepNext/>
      <w:spacing w:after="120" w:before="120"/>
      <w:jc w:val="both"/>
    </w:pPr>
    <w:rPr>
      <w:rFonts w:ascii="Palatino Linotype" w:cs="Palatino Linotype" w:hAnsi="Palatino Linotype"/>
      <w:b w:val="0"/>
      <w:i w:val="0"/>
      <w:sz w:val="18"/>
    </w:rPr>
  </w:style>
  <w:style w:customStyle="1" w:styleId="ImageCaption" w:type="paragraph">
    <w:name w:val="Image Caption"/>
    <w:basedOn w:val="Caption"/>
    <w:pPr>
      <w:keepNext w:val="0"/>
      <w:spacing w:after="120" w:before="120"/>
      <w:jc w:val="both"/>
    </w:pPr>
    <w:rPr>
      <w:rFonts w:ascii="Palatino Linotype" w:cs="Palatino Linotype" w:hAnsi="Palatino Linotype"/>
      <w:b w:val="0"/>
      <w:i w:val="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875B7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120" w:before="240" w:line="259" w:lineRule="auto"/>
      <w:outlineLvl w:val="9"/>
    </w:pPr>
    <w:rPr>
      <w:rFonts w:ascii="Palatino Linotype" w:asciiTheme="majorHAnsi" w:cs="Palatino Linotype" w:cstheme="majorBidi" w:eastAsiaTheme="majorEastAsia" w:hAnsi="Palatino Linotype" w:hAnsiTheme="majorHAnsi"/>
      <w:b/>
      <w:bCs w:val="0"/>
      <w:color w:themeColor="accent1" w:themeShade="BF" w:val="365F91"/>
      <w:sz w:val="24"/>
    </w:rPr>
  </w:style>
  <w:style w:customStyle="1" w:styleId="AlgorithmLine" w:type="paragraph">
    <w:name w:val="Algorithm Line"/>
    <w:pPr>
      <w:spacing w:after="0" w:before="0" w:line="240" w:lineRule="auto"/>
    </w:pPr>
    <w:rPr>
      <w:rFonts w:ascii="Consolas" w:cs="Consolas" w:hAnsi="Consolas"/>
      <w:sz w:val="18"/>
    </w:rPr>
  </w:style>
  <w:style w:customStyle="1" w:styleId="TOC1" w:type="paragraph">
    <w:name w:val="toc 1"/>
    <w:pPr>
      <w:spacing w:after="40" w:before="0"/>
      <w:ind w:left="0"/>
    </w:pPr>
    <w:rPr>
      <w:rFonts w:ascii="Palatino Linotype" w:cs="Palatino Linotype" w:hAnsi="Palatino Linotype"/>
      <w:sz w:val="20"/>
    </w:rPr>
  </w:style>
  <w:style w:customStyle="1" w:styleId="TOC2" w:type="paragraph">
    <w:name w:val="toc 2"/>
    <w:pPr>
      <w:spacing w:after="40" w:before="0"/>
      <w:ind w:left="283"/>
    </w:pPr>
    <w:rPr>
      <w:rFonts w:ascii="Palatino Linotype" w:cs="Palatino Linotype" w:hAnsi="Palatino Linotype"/>
      <w:sz w:val="19"/>
    </w:rPr>
  </w:style>
  <w:style w:customStyle="1" w:styleId="TOC3" w:type="paragraph">
    <w:name w:val="toc 3"/>
    <w:pPr>
      <w:spacing w:after="40" w:before="0"/>
      <w:ind w:left="567"/>
    </w:pPr>
    <w:rPr>
      <w:rFonts w:ascii="Palatino Linotype" w:cs="Palatino Linotype" w:hAnsi="Palatino Linotype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24" Target="media/rId24.png"/><Relationship Type="http://schemas.openxmlformats.org/officeDocument/2006/relationships/image" Id="rId20" Target="media/rId20.png"/><Relationship Type="http://schemas.openxmlformats.org/officeDocument/2006/relationships/image" Id="rId87" Target="media/rId87.png"/><Relationship Type="http://schemas.openxmlformats.org/officeDocument/2006/relationships/image" Id="rId83" Target="media/rId83.png"/><Relationship Type="http://schemas.openxmlformats.org/officeDocument/2006/relationships/image" Id="rId64" Target="media/rId64.png"/><Relationship Type="http://schemas.openxmlformats.org/officeDocument/2006/relationships/image" Id="rId72" Target="media/rId72.png"/><Relationship Type="http://schemas.openxmlformats.org/officeDocument/2006/relationships/image" Id="rId59" Target="media/rId59.png"/><Relationship Type="http://schemas.openxmlformats.org/officeDocument/2006/relationships/hyperlink" Id="rId126" Target="https://doi.org/10.1007/978-3-031-36622-2_25" TargetMode="External"/><Relationship Type="http://schemas.openxmlformats.org/officeDocument/2006/relationships/hyperlink" Id="rId114" Target="https://doi.org/10.1007/s00202-023-01803-9" TargetMode="External"/><Relationship Type="http://schemas.openxmlformats.org/officeDocument/2006/relationships/hyperlink" Id="rId109" Target="https://doi.org/10.1007/s10462-017-9605-z" TargetMode="External"/><Relationship Type="http://schemas.openxmlformats.org/officeDocument/2006/relationships/hyperlink" Id="rId118" Target="https://doi.org/10.1007/s10462-024-11096-4" TargetMode="External"/><Relationship Type="http://schemas.openxmlformats.org/officeDocument/2006/relationships/hyperlink" Id="rId137" Target="https://doi.org/10.1007/s10589-010-9329-3" TargetMode="External"/><Relationship Type="http://schemas.openxmlformats.org/officeDocument/2006/relationships/hyperlink" Id="rId111" Target="https://doi.org/10.1007/s13042-019-01053-x" TargetMode="External"/><Relationship Type="http://schemas.openxmlformats.org/officeDocument/2006/relationships/hyperlink" Id="rId120" Target="https://doi.org/10.1016/j.asoc.2021.107675" TargetMode="External"/><Relationship Type="http://schemas.openxmlformats.org/officeDocument/2006/relationships/hyperlink" Id="rId119" Target="https://doi.org/10.1016/j.eswa.2024.123958" TargetMode="External"/><Relationship Type="http://schemas.openxmlformats.org/officeDocument/2006/relationships/hyperlink" Id="rId115" Target="https://doi.org/10.1016/j.rico.2025.100542" TargetMode="External"/><Relationship Type="http://schemas.openxmlformats.org/officeDocument/2006/relationships/hyperlink" Id="rId110" Target="https://doi.org/10.1016/j.swevo.2019.04.008" TargetMode="External"/><Relationship Type="http://schemas.openxmlformats.org/officeDocument/2006/relationships/hyperlink" Id="rId136" Target="https://doi.org/10.1023/A:1008202821328" TargetMode="External"/><Relationship Type="http://schemas.openxmlformats.org/officeDocument/2006/relationships/hyperlink" Id="rId132" Target="https://doi.org/10.1023/A:1013689704352" TargetMode="External"/><Relationship Type="http://schemas.openxmlformats.org/officeDocument/2006/relationships/hyperlink" Id="rId140" Target="https://doi.org/10.1080/01621459.1937.10503522" TargetMode="External"/><Relationship Type="http://schemas.openxmlformats.org/officeDocument/2006/relationships/hyperlink" Id="rId134" Target="https://doi.org/10.1093/comjnl/7.4.308" TargetMode="External"/><Relationship Type="http://schemas.openxmlformats.org/officeDocument/2006/relationships/hyperlink" Id="rId145" Target="https://doi.org/10.1109/4235.585893" TargetMode="External"/><Relationship Type="http://schemas.openxmlformats.org/officeDocument/2006/relationships/hyperlink" Id="rId113" Target="https://doi.org/10.1109/ACCESS.2021.3076091" TargetMode="External"/><Relationship Type="http://schemas.openxmlformats.org/officeDocument/2006/relationships/hyperlink" Id="rId127" Target="https://doi.org/10.1109/CEC.2013.6557555" TargetMode="External"/><Relationship Type="http://schemas.openxmlformats.org/officeDocument/2006/relationships/hyperlink" Id="rId144" Target="https://doi.org/10.1109/CEC.2013.6557901" TargetMode="External"/><Relationship Type="http://schemas.openxmlformats.org/officeDocument/2006/relationships/hyperlink" Id="rId117" Target="https://doi.org/10.1109/CEC.2014.6900380" TargetMode="External"/><Relationship Type="http://schemas.openxmlformats.org/officeDocument/2006/relationships/hyperlink" Id="rId143" Target="https://doi.org/10.1109/CEC.2018.8477755" TargetMode="External"/><Relationship Type="http://schemas.openxmlformats.org/officeDocument/2006/relationships/hyperlink" Id="rId112" Target="https://doi.org/10.1109/CEC48606.2020.9185901" TargetMode="External"/><Relationship Type="http://schemas.openxmlformats.org/officeDocument/2006/relationships/hyperlink" Id="rId122" Target="https://doi.org/10.1109/NILES53778.2021.9600551" TargetMode="External"/><Relationship Type="http://schemas.openxmlformats.org/officeDocument/2006/relationships/hyperlink" Id="rId135" Target="https://doi.org/10.1109/TEVC.2009.2014613" TargetMode="External"/><Relationship Type="http://schemas.openxmlformats.org/officeDocument/2006/relationships/hyperlink" Id="rId128" Target="https://doi.org/10.1109/TEVC.2013.2281543" TargetMode="External"/><Relationship Type="http://schemas.openxmlformats.org/officeDocument/2006/relationships/hyperlink" Id="rId130" Target="https://doi.org/10.1109/TEVC.2013.2297160" TargetMode="External"/><Relationship Type="http://schemas.openxmlformats.org/officeDocument/2006/relationships/hyperlink" Id="rId142" Target="https://doi.org/10.1111/j.2517-6161.1995.tb02031.x" TargetMode="External"/><Relationship Type="http://schemas.openxmlformats.org/officeDocument/2006/relationships/hyperlink" Id="rId133" Target="https://doi.org/10.1137/S0036144502428893" TargetMode="External"/><Relationship Type="http://schemas.openxmlformats.org/officeDocument/2006/relationships/hyperlink" Id="rId131" Target="https://doi.org/10.1145/1389095.1389272" TargetMode="External"/><Relationship Type="http://schemas.openxmlformats.org/officeDocument/2006/relationships/hyperlink" Id="rId129" Target="https://doi.org/10.1162/106365601750190398" TargetMode="External"/><Relationship Type="http://schemas.openxmlformats.org/officeDocument/2006/relationships/hyperlink" Id="rId141" Target="https://doi.org/10.1201/9780429246593" TargetMode="External"/><Relationship Type="http://schemas.openxmlformats.org/officeDocument/2006/relationships/hyperlink" Id="rId123" Target="https://doi.org/10.1371/journal.pone.0250951" TargetMode="External"/><Relationship Type="http://schemas.openxmlformats.org/officeDocument/2006/relationships/hyperlink" Id="rId138" Target="https://doi.org/10.2307/3001968" TargetMode="External"/><Relationship Type="http://schemas.openxmlformats.org/officeDocument/2006/relationships/hyperlink" Id="rId139" Target="https://doi.org/10.3102/10769986025002101" TargetMode="External"/><Relationship Type="http://schemas.openxmlformats.org/officeDocument/2006/relationships/hyperlink" Id="rId116" Target="https://doi.org/10.3390/a18070398" TargetMode="External"/><Relationship Type="http://schemas.openxmlformats.org/officeDocument/2006/relationships/hyperlink" Id="rId121" Target="https://doi.org/10.3390/math11132953" TargetMode="External"/><Relationship Type="http://schemas.openxmlformats.org/officeDocument/2006/relationships/hyperlink" Id="rId125" Target="https://doi.org/10.3390/math11143092" TargetMode="External"/><Relationship Type="http://schemas.openxmlformats.org/officeDocument/2006/relationships/hyperlink" Id="rId124" Target="https://doi.org/10.3390/math12050636" TargetMode="External"/><Relationship Type="http://schemas.openxmlformats.org/officeDocument/2006/relationships/hyperlink" Id="rId104" Target="https://github.com/MostafaMassoud/DT-GSK" TargetMode="External"/><Relationship Id="rId8001" Type="http://schemas.openxmlformats.org/officeDocument/2006/relationships/footer" Target="footer1.xml"/><Relationship Id="rId9001" Type="http://schemas.openxmlformats.org/officeDocument/2006/relationships/customXml" Target="../customXml/item1.xml"/><Relationship Id="rId9002" Type="http://schemas.openxmlformats.org/officeDocument/2006/relationships/package" Target="embeddings/visio_gsk.vsdx"/><Relationship Id="rId9003" Type="http://schemas.openxmlformats.org/officeDocument/2006/relationships/package" Target="embeddings/visio_dtgsk.vsdx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doi.org/10.1007/978-3-031-36622-2_25" TargetMode="External" /><Relationship Type="http://schemas.openxmlformats.org/officeDocument/2006/relationships/hyperlink" Id="rId114" Target="https://doi.org/10.1007/s00202-023-01803-9" TargetMode="External" /><Relationship Type="http://schemas.openxmlformats.org/officeDocument/2006/relationships/hyperlink" Id="rId109" Target="https://doi.org/10.1007/s10462-017-9605-z" TargetMode="External" /><Relationship Type="http://schemas.openxmlformats.org/officeDocument/2006/relationships/hyperlink" Id="rId118" Target="https://doi.org/10.1007/s10462-024-11096-4" TargetMode="External" /><Relationship Type="http://schemas.openxmlformats.org/officeDocument/2006/relationships/hyperlink" Id="rId137" Target="https://doi.org/10.1007/s10589-010-9329-3" TargetMode="External" /><Relationship Type="http://schemas.openxmlformats.org/officeDocument/2006/relationships/hyperlink" Id="rId111" Target="https://doi.org/10.1007/s13042-019-01053-x" TargetMode="External" /><Relationship Type="http://schemas.openxmlformats.org/officeDocument/2006/relationships/hyperlink" Id="rId120" Target="https://doi.org/10.1016/j.asoc.2021.107675" TargetMode="External" /><Relationship Type="http://schemas.openxmlformats.org/officeDocument/2006/relationships/hyperlink" Id="rId119" Target="https://doi.org/10.1016/j.eswa.2024.123958" TargetMode="External" /><Relationship Type="http://schemas.openxmlformats.org/officeDocument/2006/relationships/hyperlink" Id="rId115" Target="https://doi.org/10.1016/j.rico.2025.100542" TargetMode="External" /><Relationship Type="http://schemas.openxmlformats.org/officeDocument/2006/relationships/hyperlink" Id="rId110" Target="https://doi.org/10.1016/j.swevo.2019.04.008" TargetMode="External" /><Relationship Type="http://schemas.openxmlformats.org/officeDocument/2006/relationships/hyperlink" Id="rId136" Target="https://doi.org/10.1023/A:1008202821328" TargetMode="External" /><Relationship Type="http://schemas.openxmlformats.org/officeDocument/2006/relationships/hyperlink" Id="rId132" Target="https://doi.org/10.1023/A:1013689704352" TargetMode="External" /><Relationship Type="http://schemas.openxmlformats.org/officeDocument/2006/relationships/hyperlink" Id="rId140" Target="https://doi.org/10.1080/01621459.1937.10503522" TargetMode="External" /><Relationship Type="http://schemas.openxmlformats.org/officeDocument/2006/relationships/hyperlink" Id="rId134" Target="https://doi.org/10.1093/comjnl/7.4.308" TargetMode="External" /><Relationship Type="http://schemas.openxmlformats.org/officeDocument/2006/relationships/hyperlink" Id="rId145" Target="https://doi.org/10.1109/4235.585893" TargetMode="External" /><Relationship Type="http://schemas.openxmlformats.org/officeDocument/2006/relationships/hyperlink" Id="rId113" Target="https://doi.org/10.1109/ACCESS.2021.3076091" TargetMode="External" /><Relationship Type="http://schemas.openxmlformats.org/officeDocument/2006/relationships/hyperlink" Id="rId127" Target="https://doi.org/10.1109/CEC.2013.6557555" TargetMode="External" /><Relationship Type="http://schemas.openxmlformats.org/officeDocument/2006/relationships/hyperlink" Id="rId144" Target="https://doi.org/10.1109/CEC.2013.6557901" TargetMode="External" /><Relationship Type="http://schemas.openxmlformats.org/officeDocument/2006/relationships/hyperlink" Id="rId117" Target="https://doi.org/10.1109/CEC.2014.6900380" TargetMode="External" /><Relationship Type="http://schemas.openxmlformats.org/officeDocument/2006/relationships/hyperlink" Id="rId143" Target="https://doi.org/10.1109/CEC.2018.8477755" TargetMode="External" /><Relationship Type="http://schemas.openxmlformats.org/officeDocument/2006/relationships/hyperlink" Id="rId112" Target="https://doi.org/10.1109/CEC48606.2020.9185901" TargetMode="External" /><Relationship Type="http://schemas.openxmlformats.org/officeDocument/2006/relationships/hyperlink" Id="rId122" Target="https://doi.org/10.1109/NILES53778.2021.9600551" TargetMode="External" /><Relationship Type="http://schemas.openxmlformats.org/officeDocument/2006/relationships/hyperlink" Id="rId135" Target="https://doi.org/10.1109/TEVC.2009.2014613" TargetMode="External" /><Relationship Type="http://schemas.openxmlformats.org/officeDocument/2006/relationships/hyperlink" Id="rId128" Target="https://doi.org/10.1109/TEVC.2013.2281543" TargetMode="External" /><Relationship Type="http://schemas.openxmlformats.org/officeDocument/2006/relationships/hyperlink" Id="rId130" Target="https://doi.org/10.1109/TEVC.2013.2297160" TargetMode="External" /><Relationship Type="http://schemas.openxmlformats.org/officeDocument/2006/relationships/hyperlink" Id="rId142" Target="https://doi.org/10.1111/j.2517-6161.1995.tb02031.x" TargetMode="External" /><Relationship Type="http://schemas.openxmlformats.org/officeDocument/2006/relationships/hyperlink" Id="rId133" Target="https://doi.org/10.1137/S0036144502428893" TargetMode="External" /><Relationship Type="http://schemas.openxmlformats.org/officeDocument/2006/relationships/hyperlink" Id="rId131" Target="https://doi.org/10.1145/1389095.1389272" TargetMode="External" /><Relationship Type="http://schemas.openxmlformats.org/officeDocument/2006/relationships/hyperlink" Id="rId129" Target="https://doi.org/10.1162/106365601750190398" TargetMode="External" /><Relationship Type="http://schemas.openxmlformats.org/officeDocument/2006/relationships/hyperlink" Id="rId141" Target="https://doi.org/10.1201/9780429246593" TargetMode="External" /><Relationship Type="http://schemas.openxmlformats.org/officeDocument/2006/relationships/hyperlink" Id="rId123" Target="https://doi.org/10.1371/journal.pone.0250951" TargetMode="External" /><Relationship Type="http://schemas.openxmlformats.org/officeDocument/2006/relationships/hyperlink" Id="rId138" Target="https://doi.org/10.2307/3001968" TargetMode="External" /><Relationship Type="http://schemas.openxmlformats.org/officeDocument/2006/relationships/hyperlink" Id="rId139" Target="https://doi.org/10.3102/10769986025002101" TargetMode="External" /><Relationship Type="http://schemas.openxmlformats.org/officeDocument/2006/relationships/hyperlink" Id="rId116" Target="https://doi.org/10.3390/a18070398" TargetMode="External" /><Relationship Type="http://schemas.openxmlformats.org/officeDocument/2006/relationships/hyperlink" Id="rId121" Target="https://doi.org/10.3390/math11132953" TargetMode="External" /><Relationship Type="http://schemas.openxmlformats.org/officeDocument/2006/relationships/hyperlink" Id="rId125" Target="https://doi.org/10.3390/math11143092" TargetMode="External" /><Relationship Type="http://schemas.openxmlformats.org/officeDocument/2006/relationships/hyperlink" Id="rId124" Target="https://doi.org/10.3390/math12050636" TargetMode="External" /><Relationship Type="http://schemas.openxmlformats.org/officeDocument/2006/relationships/hyperlink" Id="rId104" Target="https://github.com/MostafaMassoud/DT-GS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IEEE2006OfficeOnline.xsl" StyleName="IEEE">
  <b:Source>
    <b:Tag>awad2016problem</b:Tag>
    <b:SourceType>Report</b:SourceType>
    <b:Guid>{E42FB246-F828-5A73-A17E-056838A9E3AB}</b:Guid>
    <b:Author>
      <b:Author>
        <b:NameList>
          <b:Person>
            <b:Last>Awad</b:Last>
            <b:First>N. H.</b:First>
          </b:Person>
          <b:Person>
            <b:Last>Ali</b:Last>
            <b:First>M. Z.</b:First>
          </b:Person>
          <b:Person>
            <b:Last>Liang</b:Last>
            <b:First>J. J.</b:First>
          </b:Person>
          <b:Person>
            <b:Last>Qu</b:Last>
            <b:First>B. Y.</b:First>
          </b:Person>
          <b:Person>
            <b:Last>Suganthan</b:Last>
            <b:First>P. N.</b:First>
          </b:Person>
        </b:NameList>
      </b:Author>
    </b:Author>
    <b:Title>Problem Definitions and Evaluation Criteria for the CEC 2017 Special Session and Competition on Single Objective Real-Parameter Numerical Optimization</b:Title>
    <b:Year>2016</b:Year>
    <b:Publisher>Nanyang Technological University, Singapore</b:Publisher>
  </b:Source>
  <b:Source>
    <b:Tag>das2011cec2011</b:Tag>
    <b:SourceType>Report</b:SourceType>
    <b:Guid>{F6346F03-7D51-5A32-A759-269680115E0B}</b:Guid>
    <b:Author>
      <b:Author>
        <b:NameList>
          <b:Person>
            <b:Last>Das</b:Last>
            <b:First>Swagatam</b:First>
          </b:Person>
          <b:Person>
            <b:Last>Suganthan</b:Last>
            <b:First>Ponnuthurai Nagaratnam</b:First>
          </b:Person>
        </b:NameList>
      </b:Author>
    </b:Author>
    <b:Title>Problem Definitions and Evaluation Criteria for the CEC 2011 Competition on Testing Evolutionary Algorithms on Real World Optimization Problems</b:Title>
    <b:Year>2011</b:Year>
    <b:Publisher>Jadavpur University and Nanyang Technological University</b:Publisher>
  </b:Source>
  <b:Source>
    <b:Tag>hussain2019metaheuristic</b:Tag>
    <b:SourceType>JournalArticle</b:SourceType>
    <b:Guid>{C07AA8D5-8648-5984-BFBD-C79A06257130}</b:Guid>
    <b:Author>
      <b:Author>
        <b:NameList>
          <b:Person>
            <b:Last>Hussain</b:Last>
            <b:First>Kashif</b:First>
          </b:Person>
          <b:Person>
            <b:Last>Mohd Salleh</b:Last>
            <b:First>Mohd Najib</b:First>
          </b:Person>
          <b:Person>
            <b:Last>Cheng</b:Last>
            <b:First>Shi</b:First>
          </b:Person>
          <b:Person>
            <b:Last>Shi</b:Last>
            <b:First>Yuhui</b:First>
          </b:Person>
        </b:NameList>
      </b:Author>
    </b:Author>
    <b:Title>Metaheuristic Research: A Comprehensive Survey</b:Title>
    <b:Year>2019</b:Year>
    <b:JournalName>Artificial Intelligence Review</b:JournalName>
    <b:Publisher>Springer</b:Publisher>
    <b:Volume>52</b:Volume>
    <b:Issue>4</b:Issue>
    <b:Pages>2191-2233</b:Pages>
    <b:URL>https://doi.org/10.1007/s10462-017-9605-z</b:URL>
  </b:Source>
  <b:Source>
    <b:Tag>del2019bio</b:Tag>
    <b:SourceType>JournalArticle</b:SourceType>
    <b:Guid>{4F9FA876-87D7-554D-A9DE-AD2A5B5C9EAE}</b:Guid>
    <b:Author>
      <b:Author>
        <b:NameList>
          <b:Person>
            <b:Last>Del Ser</b:Last>
            <b:First>Javier</b:First>
          </b:Person>
          <b:Person>
            <b:Last>Osaba</b:Last>
            <b:First>Eneko</b:First>
          </b:Person>
          <b:Person>
            <b:Last>Molina</b:Last>
            <b:First>Daniel</b:First>
          </b:Person>
          <b:Person>
            <b:Last>Yang</b:Last>
            <b:First>Xin-She</b:First>
          </b:Person>
          <b:Person>
            <b:Last>Salcedo-Sanz</b:Last>
            <b:First>Sancho</b:First>
          </b:Person>
          <b:Person>
            <b:Last>Camacho</b:Last>
            <b:First>David</b:First>
          </b:Person>
          <b:Person>
            <b:Last>Das</b:Last>
            <b:First>Swagatam</b:First>
          </b:Person>
          <b:Person>
            <b:Last>Suganthan</b:Last>
            <b:First>Ponnuthurai Nagaratnam</b:First>
          </b:Person>
          <b:Person>
            <b:Last>Coello Coello</b:Last>
            <b:First>Carlos A.</b:First>
          </b:Person>
          <b:Person>
            <b:Last>Herrera</b:Last>
            <b:First>Francisco</b:First>
          </b:Person>
        </b:NameList>
      </b:Author>
    </b:Author>
    <b:Title>Bio-Inspired Computation: Where We Stand and What's Next</b:Title>
    <b:Year>2019</b:Year>
    <b:JournalName>Swarm and Evolutionary Computation</b:JournalName>
    <b:Publisher>Elsevier</b:Publisher>
    <b:Volume>48</b:Volume>
    <b:Pages>206-227</b:Pages>
    <b:URL>https://doi.org/10.1016/j.swevo.2019.04.008</b:URL>
  </b:Source>
  <b:Source>
    <b:Tag>mohamed2020gaining</b:Tag>
    <b:SourceType>JournalArticle</b:SourceType>
    <b:Guid>{42F0C8A4-6C15-53D2-BF02-97E103527D87}</b:Guid>
    <b:Author>
      <b:Author>
        <b:NameList>
          <b:Person>
            <b:Last>Mohamed</b:Last>
            <b:First>Ali Wagdy</b:First>
          </b:Person>
          <b:Person>
            <b:Last>Hadi</b:Last>
            <b:First>Anas A.</b:First>
          </b:Person>
          <b:Person>
            <b:Last>Mohamed</b:Last>
            <b:First>Ali K.</b:First>
          </b:Person>
        </b:NameList>
      </b:Author>
    </b:Author>
    <b:Title>Gaining-Sharing Knowledge Based Algorithm for Solving Optimization Problems: A Novel Nature-Inspired Algorithm</b:Title>
    <b:Year>2020</b:Year>
    <b:JournalName>International Journal of Machine Learning and Cybernetics</b:JournalName>
    <b:Publisher>Springer</b:Publisher>
    <b:Volume>11</b:Volume>
    <b:Issue>7</b:Issue>
    <b:Pages>1501-1529</b:Pages>
    <b:URL>https://doi.org/10.1007/s13042-019-01053-x</b:URL>
  </b:Source>
  <b:Source>
    <b:Tag>mohamed2020agsk</b:Tag>
    <b:SourceType>ConferenceProceedings</b:SourceType>
    <b:Guid>{5038999B-CFCF-569C-AD56-EF28372CC504}</b:Guid>
    <b:Author>
      <b:Author>
        <b:NameList>
          <b:Person>
            <b:Last>Mohamed</b:Last>
            <b:First>Ali Wagdy</b:First>
          </b:Person>
          <b:Person>
            <b:Last>Hadi</b:Last>
            <b:First>Anas A.</b:First>
          </b:Person>
          <b:Person>
            <b:Last>Mohamed</b:Last>
            <b:First>Ali Khater</b:First>
          </b:Person>
          <b:Person>
            <b:Last>Awad</b:Last>
            <b:First>Noor H.</b:First>
          </b:Person>
        </b:NameList>
      </b:Author>
    </b:Author>
    <b:Title>Evaluating the Performance of Adaptive Gaining-Sharing Knowledge Based Algorithm on CEC 2020 Benchmark Problems</b:Title>
    <b:Year>2020</b:Year>
    <b:ConferenceName>Proceedings of the 2020 IEEE Congress on Evolutionary Computation (CEC)</b:ConferenceName>
    <b:Publisher>IEEE</b:Publisher>
    <b:Pages>1-8</b:Pages>
    <b:URL>https://doi.org/10.1109/CEC48606.2020.9185901</b:URL>
  </b:Source>
  <b:Source>
    <b:Tag>apgsk2021</b:Tag>
    <b:SourceType>JournalArticle</b:SourceType>
    <b:Guid>{4E9C4844-9681-5244-80B1-92EB582AAECF}</b:Guid>
    <b:Author>
      <b:Author>
        <b:NameList>
          <b:Person>
            <b:Last>Mohamed</b:Last>
            <b:First>Ali Wagdy</b:First>
          </b:Person>
          <b:Person>
            <b:Last>Abutarboush</b:Last>
            <b:First>Hattan F.</b:First>
          </b:Person>
          <b:Person>
            <b:Last>Hadi</b:Last>
            <b:First>Anas A.</b:First>
          </b:Person>
          <b:Person>
            <b:Last>Mohamed</b:Last>
            <b:First>Ali Khater</b:First>
          </b:Person>
        </b:NameList>
      </b:Author>
    </b:Author>
    <b:Title>Gaining-Sharing Knowledge Based Algorithm With Adaptive Parameters for Engineering Optimization</b:Title>
    <b:Year>2021</b:Year>
    <b:JournalName>IEEE Access</b:JournalName>
    <b:Publisher>IEEE</b:Publisher>
    <b:Volume>9</b:Volume>
    <b:Pages>65934-65946</b:Pages>
    <b:URL>https://doi.org/10.1109/ACCESS.2021.3076091</b:URL>
  </b:Source>
  <b:Source>
    <b:Tag>fdbagsk2023</b:Tag>
    <b:SourceType>JournalArticle</b:SourceType>
    <b:Guid>{ADA97A04-55B1-57FB-8383-D2155BFC7B67}</b:Guid>
    <b:Author>
      <b:Author>
        <b:NameList>
          <b:Person>
            <b:Last>Bakir</b:Last>
            <b:First>Huseyin</b:First>
          </b:Person>
          <b:Person>
            <b:Last>Duman</b:Last>
            <b:First>Serhat</b:First>
          </b:Person>
          <b:Person>
            <b:Last>Guvenc</b:Last>
            <b:First>Ugur</b:First>
          </b:Person>
          <b:Person>
            <b:Last>Kahraman</b:Last>
            <b:First>Hamdi Tolga</b:First>
          </b:Person>
        </b:NameList>
      </b:Author>
    </b:Author>
    <b:Title>Improved Adaptive Gaining-Sharing Knowledge Algorithm with FDB-Based Guiding Mechanism for Optimization of Optimal Reactive Power Flow Problem</b:Title>
    <b:Year>2023</b:Year>
    <b:JournalName>Electrical Engineering</b:JournalName>
    <b:Publisher>Springer</b:Publisher>
    <b:Volume>105</b:Volume>
    <b:Issue>5</b:Issue>
    <b:Pages>3121-3160</b:Pages>
    <b:URL>https://doi.org/10.1007/s00202-023-01803-9</b:URL>
  </b:Source>
  <b:Source>
    <b:Tag>jawad2024egsk</b:Tag>
    <b:SourceType>Misc</b:SourceType>
    <b:Guid>{0446FDB4-0CA2-5E67-9629-C4E24CC81BCD}</b:Guid>
    <b:Author>
      <b:Author>
        <b:NameList>
          <b:Person>
            <b:Last>Jawad</b:Last>
            <b:First>Mohammed Adnan</b:First>
          </b:Person>
          <b:Person>
            <b:Last>Roshdy</b:Last>
            <b:First>Heba Sayed Mohamed</b:First>
          </b:Person>
          <b:Person>
            <b:Last>Mohamed</b:Last>
            <b:First>Ali Wagdy</b:First>
          </b:Person>
        </b:NameList>
      </b:Author>
    </b:Author>
    <b:Title>Enhanced Gaining-Sharing Knowledge-Based Algorithm</b:Title>
    <b:Year>2025</b:Year>
    <b:JournalName>Results in Control and Optimization</b:JournalName>
    <b:Publisher>Elsevier</b:Publisher>
    <b:Volume>19</b:Volume>
    <b:Pages>100542</b:Pages>
    <b:URL>https://doi.org/10.1016/j.rico.2025.100542</b:URL>
  </b:Source>
  <b:Source>
    <b:Tag>alfadli2025atmals</b:Tag>
    <b:SourceType>JournalArticle</b:SourceType>
    <b:Guid>{8D7C8C2E-1BC9-5CDB-A025-550D83F6438B}</b:Guid>
    <b:Author>
      <b:Author>
        <b:NameList>
          <b:Person>
            <b:Last>Alfadli</b:Last>
            <b:First>Nawaf Mijbel</b:First>
          </b:Person>
          <b:Person>
            <b:Last>Oun</b:Last>
            <b:First>Eman Mostafa</b:First>
          </b:Person>
          <b:Person>
            <b:Last>Mohamed</b:Last>
            <b:First>Ali Wagdy</b:First>
          </b:Person>
        </b:NameList>
      </b:Author>
    </b:Author>
    <b:Title>Auto-Tuning Memory-Based Adaptive Local Search Gaining-Sharing Knowledge-Based Algorithm for Solving Optimization Problems</b:Title>
    <b:Year>2025</b:Year>
    <b:JournalName>Algorithms</b:JournalName>
    <b:Publisher>MDPI</b:Publisher>
    <b:Volume>18</b:Volume>
    <b:Issue>7</b:Issue>
    <b:Pages>398</b:Pages>
    <b:URL>https://doi.org/10.3390/a18070398</b:URL>
  </b:Source>
  <b:Source>
    <b:Tag>tanabe2014improving</b:Tag>
    <b:SourceType>ConferenceProceedings</b:SourceType>
    <b:Guid>{278EC2E6-C0D6-5FFC-B4CB-C20C209CF383}</b:Guid>
    <b:Author>
      <b:Author>
        <b:NameList>
          <b:Person>
            <b:Last>Tanabe</b:Last>
            <b:First>Ryoji</b:First>
          </b:Person>
          <b:Person>
            <b:Last>Fukunaga</b:Last>
            <b:First>Alex S.</b:First>
          </b:Person>
        </b:NameList>
      </b:Author>
    </b:Author>
    <b:Title>Improving the Search Performance of SHADE Using Linear Population Size Reduction</b:Title>
    <b:Year>2014</b:Year>
    <b:ConferenceName>Proceedings of the 2014 IEEE Congress on Evolutionary Computation</b:ConferenceName>
    <b:Publisher>IEEE</b:Publisher>
    <b:Pages>1658-1665</b:Pages>
    <b:URL>https://doi.org/10.1109/CEC.2014.6900380</b:URL>
  </b:Source>
  <b:Source>
    <b:Tag>hpe_agsk2025</b:Tag>
    <b:SourceType>JournalArticle</b:SourceType>
    <b:Guid>{6A5F7E16-5A58-573B-B607-0BD37E1D8957}</b:Guid>
    <b:Author>
      <b:Author>
        <b:NameList>
          <b:Person>
            <b:Last>Xie</b:Last>
            <b:First>Lei</b:First>
          </b:Person>
          <b:Person>
            <b:Last>Wang</b:Last>
            <b:First>Yuan</b:First>
          </b:Person>
          <b:Person>
            <b:Last>Tang</b:Last>
            <b:First>Shangqin</b:First>
          </b:Person>
          <b:Person>
            <b:Last>Li</b:Last>
            <b:First>Yintong</b:First>
          </b:Person>
          <b:Person>
            <b:Last>Zhang</b:Last>
            <b:First>Zhuoran</b:First>
          </b:Person>
          <b:Person>
            <b:Last>Huang</b:Last>
            <b:First>Changqiang</b:First>
          </b:Person>
        </b:NameList>
      </b:Author>
    </b:Author>
    <b:Title>Adaptive Gaining-Sharing Knowledge-Based Variant Algorithm with Historical Probability Expansion and Its Application in Escape Maneuver Decision Making</b:Title>
    <b:Year>2025</b:Year>
    <b:JournalName>Artificial Intelligence Review</b:JournalName>
    <b:Publisher>Springer</b:Publisher>
    <b:Volume>58</b:Volume>
    <b:Issue>6</b:Issue>
    <b:Pages>161</b:Pages>
    <b:URL>https://doi.org/10.1007/s10462-024-11096-4</b:URL>
  </b:Source>
  <b:Source>
    <b:Tag>epd_gsk2024</b:Tag>
    <b:SourceType>JournalArticle</b:SourceType>
    <b:Guid>{6B0A1A7B-F239-5D82-90C3-BEE0627645E2}</b:Guid>
    <b:Author>
      <b:Author>
        <b:NameList>
          <b:Person>
            <b:Last>Liang</b:Last>
            <b:First>Ziyuan</b:First>
          </b:Person>
          <b:Person>
            <b:Last>Wang</b:Last>
            <b:First>Zhenlei</b:First>
          </b:Person>
        </b:NameList>
      </b:Author>
    </b:Author>
    <b:Title>Enhancing Population Diversity Based Gaining-Sharing Knowledge Based Algorithm for Global Optimization and Engineering Design Problems</b:Title>
    <b:Year>2024</b:Year>
    <b:JournalName>Expert Systems with Applications</b:JournalName>
    <b:Publisher>Elsevier</b:Publisher>
    <b:Volume>252</b:Volume>
    <b:Pages>123958</b:Pages>
    <b:URL>https://doi.org/10.1016/j.eswa.2024.123958</b:URL>
  </b:Source>
  <b:Source>
    <b:Tag>jalali2021opposition</b:Tag>
    <b:SourceType>JournalArticle</b:SourceType>
    <b:Guid>{85A2470B-C144-5E73-A53A-16B5C5BB2D52}</b:Guid>
    <b:Author>
      <b:Author>
        <b:NameList>
          <b:Person>
            <b:Last>Jalali</b:Last>
            <b:First>Seyed Mohammad Jafar</b:First>
          </b:Person>
          <b:Person>
            <b:Last>Ahmadian</b:Last>
            <b:First>Milad</b:First>
          </b:Person>
          <b:Person>
            <b:Last>Ahmadian</b:Last>
            <b:First>Sajad</b:First>
          </b:Person>
          <b:Person>
            <b:Last>Khosravi</b:Last>
            <b:First>Abbas</b:First>
          </b:Person>
          <b:Person>
            <b:Last>Alazab</b:Last>
            <b:First>Mamoun</b:First>
          </b:Person>
          <b:Person>
            <b:Last>Nahavandi</b:Last>
            <b:First>Saeid</b:First>
          </b:Person>
        </b:NameList>
      </b:Author>
    </b:Author>
    <b:Title>An Oppositional-Cauchy Based GSK Evolutionary Algorithm with a Novel Deep Ensemble Reinforcement Learning Strategy for COVID-19 Diagnosis</b:Title>
    <b:Year>2021</b:Year>
    <b:JournalName>Applied Soft Computing</b:JournalName>
    <b:Publisher>Elsevier</b:Publisher>
    <b:Volume>111</b:Volume>
    <b:Pages>107675</b:Pages>
    <b:URL>https://doi.org/10.1016/j.asoc.2021.107675</b:URL>
  </b:Source>
  <b:Source>
    <b:Tag>pogsk2023</b:Tag>
    <b:SourceType>JournalArticle</b:SourceType>
    <b:Guid>{08B54332-DFE8-5316-82AF-375BB28C969B}</b:Guid>
    <b:Author>
      <b:Author>
        <b:NameList>
          <b:Person>
            <b:Last>Pan</b:Last>
            <b:First>Jeng-Shyang</b:First>
          </b:Person>
          <b:Person>
            <b:Last>Liu</b:Last>
            <b:First>Li-Fa</b:First>
          </b:Person>
          <b:Person>
            <b:Last>Chu</b:Last>
            <b:First>Shu-Chuan</b:First>
          </b:Person>
          <b:Person>
            <b:Last>Song</b:Last>
            <b:First>Pei-Cheng</b:First>
          </b:Person>
          <b:Person>
            <b:Last>Liu</b:Last>
            <b:First>Geng-Geng</b:First>
          </b:Person>
        </b:NameList>
      </b:Author>
    </b:Author>
    <b:Title>A New Gaining-Sharing Knowledge Based Algorithm with Parallel Opposition-Based Learning for Internet of Vehicles</b:Title>
    <b:Year>2023</b:Year>
    <b:JournalName>Mathematics</b:JournalName>
    <b:Publisher>MDPI</b:Publisher>
    <b:Volume>11</b:Volume>
    <b:Issue>13</b:Issue>
    <b:Pages>2953</b:Pages>
    <b:URL>https://doi.org/10.3390/math11132953</b:URL>
  </b:Source>
  <b:Source>
    <b:Tag>nomer2021gskrl</b:Tag>
    <b:SourceType>ConferenceProceedings</b:SourceType>
    <b:Guid>{DB1706E7-98FC-5DFE-A90B-5BB0BC497FA7}</b:Guid>
    <b:Author>
      <b:Author>
        <b:NameList>
          <b:Person>
            <b:Last>Nomer</b:Last>
            <b:First>Hazem A. A.</b:First>
          </b:Person>
          <b:Person>
            <b:Last>Mohamed</b:Last>
            <b:First>Ali Wagdy</b:First>
          </b:Person>
          <b:Person>
            <b:Last>Yousef</b:Last>
            <b:First>Ahmed H.</b:First>
          </b:Person>
        </b:NameList>
      </b:Author>
    </b:Author>
    <b:Title>GSK-RL: Adaptive Gaining-Sharing Knowledge Algorithm Using Reinforcement Learning</b:Title>
    <b:Year>2021</b:Year>
    <b:ConferenceName>Proceedings of the 2021 Novel Intelligent and Leading Emerging Sciences Conference (NILES)</b:ConferenceName>
    <b:Publisher>IEEE</b:Publisher>
    <b:URL>https://doi.org/10.1109/NILES53778.2021.9600551</b:URL>
  </b:Source>
  <b:Source>
    <b:Tag>zhong2021gskhho</b:Tag>
    <b:SourceType>JournalArticle</b:SourceType>
    <b:Guid>{5B07B335-98D4-558A-B044-CF42FD1408BF}</b:Guid>
    <b:Author>
      <b:Author>
        <b:NameList>
          <b:Person>
            <b:Last>Zhong</b:Last>
            <b:First>Xuxu</b:First>
          </b:Person>
          <b:Person>
            <b:Last>Duan</b:Last>
            <b:First>Meijun</b:First>
          </b:Person>
          <b:Person>
            <b:Last>Zhang</b:Last>
            <b:First>Xiao</b:First>
          </b:Person>
          <b:Person>
            <b:Last>Cheng</b:Last>
            <b:First>Peng</b:First>
          </b:Person>
        </b:NameList>
      </b:Author>
    </b:Author>
    <b:Title>A Hybrid Differential Evolution Based on Gaining-Sharing Knowledge Algorithm and Harris Hawks Optimization</b:Title>
    <b:Year>2021</b:Year>
    <b:JournalName>PLoS ONE</b:JournalName>
    <b:Publisher>Public Library of Science</b:Publisher>
    <b:Volume>16</b:Volume>
    <b:Issue>e0250951</b:Issue>
    <b:Pages>e0250951</b:Pages>
    <b:URL>https://doi.org/10.1371/journal.pone.0250951</b:URL>
  </b:Source>
  <b:Source>
    <b:Tag>liang2024gskwoa</b:Tag>
    <b:SourceType>JournalArticle</b:SourceType>
    <b:Guid>{53B41C13-5659-5FFD-A1E5-6DC649FA205B}</b:Guid>
    <b:Author>
      <b:Author>
        <b:NameList>
          <b:Person>
            <b:Last>Liang</b:Last>
            <b:First>Ziying</b:First>
          </b:Person>
          <b:Person>
            <b:Last>Shu</b:Last>
            <b:First>Ting</b:First>
          </b:Person>
          <b:Person>
            <b:Last>Ding</b:Last>
            <b:First>Zuohua</b:First>
          </b:Person>
        </b:NameList>
      </b:Author>
    </b:Author>
    <b:Title>A Novel Improved Whale Optimization Algorithm for Global Optimization and Engineering Applications</b:Title>
    <b:Year>2024</b:Year>
    <b:JournalName>Mathematics</b:JournalName>
    <b:Publisher>MDPI</b:Publisher>
    <b:Volume>12</b:Volume>
    <b:Pages>636</b:Pages>
    <b:URL>https://doi.org/10.3390/math12050636</b:URL>
  </b:Source>
  <b:Source>
    <b:Tag>chalabi2023mogsk</b:Tag>
    <b:SourceType>JournalArticle</b:SourceType>
    <b:Guid>{2974B800-348C-55A7-8C48-84D6F942455B}</b:Guid>
    <b:Author>
      <b:Author>
        <b:NameList>
          <b:Person>
            <b:Last>Chalabi</b:Last>
            <b:First>Nour Elhouda</b:First>
          </b:Person>
          <b:Person>
            <b:Last>Attia</b:Last>
            <b:First>Abdelouahab</b:First>
          </b:Person>
          <b:Person>
            <b:Last>Alnowibet</b:Last>
            <b:First>Khalid Abdulaziz</b:First>
          </b:Person>
          <b:Person>
            <b:Last>Zawbaa</b:Last>
            <b:First>Hossam M.</b:First>
          </b:Person>
          <b:Person>
            <b:Last>Masri</b:Last>
            <b:First>Hatem</b:First>
          </b:Person>
          <b:Person>
            <b:Last>Mohamed</b:Last>
            <b:First>Ali Wagdy</b:First>
          </b:Person>
        </b:NameList>
      </b:Author>
    </b:Author>
    <b:Title>A Multi-Objective Gaining-Sharing Knowledge-Based Optimization Algorithm for Solving Engineering Problems</b:Title>
    <b:Year>2023</b:Year>
    <b:JournalName>Mathematics</b:JournalName>
    <b:Publisher>MDPI</b:Publisher>
    <b:Volume>11</b:Volume>
    <b:Issue>14</b:Issue>
    <b:Pages>3092</b:Pages>
    <b:URL>https://doi.org/10.3390/math11143092</b:URL>
  </b:Source>
  <b:Source>
    <b:Tag>ma2023mgskdpmo</b:Tag>
    <b:SourceType>ConferenceProceedings</b:SourceType>
    <b:Guid>{A869189D-F4E6-56E3-A7C0-B19491B50898}</b:Guid>
    <b:Author>
      <b:Author>
        <b:NameList>
          <b:Person>
            <b:Last>Ma</b:Last>
            <b:First>Haoran</b:First>
          </b:Person>
          <b:Person>
            <b:Last>Zhang</b:Last>
            <b:First>Jiahao</b:First>
          </b:Person>
          <b:Person>
            <b:Last>Wei</b:Last>
            <b:First>Wenhong</b:First>
          </b:Person>
          <b:Person>
            <b:Last>Cheng</b:Last>
            <b:First>Wanyou</b:First>
          </b:Person>
          <b:Person>
            <b:Last>Liu</b:Last>
            <b:First>Qunfeng</b:First>
          </b:Person>
        </b:NameList>
      </b:Author>
    </b:Author>
    <b:Title>A Modified Gaining-Sharing Knowledge Algorithm Based on Dual-Population and Multi-Operators for Unconstrained Optimization</b:Title>
    <b:Year>2023</b:Year>
    <b:ConferenceName>Advances in Swarm Intelligence: Proceedings of the 14th International Conference, ICSI 2023</b:ConferenceName>
    <b:Publisher>Springer Nature</b:Publisher>
    <b:City>Cham, Switzerland</b:City>
    <b:Pages>309-319</b:Pages>
    <b:URL>https://doi.org/10.1007/978-3-031-36622-2_25</b:URL>
  </b:Source>
  <b:Source>
    <b:Tag>tanabe2013shade</b:Tag>
    <b:SourceType>ConferenceProceedings</b:SourceType>
    <b:Guid>{4CDD8236-13A9-577A-9F56-D9A955D8FCFE}</b:Guid>
    <b:Author>
      <b:Author>
        <b:NameList>
          <b:Person>
            <b:Last>Tanabe</b:Last>
            <b:First>Ryoji</b:First>
          </b:Person>
          <b:Person>
            <b:Last>Fukunaga</b:Last>
            <b:First>Alex</b:First>
          </b:Person>
        </b:NameList>
      </b:Author>
    </b:Author>
    <b:Title>Success-History Based Parameter Adaptation for Differential Evolution</b:Title>
    <b:Year>2013</b:Year>
    <b:ConferenceName>Proceedings of the 2013 IEEE Congress on Evolutionary Computation</b:ConferenceName>
    <b:Publisher>IEEE</b:Publisher>
    <b:Pages>71-78</b:Pages>
    <b:URL>https://doi.org/10.1109/CEC.2013.6557555</b:URL>
  </b:Source>
  <b:Source>
    <b:Tag>omidvar2014dg</b:Tag>
    <b:SourceType>JournalArticle</b:SourceType>
    <b:Guid>{0F1C01F8-06D7-5409-B738-81110425B9C0}</b:Guid>
    <b:Author>
      <b:Author>
        <b:NameList>
          <b:Person>
            <b:Last>Omidvar</b:Last>
            <b:First>Mohammad Nabi</b:First>
          </b:Person>
          <b:Person>
            <b:Last>Li</b:Last>
            <b:First>Xiaodong</b:First>
          </b:Person>
          <b:Person>
            <b:Last>Mei</b:Last>
            <b:First>Yi</b:First>
          </b:Person>
          <b:Person>
            <b:Last>Yao</b:Last>
            <b:First>Xin</b:First>
          </b:Person>
        </b:NameList>
      </b:Author>
    </b:Author>
    <b:Title>Cooperative Co-Evolution With Differential Grouping for Large Scale Optimization</b:Title>
    <b:Year>2014</b:Year>
    <b:JournalName>IEEE Transactions on Evolutionary Computation</b:JournalName>
    <b:Publisher>IEEE</b:Publisher>
    <b:Volume>18</b:Volume>
    <b:Issue>3</b:Issue>
    <b:Pages>378-393</b:Pages>
    <b:URL>https://doi.org/10.1109/TEVC.2013.2281543</b:URL>
  </b:Source>
  <b:Source>
    <b:Tag>hansen2001cmaes</b:Tag>
    <b:SourceType>JournalArticle</b:SourceType>
    <b:Guid>{90D0BFA8-E4F9-5177-BF9A-91AE8711ED2A}</b:Guid>
    <b:Author>
      <b:Author>
        <b:NameList>
          <b:Person>
            <b:Last>Hansen</b:Last>
            <b:First>Nikolaus</b:First>
          </b:Person>
          <b:Person>
            <b:Last>Ostermeier</b:Last>
            <b:First>Andreas</b:First>
          </b:Person>
        </b:NameList>
      </b:Author>
    </b:Author>
    <b:Title>Completely Derandomized Self-Adaptation in Evolution Strategies</b:Title>
    <b:Year>2001</b:Year>
    <b:JournalName>Evolutionary Computation</b:JournalName>
    <b:Publisher>MIT Press</b:Publisher>
    <b:Volume>9</b:Volume>
    <b:Issue>2</b:Issue>
    <b:Pages>159-195</b:Pages>
    <b:URL>https://doi.org/10.1162/106365601750190398</b:URL>
  </b:Source>
  <b:Source>
    <b:Tag>guo2015eig</b:Tag>
    <b:SourceType>JournalArticle</b:SourceType>
    <b:Guid>{BAC0BBF1-4F1E-5EE8-BEE7-43E685E4C1FA}</b:Guid>
    <b:Author>
      <b:Author>
        <b:NameList>
          <b:Person>
            <b:Last>Guo</b:Last>
            <b:First>Shu-Mei</b:First>
          </b:Person>
          <b:Person>
            <b:Last>Yang</b:Last>
            <b:First>Chin-Chang</b:First>
          </b:Person>
        </b:NameList>
      </b:Author>
    </b:Author>
    <b:Title>Enhancing Differential Evolution Utilizing Eigenvector-Based Crossover Operator</b:Title>
    <b:Year>2015</b:Year>
    <b:JournalName>IEEE Transactions on Evolutionary Computation</b:JournalName>
    <b:Publisher>IEEE</b:Publisher>
    <b:Volume>19</b:Volume>
    <b:Issue>1</b:Issue>
    <b:Pages>31-49</b:Pages>
    <b:URL>https://doi.org/10.1109/TEVC.2013.2297160</b:URL>
  </b:Source>
  <b:Source>
    <b:Tag>fialho2010adaptive</b:Tag>
    <b:SourceType>JournalArticle</b:SourceType>
    <b:Guid>{35DE190A-F1E6-5482-AB4A-720F03618D17}</b:Guid>
    <b:Author>
      <b:Author>
        <b:NameList>
          <b:Person>
            <b:Last>Da Costa</b:Last>
            <b:First>Luis</b:First>
          </b:Person>
          <b:Person>
            <b:Last>Fialho</b:Last>
            <b:First>Alvaro</b:First>
          </b:Person>
          <b:Person>
            <b:Last>Schoenauer</b:Last>
            <b:First>Marc</b:First>
          </b:Person>
          <b:Person>
            <b:Last>Sebag</b:Last>
            <b:First>Mich`ele</b:First>
          </b:Person>
        </b:NameList>
      </b:Author>
    </b:Author>
    <b:Title>Adaptive Operator Selection with Dynamic Multi-Armed Bandits</b:Title>
    <b:Year>2008</b:Year>
    <b:ConferenceName>Proceedings of the 10th Annual Conference on Genetic and Evolutionary Computation</b:ConferenceName>
    <b:Pages>913-920</b:Pages>
    <b:URL>https://doi.org/10.1145/1389095.1389272</b:URL>
  </b:Source>
  <b:Source>
    <b:Tag>auer2002finite</b:Tag>
    <b:SourceType>JournalArticle</b:SourceType>
    <b:Guid>{BF4C09BE-EB96-537D-93F8-C494C93E54BD}</b:Guid>
    <b:Author>
      <b:Author>
        <b:NameList>
          <b:Person>
            <b:Last>Auer</b:Last>
            <b:First>Peter</b:First>
          </b:Person>
          <b:Person>
            <b:Last>Cesa-Bianchi</b:Last>
            <b:First>Nicol`o</b:First>
          </b:Person>
          <b:Person>
            <b:Last>Fischer</b:Last>
            <b:First>Paul</b:First>
          </b:Person>
        </b:NameList>
      </b:Author>
    </b:Author>
    <b:Title>Finite-Time Analysis of the Multiarmed Bandit Problem</b:Title>
    <b:Year>2002</b:Year>
    <b:JournalName>Machine Learning</b:JournalName>
    <b:Publisher>Springer</b:Publisher>
    <b:Volume>47</b:Volume>
    <b:Issue>2-3</b:Issue>
    <b:Pages>235-256</b:Pages>
    <b:URL>https://doi.org/10.1023/A:1013689704352</b:URL>
  </b:Source>
  <b:Source>
    <b:Tag>kolda2003directsearch</b:Tag>
    <b:SourceType>JournalArticle</b:SourceType>
    <b:Guid>{5072B10F-C69B-5A83-8378-E4BFEEC12445}</b:Guid>
    <b:Author>
      <b:Author>
        <b:NameList>
          <b:Person>
            <b:Last>Kolda</b:Last>
            <b:First>Tamara G.</b:First>
          </b:Person>
          <b:Person>
            <b:Last>Lewis</b:Last>
            <b:First>Robert Michael</b:First>
          </b:Person>
          <b:Person>
            <b:Last>Torczon</b:Last>
            <b:First>Virginia</b:First>
          </b:Person>
        </b:NameList>
      </b:Author>
    </b:Author>
    <b:Title>Optimization by Direct Search: New Perspectives on Some Classical and Modern Methods</b:Title>
    <b:Year>2003</b:Year>
    <b:JournalName>SIAM Review</b:JournalName>
    <b:Publisher>SIAM</b:Publisher>
    <b:Volume>45</b:Volume>
    <b:Issue>3</b:Issue>
    <b:Pages>385-482</b:Pages>
    <b:URL>https://doi.org/10.1137/S0036144502428893</b:URL>
  </b:Source>
  <b:Source>
    <b:Tag>nelder1965simplex</b:Tag>
    <b:SourceType>JournalArticle</b:SourceType>
    <b:Guid>{ABF695E7-1BC3-5084-A3D1-D1844866FF98}</b:Guid>
    <b:Author>
      <b:Author>
        <b:NameList>
          <b:Person>
            <b:Last>Nelder</b:Last>
            <b:First>John A.</b:First>
          </b:Person>
          <b:Person>
            <b:Last>Mead</b:Last>
            <b:First>Roger</b:First>
          </b:Person>
        </b:NameList>
      </b:Author>
    </b:Author>
    <b:Title>A Simplex Method for Function Minimization</b:Title>
    <b:Year>1965</b:Year>
    <b:JournalName>The Computer Journal</b:JournalName>
    <b:Volume>7</b:Volume>
    <b:Issue>4</b:Issue>
    <b:Pages>308-313</b:Pages>
    <b:URL>https://doi.org/10.1093/comjnl/7.4.308</b:URL>
  </b:Source>
  <b:Source>
    <b:Tag>zhang2009jade</b:Tag>
    <b:SourceType>JournalArticle</b:SourceType>
    <b:Guid>{8403D0CF-1339-5D2D-94B3-58F3BE78B361}</b:Guid>
    <b:Author>
      <b:Author>
        <b:NameList>
          <b:Person>
            <b:Last>Zhang</b:Last>
            <b:First>Jingqiao</b:First>
          </b:Person>
          <b:Person>
            <b:Last>Sanderson</b:Last>
            <b:First>Arthur C.</b:First>
          </b:Person>
        </b:NameList>
      </b:Author>
    </b:Author>
    <b:Title>JADE: Adaptive Differential Evolution with Optional External Archive</b:Title>
    <b:Year>2009</b:Year>
    <b:JournalName>IEEE Transactions on Evolutionary Computation</b:JournalName>
    <b:Publisher>IEEE</b:Publisher>
    <b:Volume>13</b:Volume>
    <b:Issue>5</b:Issue>
    <b:Pages>945-958</b:Pages>
    <b:URL>https://doi.org/10.1109/TEVC.2009.2014613</b:URL>
  </b:Source>
  <b:Source>
    <b:Tag>storn1997differential</b:Tag>
    <b:SourceType>JournalArticle</b:SourceType>
    <b:Guid>{E3FD385A-BBF0-5118-B87F-D17290866BF1}</b:Guid>
    <b:Author>
      <b:Author>
        <b:NameList>
          <b:Person>
            <b:Last>Storn</b:Last>
            <b:First>Rainer</b:First>
          </b:Person>
          <b:Person>
            <b:Last>Price</b:Last>
            <b:First>Kenneth</b:First>
          </b:Person>
        </b:NameList>
      </b:Author>
    </b:Author>
    <b:Title>Differential Evolution - A Simple and Efficient Heuristic for Global Optimization over Continuous Spaces</b:Title>
    <b:Year>1997</b:Year>
    <b:JournalName>Journal of Global Optimization</b:JournalName>
    <b:Publisher>Springer</b:Publisher>
    <b:Volume>11</b:Volume>
    <b:Issue>4</b:Issue>
    <b:Pages>341-359</b:Pages>
    <b:URL>https://doi.org/10.1023/A:1008202821328</b:URL>
  </b:Source>
  <b:Source>
    <b:Tag>gao2012implementing</b:Tag>
    <b:SourceType>JournalArticle</b:SourceType>
    <b:Guid>{FE0F5819-5D94-5DA7-B406-34B031C22767}</b:Guid>
    <b:Author>
      <b:Author>
        <b:NameList>
          <b:Person>
            <b:Last>Gao</b:Last>
            <b:First>Fuchang</b:First>
          </b:Person>
          <b:Person>
            <b:Last>Han</b:Last>
            <b:First>Lixing</b:First>
          </b:Person>
        </b:NameList>
      </b:Author>
    </b:Author>
    <b:Title>Implementing the Nelder-Mead Simplex Algorithm with Adaptive Parameters</b:Title>
    <b:Year>2012</b:Year>
    <b:JournalName>Computational Optimization and Applications</b:JournalName>
    <b:Publisher>Springer</b:Publisher>
    <b:Volume>51</b:Volume>
    <b:Issue>1</b:Issue>
    <b:Pages>259-277</b:Pages>
    <b:URL>https://doi.org/10.1007/s10589-010-9329-3</b:URL>
  </b:Source>
  <b:Source>
    <b:Tag>liang2013cec2013</b:Tag>
    <b:SourceType>Report</b:SourceType>
    <b:Guid>{C42B6CFC-B41D-5945-B4D7-97EFB6392870}</b:Guid>
    <b:Author>
      <b:Author>
        <b:NameList>
          <b:Person>
            <b:Last>Liang</b:Last>
            <b:First>J. J.</b:First>
          </b:Person>
          <b:Person>
            <b:Last>Qu</b:Last>
            <b:First>B. Y.</b:First>
          </b:Person>
          <b:Person>
            <b:Last>Suganthan</b:Last>
            <b:First>P. N.</b:First>
          </b:Person>
          <b:Person>
            <b:Last>Hernandez-Diaz</b:Last>
            <b:First>Alfredo G.</b:First>
          </b:Person>
        </b:NameList>
      </b:Author>
    </b:Author>
    <b:Title>Problem Definitions and Evaluation Criteria for the CEC 2013 Special Session on Real-Parameter Optimization</b:Title>
    <b:Year>2013</b:Year>
    <b:Publisher>Zhengzhou University and Nanyang Technological University</b:Publisher>
  </b:Source>
  <b:Source>
    <b:Tag>yue2020cec2020</b:Tag>
    <b:SourceType>Report</b:SourceType>
    <b:Guid>{69944197-AA94-5AC7-898F-DCF0A18D0713}</b:Guid>
    <b:Author>
      <b:Author>
        <b:NameList>
          <b:Person>
            <b:Last>Yue</b:Last>
            <b:First>C. T.</b:First>
          </b:Person>
          <b:Person>
            <b:Last>Price</b:Last>
            <b:First>K. V.</b:First>
          </b:Person>
          <b:Person>
            <b:Last>Suganthan</b:Last>
            <b:First>P. N.</b:First>
          </b:Person>
          <b:Person>
            <b:Last>Liang</b:Last>
            <b:First>J. J.</b:First>
          </b:Person>
          <b:Person>
            <b:Last>Ali</b:Last>
            <b:First>M. Z.</b:First>
          </b:Person>
          <b:Person>
            <b:Last>Qu</b:Last>
            <b:First>B. Y.</b:First>
          </b:Person>
          <b:Person>
            <b:Last>Awad</b:Last>
            <b:First>N. H.</b:First>
          </b:Person>
          <b:Person>
            <b:Last>Biswas</b:Last>
            <b:First>Partha P.</b:First>
          </b:Person>
        </b:NameList>
      </b:Author>
    </b:Author>
    <b:Title>Problem Definitions and Evaluation Criteria for the CEC 2020 Special Session and Competition on Single Objective Bound Constrained Numerical Optimization</b:Title>
    <b:Year>2019</b:Year>
    <b:Publisher>Computational Intelligence Laboratory, Zhengzhou University, Zhengzhou China and Nanyang Technological University, Singapore</b:Publisher>
    <b:Issue>201911</b:Issue>
  </b:Source>
  <b:Source>
    <b:Tag>li2013lsgo</b:Tag>
    <b:SourceType>Report</b:SourceType>
    <b:Guid>{B45197FF-6206-516D-9B88-607FFDDEAE92}</b:Guid>
    <b:Author>
      <b:Author>
        <b:NameList>
          <b:Person>
            <b:Last>Li</b:Last>
            <b:First>Xiaodong</b:First>
          </b:Person>
          <b:Person>
            <b:Last>Tang</b:Last>
            <b:First>Ke</b:First>
          </b:Person>
          <b:Person>
            <b:Last>Omidvar</b:Last>
            <b:First>Mohammad N.</b:First>
          </b:Person>
          <b:Person>
            <b:Last>Yang</b:Last>
            <b:First>Zhenyu</b:First>
          </b:Person>
          <b:Person>
            <b:Last>Qin</b:Last>
            <b:First>Kai</b:First>
          </b:Person>
        </b:NameList>
      </b:Author>
    </b:Author>
    <b:Title>Benchmark Functions for the CEC'2013 Special Session and Competition on Large-Scale Global Optimization</b:Title>
    <b:Year>2013</b:Year>
    <b:Publisher>RMIT University, Melbourne, Australia</b:Publisher>
  </b:Source>
  <b:Source>
    <b:Tag>wilcoxon1945individual</b:Tag>
    <b:SourceType>JournalArticle</b:SourceType>
    <b:Guid>{1FDB3719-9A73-5663-AD78-E51F992D1EFD}</b:Guid>
    <b:Author>
      <b:Author>
        <b:NameList>
          <b:Person>
            <b:Last>Wilcoxon</b:Last>
            <b:First>Frank</b:First>
          </b:Person>
        </b:NameList>
      </b:Author>
    </b:Author>
    <b:Title>Individual Comparisons by Ranking Methods</b:Title>
    <b:Year>1945</b:Year>
    <b:JournalName>Biometrics Bulletin</b:JournalName>
    <b:Volume>1</b:Volume>
    <b:Issue>6</b:Issue>
    <b:Pages>80-83</b:Pages>
    <b:URL>https://doi.org/10.2307/3001968</b:URL>
  </b:Source>
  <b:Source>
    <b:Tag>holm1979simple</b:Tag>
    <b:SourceType>JournalArticle</b:SourceType>
    <b:Guid>{7E7A881C-EBA2-514B-B0CF-1AD2618B73BB}</b:Guid>
    <b:Author>
      <b:Author>
        <b:NameList>
          <b:Person>
            <b:Last>Holm</b:Last>
            <b:First>Sture</b:First>
          </b:Person>
        </b:NameList>
      </b:Author>
    </b:Author>
    <b:Title>A Simple Sequentially Rejective Multiple Test Procedure</b:Title>
    <b:Year>1979</b:Year>
    <b:JournalName>Scandinavian Journal of Statistics</b:JournalName>
    <b:Volume>6</b:Volume>
    <b:Issue>2</b:Issue>
    <b:Pages>65-70</b:Pages>
    <b:URL>https://www.jstor.org/stable/4615733</b:URL>
  </b:Source>
  <b:Source>
    <b:Tag>vargha2000critique</b:Tag>
    <b:SourceType>JournalArticle</b:SourceType>
    <b:Guid>{961AEBA0-3603-55E4-8736-1BE0C5CA8C0C}</b:Guid>
    <b:Author>
      <b:Author>
        <b:NameList>
          <b:Person>
            <b:Last>Vargha</b:Last>
            <b:First>Andras</b:First>
          </b:Person>
          <b:Person>
            <b:Last>Delaney</b:Last>
            <b:First>Harold D.</b:First>
          </b:Person>
        </b:NameList>
      </b:Author>
    </b:Author>
    <b:Title>A Critique and Improvement of the CL Common Language Effect Size Statistics of McGraw and Wong</b:Title>
    <b:Year>2000</b:Year>
    <b:JournalName>Journal of Educational and Behavioral Statistics</b:JournalName>
    <b:Volume>25</b:Volume>
    <b:Issue>2</b:Issue>
    <b:Pages>101-132</b:Pages>
    <b:URL>https://doi.org/10.3102/10769986025002101</b:URL>
  </b:Source>
  <b:Source>
    <b:Tag>friedman1937use</b:Tag>
    <b:SourceType>JournalArticle</b:SourceType>
    <b:Guid>{16E9D374-64D8-5D37-A1FF-EB659DBD7952}</b:Guid>
    <b:Author>
      <b:Author>
        <b:NameList>
          <b:Person>
            <b:Last>Friedman</b:Last>
            <b:First>Milton</b:First>
          </b:Person>
        </b:NameList>
      </b:Author>
    </b:Author>
    <b:Title>The Use of Ranks to Avoid the Assumption of Normality Implicit in the Analysis of Variance</b:Title>
    <b:Year>1937</b:Year>
    <b:JournalName>Journal of the American Statistical Association</b:JournalName>
    <b:Volume>32</b:Volume>
    <b:Issue>200</b:Issue>
    <b:Pages>675-701</b:Pages>
    <b:URL>https://doi.org/10.1080/01621459.1937.10503522</b:URL>
  </b:Source>
  <b:Source>
    <b:Tag>demsar2006statistical</b:Tag>
    <b:SourceType>JournalArticle</b:SourceType>
    <b:Guid>{CE611308-B08D-5A48-B77E-E63358CE9093}</b:Guid>
    <b:Author>
      <b:Author>
        <b:NameList>
          <b:Person>
            <b:Last>Demsar</b:Last>
            <b:First>Janez</b:First>
          </b:Person>
        </b:NameList>
      </b:Author>
    </b:Author>
    <b:Title>Statistical Comparisons of Classifiers over Multiple Data Sets</b:Title>
    <b:Year>2006</b:Year>
    <b:JournalName>Journal of Machine Learning Research</b:JournalName>
    <b:Volume>7</b:Volume>
    <b:Pages>1-30</b:Pages>
    <b:URL>https://www.jmlr.org/papers/v7/demsar06a.html</b:URL>
  </b:Source>
  <b:Source>
    <b:Tag>efron1993introduction</b:Tag>
    <b:SourceType>Book</b:SourceType>
    <b:Guid>{B33CDB6E-890B-52CD-9E72-DD63DE45A669}</b:Guid>
    <b:Author>
      <b:Author>
        <b:NameList>
          <b:Person>
            <b:Last>Efron</b:Last>
            <b:First>Bradley</b:First>
          </b:Person>
          <b:Person>
            <b:Last>Tibshirani</b:Last>
            <b:First>Robert J.</b:First>
          </b:Person>
        </b:NameList>
      </b:Author>
    </b:Author>
    <b:Title>An Introduction to the Bootstrap</b:Title>
    <b:Year>1993</b:Year>
    <b:Publisher>Chapman &amp; Hall</b:Publisher>
    <b:City>New York</b:City>
    <b:URL>https://doi.org/10.1201/9780429246593</b:URL>
  </b:Source>
  <b:Source>
    <b:Tag>benjamini1995controlling</b:Tag>
    <b:SourceType>JournalArticle</b:SourceType>
    <b:Guid>{2B7C0215-1DD1-52A2-88B6-8102C6E8F808}</b:Guid>
    <b:Author>
      <b:Author>
        <b:NameList>
          <b:Person>
            <b:Last>Benjamini</b:Last>
            <b:First>Yoav</b:First>
          </b:Person>
          <b:Person>
            <b:Last>Hochberg</b:Last>
            <b:First>Yosef</b:First>
          </b:Person>
        </b:NameList>
      </b:Author>
    </b:Author>
    <b:Title>Controlling the False Discovery Rate: A Practical and Powerful Approach to Multiple Testing</b:Title>
    <b:Year>1995</b:Year>
    <b:JournalName>Journal of the Royal Statistical Society: Series B (Methodological)</b:JournalName>
    <b:Publisher>Wiley</b:Publisher>
    <b:Volume>57</b:Volume>
    <b:Issue>1</b:Issue>
    <b:Pages>289-300</b:Pages>
    <b:URL>https://doi.org/10.1111/j.2517-6161.1995.tb02031.x</b:URL>
  </b:Source>
  <b:Source>
    <b:Tag>molina2018shadeils</b:Tag>
    <b:SourceType>ConferenceProceedings</b:SourceType>
    <b:Guid>{2D6A3729-CA4A-5C26-9BC7-DC306CAD1C76}</b:Guid>
    <b:Author>
      <b:Author>
        <b:NameList>
          <b:Person>
            <b:Last>Molina</b:Last>
            <b:First>Daniel</b:First>
          </b:Person>
          <b:Person>
            <b:Last>LaTorre</b:Last>
            <b:First>Antonio</b:First>
          </b:Person>
          <b:Person>
            <b:Last>Herrera</b:Last>
            <b:First>Francisco</b:First>
          </b:Person>
        </b:NameList>
      </b:Author>
    </b:Author>
    <b:Title>SHADE with Iterative Local Search for Large-Scale Global Optimization</b:Title>
    <b:Year>2018</b:Year>
    <b:ConferenceName>2018 IEEE Congress on Evolutionary Computation (CEC)</b:ConferenceName>
    <b:Publisher>IEEE</b:Publisher>
    <b:Pages>1-8</b:Pages>
    <b:URL>https://doi.org/10.1109/CEC.2018.8477755</b:URL>
  </b:Source>
  <b:Source>
    <b:Tag>latorre2013mos</b:Tag>
    <b:SourceType>ConferenceProceedings</b:SourceType>
    <b:Guid>{14BF02A0-90DC-5118-A6D8-6FAA3C33AEA8}</b:Guid>
    <b:Author>
      <b:Author>
        <b:NameList>
          <b:Person>
            <b:Last>LaTorre</b:Last>
            <b:First>Antonio</b:First>
          </b:Person>
          <b:Person>
            <b:Last>Muelas</b:Last>
            <b:First>Santiago</b:First>
          </b:Person>
          <b:Person>
            <b:Last>Pe na</b:Last>
            <b:First>Jose-Maria</b:First>
          </b:Person>
        </b:NameList>
      </b:Author>
    </b:Author>
    <b:Title>Large Scale Global Optimization: Experimental Results with MOS-based Hybrid Algorithms</b:Title>
    <b:Year>2013</b:Year>
    <b:ConferenceName>Proceedings of the 2013 IEEE Congress on Evolutionary Computation</b:ConferenceName>
    <b:Publisher>IEEE</b:Publisher>
    <b:Pages>2742-2749</b:Pages>
    <b:URL>https://doi.org/10.1109/CEC.2013.6557901</b:URL>
  </b:Source>
  <b:Source>
    <b:Tag>wolpert1997nfl</b:Tag>
    <b:SourceType>JournalArticle</b:SourceType>
    <b:Guid>{7F398209-D372-5A31-91A6-6C238B4A2FB3}</b:Guid>
    <b:Author>
      <b:Author>
        <b:NameList>
          <b:Person>
            <b:Last>Wolpert</b:Last>
            <b:First>David H.</b:First>
          </b:Person>
          <b:Person>
            <b:Last>Macready</b:Last>
            <b:First>William G.</b:First>
          </b:Person>
        </b:NameList>
      </b:Author>
    </b:Author>
    <b:Title>No Free Lunch Theorems for Optimization</b:Title>
    <b:Year>1997</b:Year>
    <b:JournalName>IEEE Transactions on Evolutionary Computation</b:JournalName>
    <b:Publisher>IEEE</b:Publisher>
    <b:Volume>1</b:Volume>
    <b:Issue>1</b:Issue>
    <b:Pages>67-82</b:Pages>
    <b:URL>https://doi.org/10.1109/4235.585893</b:URL>
  </b:Source>
</b:Sources>
</file>

<file path=customXml/itemProps1.xml><?xml version="1.0" encoding="utf-8"?>
<ds:datastoreItem xmlns:ds="http://schemas.openxmlformats.org/officeDocument/2006/customXml" ds:itemID="{18AB57C6-4C09-45D4-A252-1B7A78A47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DT-GSK: Dimension-Tiered Adaptive Configuration Selection and Deterministic Refinement for Gaining-Sharing Knowledge Optimization</dc:title>
  <dc:creator>Mostafa Elsayed Masoud; Heba Sayed Mohamed Roshdy; Ali Wagdy Mohamed</dc:creator>
  <cp:keywords>metaheuristic optimization; gaining-sharing knowledge; dimension-tiered adaptive configuration selection; deterministic final refinement; adaptive operator selection; population-size reduction; CEC benchmark suites; nonparametric statistical comparison; reproducibility</cp:keywords>
  <dcterms:created xsi:type="dcterms:W3CDTF">2026-07-10T00:00:00Z</dcterms:created>
  <dcterms:modified xsi:type="dcterms:W3CDTF">2026-07-10T00:00:00Z</dcterms:modified>
  <cp:lastModifiedBy>Mostafa Elsayed Masoud; Heba Sayed Mohamed Roshdy; Ali Wagdy Mohamed</cp:lastModifiedBy>
  <dc:subject>Dimension-tiered adaptive configuration selection and deterministic refinement for Gaining-Sharing Knowledge (DT-GSK) optimization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Published gaining-sharing knowledge (GSK) variants adapt scalar parameters and donor/selection policy to a single operating point. Dimension-Tiered GSK (DT-GSK) selects its configuration by dimension: an adaptive scaffold serves every tier, a deterministic, budget-exact final refinement runs once at D \geq 50, with the GSK vector-update equations retained; an exploratory interaction-structure memory supplies the refinement’s basis. Against six GSK-family baselines re-executed on five CEC suites under one budget-fair paired protocol, DT-GSK attains the best descriptive family-rank aggregate on CEC2017 (2.48) and CEC2013 (2.80), though Holm-corrected tests separate it from eGSK on either suite only at D = 10; it is second behind eGSK at CEC2017 D = 30 and on CEC2011 (Holm-significant loss). On AGSK’s strongest suite—the CEC2020 competition in which it was the runner-up—DT-GSK places fourth; the family panel corroborates AGSK’s published strength in this low-dimensional boundary regime, where every dimension-gated DT-GSK subsystem is inactive (D \leq 20). On CEC2013LSGO the comparison is family-internal: tied-first descriptive rank; paired tests do not separate DT-GSK from AGSK. Suite roles: CEC2017 selection-exposed; CEC2011/CEC2013 corroborative; CEC2020 pre-registered confirmatory; CEC2013LSGO post-hoc. Direct isolations find no standalone benefit from that memory; coordinate axes outperform its basis—controlled negative results. All findings are scoped to the GSK-family panel.</vt:lpwstr>
  </property>
  <property fmtid="{D5CDD505-2E9C-101B-9397-08002B2CF9AE}" pid="3" name="date">
    <vt:lpwstr/>
  </property>
</Properties>
</file>