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mechanism-isolation and</w:t>
      </w:r>
      <w:r>
        <w:t xml:space="preserve"> </w:t>
      </w:r>
      <w:r>
        <w:t xml:space="preserve">sensitivity 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7" w:name="ref_sec_supp_cec2017_tables"/>
      <w:r>
        <w:t xml:space="preserve">S1.</w:t>
      </w:r>
      <w:bookmarkEnd w:id="227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33" w:name="ref_sec_supp_pairwise"/>
      <w:r>
        <w:t xml:space="preserve">S2.</w:t>
      </w:r>
      <w:bookmarkEnd w:id="233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34" w:name="ref_sec_supp_h2h"/>
      <w:r>
        <w:t xml:space="preserve">S2.1.</w:t>
      </w:r>
      <w:bookmarkEnd w:id="234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6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8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9" w:name="ref_sec_supp_cec2011"/>
      <w:r>
        <w:t xml:space="preserve">S2.2.</w:t>
      </w:r>
      <w:bookmarkEnd w:id="239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1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42" w:name="ref_sec_supp_cec2013"/>
      <w:r>
        <w:t xml:space="preserve">S2.3.</w:t>
      </w:r>
      <w:bookmarkEnd w:id="242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4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4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5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6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7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8" w:name="ref_sec_supp_bca"/>
      <w:r>
        <w:t xml:space="preserve">S2.4.</w:t>
      </w:r>
      <w:bookmarkEnd w:id="248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9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9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50" w:name="ref_sec_supp_posthoc"/>
      <w:r>
        <w:t xml:space="preserve">S2.5.</w:t>
      </w:r>
      <w:bookmarkEnd w:id="250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51" w:name="ref_sec_supp_rankviews"/>
      <w:r>
        <w:t xml:space="preserve">S2.6.</w:t>
      </w:r>
      <w:bookmarkEnd w:id="251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54" w:name="ref_sec_supp_convergence"/>
      <w:r>
        <w:t xml:space="preserve">S3.</w:t>
      </w:r>
      <w:bookmarkEnd w:id="254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55" w:name="ref_sec_supp_conv2017"/>
      <w:r>
        <w:t xml:space="preserve">S3.1.</w:t>
      </w:r>
      <w:bookmarkEnd w:id="255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1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72" w:name="ref_sec_supp_conv2011"/>
      <w:r>
        <w:t xml:space="preserve">S3.2.</w:t>
      </w:r>
      <w:bookmarkEnd w:id="272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5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75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6" w:name="ref_sec_supp_conv2013"/>
      <w:r>
        <w:t xml:space="preserve">S3.3.</w:t>
      </w:r>
      <w:bookmarkEnd w:id="276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7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8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9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9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0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80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81" w:name="ref_sec_supp_diagnostics"/>
      <w:r>
        <w:t xml:space="preserve">S4.</w:t>
      </w:r>
      <w:bookmarkEnd w:id="281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2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82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83" w:name="ref_sec_repro"/>
      <w:r>
        <w:t xml:space="preserve">S5.</w:t>
      </w:r>
      <w:bookmarkEnd w:id="283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84" w:name="ref_sec_repro_seeds"/>
      <w:r>
        <w:t xml:space="preserve">S5.1.</w:t>
      </w:r>
      <w:bookmarkEnd w:id="284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85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85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6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6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7" w:name="ref_sec_repro_freeze"/>
      <w:r>
        <w:t xml:space="preserve">S5.2.</w:t>
      </w:r>
      <w:bookmarkEnd w:id="287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8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8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residual. The residual’s origin has since</w:t>
      </w:r>
      <w:r>
        <w:t xml:space="preserve"> </w:t>
      </w:r>
      <w:r>
        <w:t xml:space="preserve">been demonstrated by a promoted re-execution (release g1-rel-2026-08-28-65b3d39e6):</w:t>
      </w:r>
      <w:r>
        <w:t xml:space="preserve"> </w:t>
      </w:r>
      <w:r>
        <w:t xml:space="preserve">re-running the five carrier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under the current build,</w:t>
      </w:r>
      <w:r>
        <w:t xml:space="preserve"> </w:t>
      </w:r>
      <w:r>
        <w:t xml:space="preserve">with the numeric stack pinned to one thread, reproduces the transplant arm on</w:t>
      </w:r>
      <w:r>
        <w:t xml:space="preserve"> </w:t>
      </w:r>
      <w:r>
        <w:t xml:space="preserve">all 26 divergent cells and the archived values on none, while reproducing</w:t>
      </w:r>
      <w:r>
        <w:t xml:space="preserve"> </w:t>
      </w:r>
      <w:r>
        <w:t xml:space="preserve">both on all 229 agreeing cells, with zero seed mismatches — a difference</w:t>
      </w:r>
      <w:r>
        <w:t xml:space="preserve"> </w:t>
      </w:r>
      <w:r>
        <w:t xml:space="preserve">between builds, not a within-build instability, and that table’s caption now</w:t>
      </w:r>
      <w:r>
        <w:t xml:space="preserve"> </w:t>
      </w:r>
      <w:r>
        <w:t xml:space="preserve">reports it as such.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9" w:name="ref_sec_repro_tuning"/>
      <w:r>
        <w:t xml:space="preserve">S5.3.</w:t>
      </w:r>
      <w:bookmarkEnd w:id="289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90" w:name="ref_sec_repro_limitations"/>
      <w:r>
        <w:t xml:space="preserve">S5.4.</w:t>
      </w:r>
      <w:bookmarkEnd w:id="290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stated there,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enters any panel, table, figure or</w:t>
      </w:r>
      <w:r>
        <w:t xml:space="preserve"> </w:t>
      </w:r>
      <w:r>
        <w:t xml:space="preserve">claim here to calibrate the family against the broader state of the art; the</w:t>
      </w:r>
      <w:r>
        <w:t xml:space="preserve"> </w:t>
      </w:r>
      <w:r>
        <w:t xml:space="preserve">repository does contain runnable non-GSK implementations and, for three</w:t>
      </w:r>
      <w:r>
        <w:t xml:space="preserve"> </w:t>
      </w:r>
      <w:r>
        <w:t xml:space="preserve">large-scale specialists, CEC2013LSGO result banks produced under this paper’s</w:t>
      </w:r>
      <w:r>
        <w:t xml:space="preserve"> </w:t>
      </w:r>
      <w:r>
        <w:t xml:space="preserve">protocol, none of them analysed here (Section S7.1).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asymmetry. It is bounded by the</w:t>
      </w:r>
      <w:r>
        <w:t xml:space="preserve"> </w:t>
      </w:r>
      <w:r>
        <w:t xml:space="preserve">matched-initial-population control of Section S9.2: held to the comparators’</w:t>
      </w:r>
      <w:r>
        <w:t xml:space="preserve"> </w:t>
      </w:r>
      <w:r>
        <w:t xml:space="preserve">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stays within the panel’s top two at every</w:t>
      </w:r>
      <w:r>
        <w:t xml:space="preserve"> </w:t>
      </w:r>
      <w:r>
        <w:t xml:space="preserve">CEC2017 dimension, but its first 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</w:t>
      </w:r>
      <w:r>
        <w:t xml:space="preserve"> </w:t>
      </w:r>
      <w:r>
        <w:t xml:space="preserve">survive, so those two rank claims rest in part on the population rule. The</w:t>
      </w:r>
      <w:r>
        <w:t xml:space="preserve"> </w:t>
      </w:r>
      <w:r>
        <w:t xml:space="preserve">asymmetry is most consequential at low dimension, where DT-GSK runs</w:t>
      </w:r>
      <w:r>
        <w:t xml:space="preserve"> </w:t>
      </w:r>
      <w:r>
        <w:t xml:space="preserve">essentially the 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51. The tier boundaries themselves are varied separately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, where the shipped middle profile is beaten</w:t>
      </w:r>
      <w:r>
        <w:t xml:space="preserve"> </w:t>
      </w:r>
      <w:r>
        <w:t xml:space="preserve">from both neighbouring tiers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</w:t>
      </w:r>
      <w:r>
        <w:t xml:space="preserve"> </w:t>
      </w:r>
      <w:r>
        <w:t xml:space="preserve">shipped upper profile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while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boundaries are</w:t>
      </w:r>
      <w:r>
        <w:t xml:space="preserve"> </w:t>
      </w:r>
      <w:r>
        <w:t xml:space="preserve">insensitive to the tested shifts.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91" w:name="ref_sec_repro_tieband"/>
      <w:r>
        <w:t xml:space="preserve">S5.5.</w:t>
      </w:r>
      <w:bookmarkEnd w:id="291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92" w:name="ref_sec_repro_aliases"/>
      <w:r>
        <w:t xml:space="preserve">S5.6.</w:t>
      </w:r>
      <w:bookmarkEnd w:id="292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3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93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94" w:name="ref_sec_repro_acronyms"/>
      <w:r>
        <w:t xml:space="preserve">S5.7.</w:t>
      </w:r>
      <w:bookmarkEnd w:id="294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5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95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6" w:name="ref_sec_repro_params_detail"/>
      <w:r>
        <w:t xml:space="preserve">S5.8.</w:t>
      </w:r>
      <w:bookmarkEnd w:id="296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7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7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8" w:name="ref_sec_repro_opspec"/>
      <w:r>
        <w:t xml:space="preserve">S5.9.</w:t>
      </w:r>
      <w:bookmarkEnd w:id="298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9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9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b46a021d6eddd447cad30164db7fdab8b251125"/>
    <w:p>
      <w:pPr>
        <w:pStyle w:val="Heading4"/>
      </w:pPr>
      <w:r>
        <w:t xml:space="preserve">Deterministic final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(eval_budget_frac</w:t>
      </w:r>
      <w:r>
        <w:t xml:space="preserve"> </w:t>
      </w:r>
      <m:oMath>
        <m:r>
          <m:rPr>
            <m:sty m:val="p"/>
          </m:rPr>
          <m:t>⋅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 —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300" w:name="ref_sec_repro_release"/>
      <w:r>
        <w:t xml:space="preserve">S5.10.</w:t>
      </w:r>
      <w:bookmarkEnd w:id="300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 —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which carry the compound provenance that</w:t>
      </w:r>
      <w:r>
        <w:t xml:space="preserve"> </w:t>
      </w:r>
      <w:r>
        <w:t xml:space="preserve">section states. That primary release’s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(618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301" w:name="ref_sec_supp_ablation"/>
      <w:r>
        <w:t xml:space="preserve">S6.</w:t>
      </w:r>
      <w:bookmarkEnd w:id="301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302" w:name="ref_sec_supp_ablation_design"/>
      <w:r>
        <w:t xml:space="preserve">S6.1.</w:t>
      </w:r>
      <w:bookmarkEnd w:id="302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303" w:name="ref_sec_supp_ablation_stats"/>
      <w:r>
        <w:t xml:space="preserve">S6.2.</w:t>
      </w:r>
      <w:bookmarkEnd w:id="303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4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305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5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7" w:name="ref_sec_supp_ablation_findings"/>
      <w:r>
        <w:t xml:space="preserve">S6.3.</w:t>
      </w:r>
      <w:bookmarkEnd w:id="307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8" w:name="ref_sec_supp_ablation_limits"/>
      <w:r>
        <w:t xml:space="preserve">S6.4.</w:t>
      </w:r>
      <w:bookmarkEnd w:id="308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9" w:name="ref_sec_supp_ablation_sgsm"/>
      <w:r>
        <w:t xml:space="preserve">S6.5.</w:t>
      </w:r>
      <w:bookmarkEnd w:id="309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is measured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0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10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it</w:t>
      </w:r>
      <w:r>
        <w:t xml:space="preserve"> </w:t>
      </w:r>
      <w:r>
        <w:t xml:space="preserve">does not by itself attribute the effect among the phase’s parts—the</w:t>
      </w:r>
      <w:r>
        <w:t xml:space="preserve"> </w:t>
      </w:r>
      <w:r>
        <w:t xml:space="preserve">basis-level attribution is provided by the direct isolation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—while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11" w:name="ref_sec_supp_ablation_subset"/>
      <w:r>
        <w:t xml:space="preserve">S6.6.</w:t>
      </w:r>
      <w:bookmarkEnd w:id="311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13" w:name="ref_sec_supp_ablation_caveats"/>
      <w:r>
        <w:t xml:space="preserve">S6.7.</w:t>
      </w:r>
      <w:bookmarkEnd w:id="313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14" w:name="ref_sec_supp_cec2013lsgo"/>
      <w:r>
        <w:t xml:space="preserve">S7.</w:t>
      </w:r>
      <w:bookmarkEnd w:id="314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15" w:name="ref_sec_supp_lsgo_protocol"/>
      <w:r>
        <w:t xml:space="preserve">S7.1.</w:t>
      </w:r>
      <w:bookmarkEnd w:id="315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first-party ports of SHADE-ILS, MOS</w:t>
      </w:r>
      <w:r>
        <w:t xml:space="preserve"> </w:t>
      </w:r>
      <w:r>
        <w:t xml:space="preserve">and DECC-G, executed on 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16" w:name="ref_sec_supp_lsgo_config"/>
      <w:r>
        <w:t xml:space="preserve">S7.2.</w:t>
      </w:r>
      <w:bookmarkEnd w:id="316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7" w:name="ref_sec_supp_lsgo_ranks"/>
      <w:r>
        <w:t xml:space="preserve">S7.3.</w:t>
      </w:r>
      <w:bookmarkEnd w:id="317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9" w:name="ref_sec_supp_lsgo_pairwise"/>
      <w:r>
        <w:t xml:space="preserve">S7.4.</w:t>
      </w:r>
      <w:bookmarkEnd w:id="319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21" w:name="ref_sec_supp_lsgo_runlevel"/>
      <w:r>
        <w:t xml:space="preserve">S7.5.</w:t>
      </w:r>
      <w:bookmarkEnd w:id="321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2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22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23" w:name="ref_sec_supp_lsgo_effects"/>
      <w:r>
        <w:t xml:space="preserve">S7.6.</w:t>
      </w:r>
      <w:bookmarkEnd w:id="323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4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24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25" w:name="ref_sec_supp_lsgo_detail"/>
      <w:r>
        <w:t xml:space="preserve">S7.7.</w:t>
      </w:r>
      <w:bookmarkEnd w:id="325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7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7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8" w:name="ref_sec_supp_cec2020"/>
      <w:r>
        <w:t xml:space="preserve">S8.</w:t>
      </w:r>
      <w:bookmarkEnd w:id="328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content-bound and auditable: the addendum’s SHA-256 is</w:t>
      </w:r>
      <w:r>
        <w:t xml:space="preserve"> </w:t>
      </w:r>
      <w:r>
        <w:t xml:space="preserve">recorded in the evidence release manifest that carries every CEC2020 datum,</w:t>
      </w:r>
      <w:r>
        <w:t xml:space="preserve"> </w:t>
      </w:r>
      <w:r>
        <w:t xml:space="preserve">so the registered text cannot have been revised after those results existed,</w:t>
      </w:r>
      <w:r>
        <w:t xml:space="preserve"> </w:t>
      </w:r>
      <w:r>
        <w:t xml:space="preserve">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dimension-tiered design,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addendum’s 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9" w:name="ref_sec_supp_cec2020_standing"/>
      <w:r>
        <w:t xml:space="preserve">S8.1.</w:t>
      </w:r>
      <w:bookmarkEnd w:id="329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0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30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31" w:name="ref_sec_supp_cec2020_omnibus"/>
      <w:r>
        <w:t xml:space="preserve">S8.2.</w:t>
      </w:r>
      <w:bookmarkEnd w:id="331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2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32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33" w:name="ref_sec_supp_cec2020_pairwise"/>
      <w:r>
        <w:t xml:space="preserve">S8.3.</w:t>
      </w:r>
      <w:bookmarkEnd w:id="333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4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34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6" w:name="ref_sec_supp_cec2020_effects"/>
      <w:r>
        <w:t xml:space="preserve">S8.4.</w:t>
      </w:r>
      <w:bookmarkEnd w:id="336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8" w:name="ref_sec_supp_cec2020_robustness"/>
      <w:r>
        <w:t xml:space="preserve">S8.5.</w:t>
      </w:r>
      <w:bookmarkEnd w:id="338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9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9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40" w:name="ref_sec_supp_cec2020_detail"/>
      <w:r>
        <w:t xml:space="preserve">S8.6.</w:t>
      </w:r>
      <w:bookmarkEnd w:id="340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2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4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4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44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4" w:name="lbl_sec_supp_revision"/>
    <w:p>
      <w:pPr>
        <w:pStyle w:val="Heading1"/>
      </w:pPr>
      <w:bookmarkStart w:id="345" w:name="ref_sec_supp_revision"/>
      <w:r>
        <w:t xml:space="preserve">S9.</w:t>
      </w:r>
      <w:bookmarkEnd w:id="345"/>
      <w:r>
        <w:tab/>
      </w:r>
      <w:r>
        <w:t xml:space="preserve"> Mechanism-Isolation and Sensitivity Experiments</w:t>
      </w:r>
    </w:p>
    <w:p>
      <w:pPr>
        <w:pStyle w:val="FirstParagraph"/>
      </w:pPr>
      <w:r>
        <w:t xml:space="preserve">The five experiments in this section isolate design choices that</w:t>
      </w:r>
      <w:r>
        <w:t xml:space="preserve"> </w:t>
      </w:r>
      <w:r>
        <w:t xml:space="preserve">the original design introduced together — the refinement basis, the</w:t>
      </w:r>
      <w:r>
        <w:t xml:space="preserve"> </w:t>
      </w:r>
      <w:r>
        <w:t xml:space="preserve">population rule, the tier profiles, and the sensitivity of the</w:t>
      </w:r>
      <w:r>
        <w:t xml:space="preserve"> </w:t>
      </w:r>
      <w:r>
        <w:t xml:space="preserve">configuration’s constants (Section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) and of</w:t>
      </w:r>
      <w:r>
        <w:t xml:space="preserve"> </w:t>
      </w:r>
      <w:r>
        <w:t xml:space="preserve">its tier boundaries (Section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).</w:t>
      </w:r>
      <w:r>
        <w:t xml:space="preserve"> </w:t>
      </w:r>
      <w:r>
        <w:t xml:space="preserve">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in the repository</w:t>
      </w:r>
      <w:r>
        <w:t xml:space="preserve"> </w:t>
      </w:r>
      <w:r>
        <w:t xml:space="preserve">named in the Data Availability Statement, so the registered adverse wording</w:t>
      </w:r>
      <w:r>
        <w:t xml:space="preserve"> </w:t>
      </w:r>
      <w:r>
        <w:t xml:space="preserve">can be read directly against what is reported here. The later amendments</w:t>
      </w:r>
      <w:r>
        <w:t xml:space="preserve"> </w:t>
      </w:r>
      <w:r>
        <w:t xml:space="preserve">carry commit-level dates in that repository; the earlier registrations are</w:t>
      </w:r>
      <w:r>
        <w:t xml:space="preserve"> </w:t>
      </w:r>
      <w:r>
        <w:t xml:space="preserve">bound instead by the checksums recorded in the evidence release manifests,</w:t>
      </w:r>
      <w:r>
        <w:t xml:space="preserve"> </w:t>
      </w:r>
      <w:r>
        <w:t xml:space="preserve">because the published history is a squashed import and does not preserve the</w:t>
      </w:r>
      <w:r>
        <w:t xml:space="preserve"> </w:t>
      </w:r>
      <w:r>
        <w:t xml:space="preserve">original commit dates.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of the first four experiments come from</w:t>
      </w:r>
      <w:r>
        <w:t xml:space="preserve"> </w:t>
      </w:r>
      <w:r>
        <w:t xml:space="preserve">the separate, non-superseding release rev-rel-2026-08-26-dd42d37eb; the boundary arms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 come from the further additive release</w:t>
      </w:r>
      <w:r>
        <w:t xml:space="preserve"> </w:t>
      </w:r>
      <w:r>
        <w:t xml:space="preserve">rev2-rel-2026-08-28-203c78744;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Across-function Wilcoxon tests in this section apply the manuscript’s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before ranking; the first analysis release of E1-E3 used</w:t>
      </w:r>
      <w:r>
        <w:t xml:space="preserve"> </w:t>
      </w:r>
      <w:r>
        <w:t xml:space="preserve">the exact-zero convention instead, and that deviation, its correction, and its</w:t>
      </w:r>
      <w:r>
        <w:t xml:space="preserve"> </w:t>
      </w:r>
      <w:r>
        <w:t xml:space="preserve">one decision-level consequence are recorded as pre-registration Amendments</w:t>
      </w:r>
      <w:r>
        <w:t xml:space="preserve"> </w:t>
      </w:r>
      <w:r>
        <w:t xml:space="preserve">A5-A6 and restated at the point of use below. A second, earlier departure</w:t>
      </w:r>
      <w:r>
        <w:t xml:space="preserve"> </w:t>
      </w:r>
      <w:r>
        <w:t xml:space="preserve">is recorded as Amendment A3: for Experiments E2 and E3 the executed Holm</w:t>
      </w:r>
      <w:r>
        <w:t xml:space="preserve"> </w:t>
      </w:r>
      <w:r>
        <w:t xml:space="preserve">families correct across dimensions where the registered plan specified</w:t>
      </w:r>
      <w:r>
        <w:t xml:space="preserve"> </w:t>
      </w:r>
      <w:r>
        <w:t xml:space="preserve">within dimension. The amendment records the departure, its direction, and</w:t>
      </w:r>
      <w:r>
        <w:t xml:space="preserve"> </w:t>
      </w:r>
      <w:r>
        <w:t xml:space="preserve">the verification that every decision reported here is unchanged under the</w:t>
      </w:r>
      <w:r>
        <w:t xml:space="preserve"> </w:t>
      </w:r>
      <w:r>
        <w:t xml:space="preserve">registered family; for E2 the registered family would have had one member,</w:t>
      </w:r>
      <w:r>
        <w:t xml:space="preserve"> </w:t>
      </w:r>
      <w:r>
        <w:t xml:space="preserve">so the executed correction is the more conservative of the two.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46" w:name="ref_sec_supp_rev_basis"/>
      <w:r>
        <w:t xml:space="preserve">S9.1.</w:t>
      </w:r>
      <w:bookmarkEnd w:id="346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ref_tab_rev_e1 \h </w:instrText>
      </w:r>
      <w:r>
        <w:fldChar w:fldCharType="separate"/>
      </w:r>
      <w:r>
        <w:t xml:space="preserve">A43</w:t>
      </w:r>
      <w:r>
        <w:fldChar w:fldCharType="end"/>
      </w:r>
      <w:r>
        <w:t xml:space="preserve"> reports the contrast.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7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47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second. W/T/L counts functions,</w:t>
      </w:r>
      <w:r>
        <w:t xml:space="preserve"> </w:t>
      </w:r>
      <w:r>
        <w:t xml:space="preserve">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the same band is applied before ranking,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reports the functions remaining in each ranking</w:t>
      </w:r>
      <w:r>
        <w:t xml:space="preserve"> </w:t>
      </w:r>
      <w:r>
        <w:t xml:space="preserve">(Amendments A5-A6).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4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): eigenframe versus coordinate axes versus no refinement at fixed enablement."/>
        <w:tblDescription w:val="Refinement-basis contrast on CEC2017 (E1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holds and, under the stated tie rule, is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28</m:t>
        </m:r>
      </m:oMath>
      <w:r>
        <w:t xml:space="preserve">; the exact-zero</w:t>
      </w:r>
      <w:r>
        <w:t xml:space="preserve"> </w:t>
      </w:r>
      <w:r>
        <w:t xml:space="preserve">convention of the first analysis release gave</w:t>
      </w:r>
      <w:r>
        <w:t xml:space="preserve"> </w:t>
      </w:r>
      <m:oMath>
        <m:r>
          <m:t>0.054</m:t>
        </m:r>
      </m:oMath>
      <w:r>
        <w:t xml:space="preserve">, and the correction is</w:t>
      </w:r>
      <w:r>
        <w:t xml:space="preserve"> </w:t>
      </w:r>
      <w:r>
        <w:t xml:space="preserve">recorded as Amendments A5-A6). The conclusion the paper draws is</w:t>
      </w:r>
      <w:r>
        <w:t xml:space="preserve"> </w:t>
      </w:r>
      <w:r>
        <w:t xml:space="preserve">restricted to what was tested: at both active dimensions on this suite —</w:t>
      </w:r>
      <w:r>
        <w:t xml:space="preserve"> </w:t>
      </w:r>
      <w:r>
        <w:t xml:space="preserve">sharply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marginally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48" w:name="ref_sec_supp_rev_np"/>
      <w:r>
        <w:t xml:space="preserve">S9.2.</w:t>
      </w:r>
      <w:bookmarkEnd w:id="348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main text discloses but the panel evidence does not control.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ref_tab_rev_e2 \h </w:instrText>
      </w:r>
      <w:r>
        <w:fldChar w:fldCharType="separate"/>
      </w:r>
      <w:r>
        <w:t xml:space="preserve">A44</w:t>
      </w:r>
      <w:r>
        <w:fldChar w:fldCharType="end"/>
      </w:r>
      <w:r>
        <w:t xml:space="preserve"> reports the outcome.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9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49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): the panel re-ranked with only the DT-GSK column substituted."/>
        <w:tblDescription w:val="DT-GSK at the comparators' population value (E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matched-initial-population control shows the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rule does not wholly</w:t>
      </w:r>
      <w:r>
        <w:t xml:space="preserve"> </w:t>
      </w:r>
      <w:r>
        <w:t xml:space="preserve">explain the reported standing, but contributes materially to part of it.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50" w:name="ref_sec_supp_rev_tiering"/>
      <w:r>
        <w:t xml:space="preserve">S9.3.</w:t>
      </w:r>
      <w:bookmarkEnd w:id="350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panel evidence does not compare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1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51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not. A promoted re-execution (release</w:t>
      </w:r>
      <w:r>
        <w:t xml:space="preserve"> </w:t>
      </w:r>
      <w:r>
        <w:t xml:space="preserve">g1-rel-2026-08-28-65b3d39e6) resolves that residual as a build difference:</w:t>
      </w:r>
      <w:r>
        <w:t xml:space="preserve"> </w:t>
      </w:r>
      <w:r>
        <w:t xml:space="preserve">the current build reproduces the transplant arm on all 26 divergent cells and</w:t>
      </w:r>
      <w:r>
        <w:t xml:space="preserve"> </w:t>
      </w:r>
      <w:r>
        <w:t xml:space="preserve">the archived values on none, and reproduces both wherever the two legs agree</w:t>
      </w:r>
      <w:r>
        <w:t xml:space="preserve"> </w:t>
      </w:r>
      <w:r>
        <w:t xml:space="preserve">(26 divergent and 229 agreeing of the 255 (function, run) cells re-executed,</w:t>
      </w:r>
      <w:r>
        <w:t xml:space="preserve"> </w:t>
      </w:r>
      <w:r>
        <w:t xml:space="preserve">with zero seed mismatches).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) on CEC2017."/>
        <w:tblDescription w:val="Tiered configuration versus the two tier-constant transplants (E3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 three of four dimensions,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as inferior to the tested transplant at that dimension — a</w:t>
      </w:r>
      <w:r>
        <w:t xml:space="preserve"> </w:t>
      </w:r>
      <w:r>
        <w:t xml:space="preserve">configuration-level weakness, claimed neither for nor against the tiering</w:t>
      </w:r>
      <w:r>
        <w:t xml:space="preserve"> </w:t>
      </w:r>
      <w:r>
        <w:t xml:space="preserve">principle itself. This localizes a</w:t>
      </w:r>
      <w:r>
        <w:t xml:space="preserve"> </w:t>
      </w:r>
      <w:r>
        <w:t xml:space="preserve">weakness the main text already discloses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52" w:name="ref_sec_supp_rev_sensitivity"/>
      <w:r>
        <w:t xml:space="preserve">S9.4.</w:t>
      </w:r>
      <w:bookmarkEnd w:id="352"/>
      <w:r>
        <w:tab/>
      </w:r>
      <w:r>
        <w:t xml:space="preserve"> Selected-Constant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interaction-memory update cadence,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 Table </w:t>
      </w:r>
      <w:r>
        <w:fldChar w:fldCharType="begin"/>
      </w:r>
      <w:r>
        <w:instrText xml:space="preserve"> REF ref_tab_rev_e4 \h </w:instrText>
      </w:r>
      <w:r>
        <w:fldChar w:fldCharType="separate"/>
      </w:r>
      <w:r>
        <w:t xml:space="preserve">A46</w:t>
      </w:r>
      <w:r>
        <w:fldChar w:fldCharType="end"/>
      </w:r>
      <w:r>
        <w:t xml:space="preserve"> reports every executed cell.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Stability under a larger perturbation implies stability under a</w:t>
      </w:r>
      <w:r>
        <w:t xml:space="preserve"> </w:t>
      </w:r>
      <w:r>
        <w:t xml:space="preserve">smaller one, so the robustness reading holds for those cells in magnitude; what</w:t>
      </w:r>
      <w:r>
        <w:t xml:space="preserve"> </w:t>
      </w:r>
      <w:r>
        <w:t xml:space="preserve">is absent is coverage on the untested side, and no claim is made there.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3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53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 Real-valued constants are perturbed by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and integer-valued</w:t>
      </w:r>
      <w:r>
        <w:t xml:space="preserve"> </w:t>
      </w:r>
      <w:r>
        <w:t xml:space="preserve">constants to the nearest different integer, as registered; the table prints the</w:t>
      </w:r>
      <w:r>
        <w:t xml:space="preserve"> </w:t>
      </w:r>
      <w:r>
        <w:t xml:space="preserve">levels actually executed.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). Descriptive only: no test is performed and no p-value is reported."/>
        <w:tblDescription w:val="EXPLORATORY one-factor parameter sensitivity (E4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Start w:id="213" w:name="lbl_sec_supp_rev_boundary"/>
    <w:p>
      <w:pPr>
        <w:pStyle w:val="Heading2"/>
      </w:pPr>
      <w:bookmarkStart w:id="354" w:name="ref_sec_supp_rev_boundary"/>
      <w:r>
        <w:t xml:space="preserve">S9.5.</w:t>
      </w:r>
      <w:bookmarkEnd w:id="354"/>
      <w:r>
        <w:tab/>
      </w:r>
      <w:r>
        <w:t xml:space="preserve"> Dimension-Boundary Sensitivity</w:t>
      </w:r>
    </w:p>
    <w:p>
      <w:pPr>
        <w:pStyle w:val="FirstParagraph"/>
      </w:pPr>
      <w:r>
        <w:t xml:space="preserve">Registered before execution as pre-registration Amendment A4: the study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varies constants within tiers; this</w:t>
      </w:r>
      <w:r>
        <w:t xml:space="preserve"> </w:t>
      </w:r>
      <w:r>
        <w:t xml:space="preserve">one varies the tier boundaries themselves. Each cell shifts one boundary of the frozen</w:t>
      </w:r>
      <w:r>
        <w:t xml:space="preserve"> </w:t>
      </w:r>
      <w:r>
        <w:t xml:space="preserve">profile just far enough to change the profile assigned to the nearest official</w:t>
      </w:r>
      <w:r>
        <w:t xml:space="preserve"> </w:t>
      </w:r>
      <w:r>
        <w:t xml:space="preserve">CEC2017 dimension, and re-runs DT-GSK at that dimension under the</w:t>
      </w:r>
      <w:r>
        <w:t xml:space="preserve"> </w:t>
      </w:r>
      <w:r>
        <w:t xml:space="preserve">transplanted profile — mechanically a single-dimension transplant of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kind, so a shift changes the complete</w:t>
      </w:r>
      <w:r>
        <w:t xml:space="preserve"> </w:t>
      </w:r>
      <w:r>
        <w:t xml:space="preserve">resolved profile and, by the registered rule, no difference is attributed to</w:t>
      </w:r>
      <w:r>
        <w:t xml:space="preserve"> </w:t>
      </w:r>
      <w:r>
        <w:t xml:space="preserve">any individual mechanism. Four cells were executed at 15 paired runs on the</w:t>
      </w:r>
      <w:r>
        <w:t xml:space="preserve"> </w:t>
      </w:r>
      <w:r>
        <w:t xml:space="preserve">unified schedule, against the frozen tiered leg restricted to the same runs;</w:t>
      </w:r>
      <w:r>
        <w:t xml:space="preserve"> </w:t>
      </w:r>
      <w:r>
        <w:t xml:space="preserve">the fifth registered cell (boundary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coincides by</w:t>
      </w:r>
      <w:r>
        <w:t xml:space="preserve"> </w:t>
      </w:r>
      <w:r>
        <w:t xml:space="preserve">construction with the U-low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reuses those 51 runs</w:t>
      </w:r>
      <w:r>
        <w:t xml:space="preserve"> </w:t>
      </w:r>
      <w:r>
        <w:t xml:space="preserve">rather than re-executing them. The T2/T3 boundary admits only the upper-side</w:t>
      </w:r>
      <w:r>
        <w:t xml:space="preserve"> </w:t>
      </w:r>
      <w:r>
        <w:t xml:space="preserve">shift: no official dimension lies between 50 and 100. The new arms are</w:t>
      </w:r>
      <w:r>
        <w:t xml:space="preserve"> </w:t>
      </w:r>
      <w:r>
        <w:t xml:space="preserve">carried by the separate additive release rev2-rel-2026-08-28-203c78744;</w:t>
      </w:r>
      <w:r>
        <w:t xml:space="preserve"> </w:t>
      </w:r>
      <w:r>
        <w:t xml:space="preserve">nothing earlier is re-minted. Table </w:t>
      </w:r>
      <w:r>
        <w:fldChar w:fldCharType="begin"/>
      </w:r>
      <w:r>
        <w:instrText xml:space="preserve"> REF ref_tab_rev_e5 \h </w:instrText>
      </w:r>
      <w:r>
        <w:fldChar w:fldCharType="separate"/>
      </w:r>
      <w:r>
        <w:t xml:space="preserve">A47</w:t>
      </w:r>
      <w:r>
        <w:fldChar w:fldCharType="end"/>
      </w:r>
      <w:r>
        <w:t xml:space="preserve"> reports the five</w:t>
      </w:r>
      <w:r>
        <w:t xml:space="preserve"> </w:t>
      </w:r>
      <w:r>
        <w:t xml:space="preserve">registered contrasts.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5" w:name="ref_tab_rev_e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47</w:t>
      </w:r>
      <w:r>
        <w:fldChar w:fldCharType="end"/>
      </w:r>
      <w:bookmarkEnd w:id="355"/>
      <w:r>
        <w:rPr>
          <w:b/>
        </w:rPr>
        <w:t xml:space="preserve">. </w:t>
      </w:r>
      <w:r>
        <w:t xml:space="preserve"> Dimension-boundary sensitivity on CEC2017 (E5). One Holm family</w:t>
      </w:r>
      <w:r>
        <w:t xml:space="preserve"> </w:t>
      </w:r>
      <w:r>
        <w:t xml:space="preserve">across the five registered boundary contrasts; four cells use 15 paired runs</w:t>
      </w:r>
      <w:r>
        <w:t xml:space="preserve"> </w:t>
      </w:r>
      <w:r>
        <w:t xml:space="preserve">against the frozen tiered leg restricted to the same runs, and 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reuses the 51 runs of the corresponding transplant; paired</w:t>
      </w:r>
      <w:r>
        <w:t xml:space="preserve"> </w:t>
      </w:r>
      <w:r>
        <w:t xml:space="preserve">Wilcoxon on</w:t>
      </w:r>
      <w:r>
        <w:t xml:space="preserve"> </w:t>
      </w:r>
      <w:r>
        <w:t xml:space="preserve">per-function means under the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rule, against the frozen</w:t>
      </w:r>
      <w:r>
        <w:t xml:space="preserve"> </w:t>
      </w:r>
      <w:r>
        <w:t xml:space="preserve">tiered leg restricted to the same runs; W/T/L counted from the tiered side;</w:t>
      </w:r>
      <w:r>
        <w:t xml:space="preserve"> </w:t>
      </w:r>
      <w:r>
        <w:t xml:space="preserve">the ordinal column re-ranks the panel with only the DT-GSK column</w:t>
      </w:r>
      <w:r>
        <w:t xml:space="preserve"> </w:t>
      </w:r>
      <w:r>
        <w:t xml:space="preserve">substituted.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reuses the U-low arm (51</w:t>
      </w:r>
      <w:r>
        <w:t xml:space="preserve"> </w:t>
      </w:r>
      <w:r>
        <w:t xml:space="preserve">runs).</w:t>
      </w:r>
    </w:p>
    <w:tbl>
      <w:tblPr>
        <w:tblStyle w:val="Table"/>
        <w:tblW w:w="57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imension-boundary sensitivity (E5, boundary half): each cell shifts one tier boundary far enough to change the profile assigned to the nearest official CEC2017 dimension."/>
        <w:tblDescription w:val="Dimension-boundary sensitivity (E5, boundary half): each cell shifts one tier boundary far enough to change the profile assigned to the nearest official CEC2017 dimension."/>
        <w:tblLook w:val="04A0" w:firstRow="1" w:lastRow="0" w:firstColumn="0" w:lastColumn="0" w:noHBand="0" w:noVBand="1"/>
      </w:tblPr>
      <w:tblGrid>
        <w:gridCol w:w="760"/>
        <w:gridCol w:w="320"/>
        <w:gridCol w:w="408"/>
        <w:gridCol w:w="584"/>
        <w:gridCol w:w="408"/>
        <w:gridCol w:w="672"/>
        <w:gridCol w:w="496"/>
        <w:gridCol w:w="496"/>
        <w:gridCol w:w="672"/>
        <w:gridCol w:w="936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Boundary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Runs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Tiered 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Reading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20-&gt;10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20/4/5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1-&gt;4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20-&gt;31 ‡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6/3/20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50-&gt;30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0.0022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5/2/22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0.478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50-&gt;51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0.411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16/0/13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T2/T3 100-&gt;101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0.0148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7/0/22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0.483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</w:tbl>
    <w:p>
      <w:pPr>
        <w:pStyle w:val="BodyText"/>
      </w:pPr>
      <w:r>
        <w:t xml:space="preserve">The result is mixed in an informative way, and the adverse cells are reported</w:t>
      </w:r>
      <w:r>
        <w:t xml:space="preserve"> </w:t>
      </w:r>
      <w:r>
        <w:t xml:space="preserve">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shipped middle profile is beaten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by the low-tier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finding restated in boundary terms) and by</w:t>
      </w:r>
      <w:r>
        <w:t xml:space="preserve"> </w:t>
      </w:r>
      <w:r>
        <w:t xml:space="preserve">the structure-tier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22 of 29</w:t>
      </w:r>
      <w:r>
        <w:t xml:space="preserve"> </w:t>
      </w:r>
      <w:r>
        <w:t xml:space="preserve">functions), each lifting the descriptive ordinal from second to 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</w:t>
      </w:r>
      <w:r>
        <w:t xml:space="preserve"> </w:t>
      </w:r>
      <w:r>
        <w:t xml:space="preserve">means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22 of 29) while the family</w:t>
      </w:r>
      <w:r>
        <w:t xml:space="preserve"> </w:t>
      </w:r>
      <w:r>
        <w:t xml:space="preserve">ordinal is unchanged at first. The boundaries are insensitive where the</w:t>
      </w:r>
      <w:r>
        <w:t xml:space="preserve"> </w:t>
      </w:r>
      <w:r>
        <w:t xml:space="preserve">narrowed contribution claims them: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shift is not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0.11</m:t>
        </m:r>
      </m:oMath>
      <w:r>
        <w:t xml:space="preserve">, the tiered arm ahead on 20 of 29 and the</w:t>
      </w:r>
      <w:r>
        <w:t xml:space="preserve"> </w:t>
      </w:r>
      <w:r>
        <w:t xml:space="preserve">transplant dropping the descriptive ordinal to fourth),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</w:t>
      </w:r>
      <w:r>
        <w:t xml:space="preserve"> </w:t>
      </w:r>
      <w:r>
        <w:t xml:space="preserve">not separated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). Contribution C2, as narrowed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is therefore untouched by every cell;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findings extend the disclosed profile mis-specification and enter</w:t>
      </w:r>
      <w:r>
        <w:t xml:space="preserve"> </w:t>
      </w:r>
      <w:r>
        <w:t xml:space="preserve">the limitations, not the claims.</w:t>
      </w:r>
    </w:p>
    <w:bookmarkEnd w:id="213"/>
    <w:bookmarkEnd w:id="214"/>
    <w:bookmarkStart w:id="22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15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6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8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9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20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21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22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23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24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25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21" Target="https://doi.org/10.1007/s00202-023-01803-9" TargetMode="External"/><Relationship Type="http://schemas.openxmlformats.org/officeDocument/2006/relationships/hyperlink" Id="rId218" Target="https://doi.org/10.1007/s13042-019-01053-x" TargetMode="External"/><Relationship Type="http://schemas.openxmlformats.org/officeDocument/2006/relationships/hyperlink" Id="rId223" Target="https://doi.org/10.1016/j.rico.2025.100542" TargetMode="External"/><Relationship Type="http://schemas.openxmlformats.org/officeDocument/2006/relationships/hyperlink" Id="rId216" Target="https://doi.org/10.1080/01621459.1937.10503522" TargetMode="External"/><Relationship Type="http://schemas.openxmlformats.org/officeDocument/2006/relationships/hyperlink" Id="rId220" Target="https://doi.org/10.1109/ACCESS.2021.3076091" TargetMode="External"/><Relationship Type="http://schemas.openxmlformats.org/officeDocument/2006/relationships/hyperlink" Id="rId225" Target="https://doi.org/10.1109/CEC.2013.6557901" TargetMode="External"/><Relationship Type="http://schemas.openxmlformats.org/officeDocument/2006/relationships/hyperlink" Id="rId224" Target="https://doi.org/10.1109/CEC.2018.8477755" TargetMode="External"/><Relationship Type="http://schemas.openxmlformats.org/officeDocument/2006/relationships/hyperlink" Id="rId219" Target="https://doi.org/10.1109/CEC48606.2020.9185901" TargetMode="External"/><Relationship Type="http://schemas.openxmlformats.org/officeDocument/2006/relationships/hyperlink" Id="rId217" Target="https://doi.org/10.1201/9780429246593" TargetMode="External"/><Relationship Type="http://schemas.openxmlformats.org/officeDocument/2006/relationships/hyperlink" Id="rId215" Target="https://doi.org/10.2307/3001968" TargetMode="External"/><Relationship Type="http://schemas.openxmlformats.org/officeDocument/2006/relationships/hyperlink" Id="rId222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1" Target="https://doi.org/10.1007/s00202-023-01803-9" TargetMode="External" /><Relationship Type="http://schemas.openxmlformats.org/officeDocument/2006/relationships/hyperlink" Id="rId218" Target="https://doi.org/10.1007/s13042-019-01053-x" TargetMode="External" /><Relationship Type="http://schemas.openxmlformats.org/officeDocument/2006/relationships/hyperlink" Id="rId223" Target="https://doi.org/10.1016/j.rico.2025.100542" TargetMode="External" /><Relationship Type="http://schemas.openxmlformats.org/officeDocument/2006/relationships/hyperlink" Id="rId216" Target="https://doi.org/10.1080/01621459.1937.10503522" TargetMode="External" /><Relationship Type="http://schemas.openxmlformats.org/officeDocument/2006/relationships/hyperlink" Id="rId220" Target="https://doi.org/10.1109/ACCESS.2021.3076091" TargetMode="External" /><Relationship Type="http://schemas.openxmlformats.org/officeDocument/2006/relationships/hyperlink" Id="rId225" Target="https://doi.org/10.1109/CEC.2013.6557901" TargetMode="External" /><Relationship Type="http://schemas.openxmlformats.org/officeDocument/2006/relationships/hyperlink" Id="rId224" Target="https://doi.org/10.1109/CEC.2018.8477755" TargetMode="External" /><Relationship Type="http://schemas.openxmlformats.org/officeDocument/2006/relationships/hyperlink" Id="rId219" Target="https://doi.org/10.1109/CEC48606.2020.9185901" TargetMode="External" /><Relationship Type="http://schemas.openxmlformats.org/officeDocument/2006/relationships/hyperlink" Id="rId217" Target="https://doi.org/10.1201/9780429246593" TargetMode="External" /><Relationship Type="http://schemas.openxmlformats.org/officeDocument/2006/relationships/hyperlink" Id="rId215" Target="https://doi.org/10.2307/3001968" TargetMode="External" /><Relationship Type="http://schemas.openxmlformats.org/officeDocument/2006/relationships/hyperlink" Id="rId222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mechanism-isolation and sensitivity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