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194" w:rsidRDefault="00023194"/>
    <w:p w:rsidR="009F73A0" w:rsidRDefault="009F73A0">
      <w:r w:rsidRPr="009F73A0">
        <w:t>Abstract</w:t>
      </w:r>
    </w:p>
    <w:p w:rsidR="009F73A0" w:rsidRDefault="009F73A0">
      <w:r w:rsidRPr="009F73A0">
        <w:t xml:space="preserve">This project presents a machine learning-based system for predicting an individual's risk of diabetes using lifestyle, clinical, and demographic metrics. Multiple models </w:t>
      </w:r>
      <w:proofErr w:type="gramStart"/>
      <w:r w:rsidRPr="009F73A0">
        <w:t>were evaluated</w:t>
      </w:r>
      <w:proofErr w:type="gramEnd"/>
      <w:r w:rsidRPr="009F73A0">
        <w:t xml:space="preserve">, with </w:t>
      </w:r>
      <w:proofErr w:type="spellStart"/>
      <w:r w:rsidRPr="009F73A0">
        <w:t>CatBoost</w:t>
      </w:r>
      <w:proofErr w:type="spellEnd"/>
      <w:r w:rsidRPr="009F73A0">
        <w:t xml:space="preserve"> selected for its strong performance. During development, feature importance analysis revealed that near-diagnostic clinical markers like "HbA1c" and "glucose levels" dominated model predictions, overshadowing lifestyle factors such as physical activity and mental health that the project aimed to highlight. Two model variants </w:t>
      </w:r>
      <w:proofErr w:type="gramStart"/>
      <w:r w:rsidRPr="009F73A0">
        <w:t>were compared</w:t>
      </w:r>
      <w:proofErr w:type="gramEnd"/>
      <w:r w:rsidRPr="009F73A0">
        <w:t xml:space="preserve">: one including HbA1c (92% accuracy, with HbA1c contributing 81% of feature importance) and one excluding it (84.5% accuracy, with glucose measurements then dominating instead). This finding highlights a key limitation in using near-diagnostic features for behavioral risk prediction, and underscores the importance of rigorous feature evaluation in health-related machine learning applications. The system </w:t>
      </w:r>
      <w:proofErr w:type="gramStart"/>
      <w:r w:rsidRPr="009F73A0">
        <w:t>was deployed</w:t>
      </w:r>
      <w:proofErr w:type="gramEnd"/>
      <w:r w:rsidRPr="009F73A0">
        <w:t xml:space="preserve"> as an interactive web application via </w:t>
      </w:r>
      <w:proofErr w:type="spellStart"/>
      <w:r w:rsidRPr="009F73A0">
        <w:t>Streamlit</w:t>
      </w:r>
      <w:proofErr w:type="spellEnd"/>
      <w:r w:rsidRPr="009F73A0">
        <w:t>, allowing users to input their own health and lifestyle metrics to receive a real-time risk assessment.</w:t>
      </w:r>
    </w:p>
    <w:p w:rsidR="009F73A0" w:rsidRDefault="009F73A0" w:rsidP="009F73A0">
      <w:r>
        <w:t>1. Introduction</w:t>
      </w:r>
    </w:p>
    <w:p w:rsidR="009F73A0" w:rsidRDefault="009F73A0" w:rsidP="009F73A0">
      <w:r>
        <w:t xml:space="preserve">Diabetes is a chronic metabolic disorder affecting millions of people worldwide, with Type 2 diabetes representing the majority of cases and </w:t>
      </w:r>
      <w:proofErr w:type="gramStart"/>
      <w:r>
        <w:t>being strongly linked</w:t>
      </w:r>
      <w:proofErr w:type="gramEnd"/>
      <w:r>
        <w:t xml:space="preserve"> to lifestyle factors such as physical inactivity, poor diet, and obesity. Early identification of individuals at risk enables timely intervention, potentially delaying or preventing disease onset. However, diabetes risk assessment often relies heavily on clinical laboratory tests, such as fasting glucose or HbA1c levels, which require medical visits and blood work — creating a barrier for individuals who may not have regular access to healthcare or who wish to self-assess their risk informally.</w:t>
      </w:r>
    </w:p>
    <w:p w:rsidR="009F73A0" w:rsidRDefault="009F73A0" w:rsidP="009F73A0">
      <w:r>
        <w:t xml:space="preserve">This project aims to build a machine learning-based diabetes risk prediction system that takes into account a broad range of health, lifestyle, and demographic factors — including physical activity, diet quality, sleep, screen time, and clinical measurements — to estimate an individual's likelihood of having diabetes. The system </w:t>
      </w:r>
      <w:proofErr w:type="gramStart"/>
      <w:r>
        <w:t>was developed</w:t>
      </w:r>
      <w:proofErr w:type="gramEnd"/>
      <w:r>
        <w:t xml:space="preserve"> using the </w:t>
      </w:r>
      <w:proofErr w:type="spellStart"/>
      <w:r>
        <w:t>CatBoost</w:t>
      </w:r>
      <w:proofErr w:type="spellEnd"/>
      <w:r>
        <w:t xml:space="preserve"> gradient boosting algorithm and deployed as an interactive web application, allowing users to input their own metrics and receive an immediate risk assessment.</w:t>
      </w:r>
    </w:p>
    <w:p w:rsidR="009F73A0" w:rsidRDefault="009F73A0" w:rsidP="009F73A0">
      <w:r>
        <w:t>Beyond building a functional predictive tool, this project also investigates the relative contribution of different feature categories — particularly the extent to which near-diagnostic clinical markers versus modifiable lifestyle factors drive model predictions. This distinction matters practically: a model that depends primarily on clinical lab values offers limited actionable insight to users, whereas a model that meaningfully captures lifestyle risk factors could support genuine behavioral awareness and early self-assessment.</w:t>
      </w:r>
    </w:p>
    <w:p w:rsidR="009F73A0" w:rsidRDefault="009F73A0" w:rsidP="009F73A0">
      <w:r>
        <w:t>Objective:</w:t>
      </w:r>
      <w:r>
        <w:t xml:space="preserve"> </w:t>
      </w:r>
    </w:p>
    <w:p w:rsidR="009F73A0" w:rsidRDefault="009F73A0" w:rsidP="009F73A0">
      <w:r>
        <w:t>The primary objectives of this project are to (1) develop an accurate diabetes prediction model using patient health and lifestyle data, (2) deploy the model as an accessible web-based tool, and (3) critically evaluate which features drive model predictions, with attention to the balance between clinical and lifestyle indicators.</w:t>
      </w:r>
    </w:p>
    <w:p w:rsidR="009F73A0" w:rsidRDefault="00A75CFB" w:rsidP="009F73A0">
      <w:r>
        <w:lastRenderedPageBreak/>
        <w:t>3. Methodology</w:t>
      </w:r>
    </w:p>
    <w:p w:rsidR="009F73A0" w:rsidRDefault="009F73A0" w:rsidP="009F73A0"/>
    <w:p w:rsidR="009F73A0" w:rsidRDefault="00162EC0" w:rsidP="009F73A0">
      <w:r>
        <w:t>3.1 Dataset</w:t>
      </w:r>
    </w:p>
    <w:p w:rsidR="009F73A0" w:rsidRDefault="009F73A0" w:rsidP="009F73A0">
      <w:r>
        <w:t>The dataset used is the _Diabetes Health Indicators Dataset_ (</w:t>
      </w:r>
      <w:proofErr w:type="spellStart"/>
      <w:r>
        <w:t>Thalla</w:t>
      </w:r>
      <w:proofErr w:type="spellEnd"/>
      <w:r>
        <w:t xml:space="preserve">, </w:t>
      </w:r>
      <w:proofErr w:type="spellStart"/>
      <w:r>
        <w:t>Kaggle</w:t>
      </w:r>
      <w:proofErr w:type="spellEnd"/>
      <w:r>
        <w:t xml:space="preserve">), comprising approximately 100,000 patient records with health, lifestyle, and demographic attributes. Given the scale and structure of the data, it </w:t>
      </w:r>
      <w:proofErr w:type="gramStart"/>
      <w:r>
        <w:t>is treated</w:t>
      </w:r>
      <w:proofErr w:type="gramEnd"/>
      <w:r>
        <w:t xml:space="preserve"> as a large-scale simulated dataset rather than raw clinical records, suitable for model development and evaluation purposes.</w:t>
      </w:r>
    </w:p>
    <w:p w:rsidR="009F73A0" w:rsidRDefault="009F73A0" w:rsidP="009F73A0"/>
    <w:p w:rsidR="009F73A0" w:rsidRDefault="00162EC0" w:rsidP="009F73A0">
      <w:r>
        <w:t>3.2 Preprocessing</w:t>
      </w:r>
    </w:p>
    <w:p w:rsidR="009F73A0" w:rsidRDefault="009F73A0" w:rsidP="009F73A0">
      <w:r>
        <w:t xml:space="preserve">The dataset </w:t>
      </w:r>
      <w:proofErr w:type="gramStart"/>
      <w:r>
        <w:t>was checked</w:t>
      </w:r>
      <w:proofErr w:type="gramEnd"/>
      <w:r>
        <w:t xml:space="preserve"> for missing values and duplicate records prior to modeling. Categorical variables like ethnicity, education level, employment status, and smoking status that </w:t>
      </w:r>
      <w:proofErr w:type="gramStart"/>
      <w:r>
        <w:t>were transformed</w:t>
      </w:r>
      <w:proofErr w:type="gramEnd"/>
      <w:r>
        <w:t xml:space="preserve"> using one-hot encoding (with the first category dropped to avoid </w:t>
      </w:r>
      <w:proofErr w:type="spellStart"/>
      <w:r>
        <w:t>multicollinearity</w:t>
      </w:r>
      <w:proofErr w:type="spellEnd"/>
      <w:r>
        <w:t>). Continuous features (e.g., age, BMI, blood pressure, cholesterol, glucose measures) were scaled using `</w:t>
      </w:r>
      <w:proofErr w:type="spellStart"/>
      <w:r>
        <w:t>RobustScaler</w:t>
      </w:r>
      <w:proofErr w:type="spellEnd"/>
      <w:r>
        <w:t>`, which is robust to outliers, fit on the training set and applied to both training and test sets to avoid data leakage from scaling.</w:t>
      </w:r>
    </w:p>
    <w:p w:rsidR="009F73A0" w:rsidRDefault="009F73A0" w:rsidP="009F73A0"/>
    <w:p w:rsidR="009F73A0" w:rsidRDefault="00162EC0" w:rsidP="009F73A0">
      <w:r>
        <w:t>3.3 Train/Test Split</w:t>
      </w:r>
    </w:p>
    <w:p w:rsidR="009F73A0" w:rsidRDefault="009F73A0" w:rsidP="009F73A0">
      <w:r>
        <w:t>The dataset was split into training (80%) and test (20%) sets using stratified sampling on the target variable (`</w:t>
      </w:r>
      <w:proofErr w:type="spellStart"/>
      <w:r>
        <w:t>diagnosed_diabetes</w:t>
      </w:r>
      <w:proofErr w:type="spellEnd"/>
      <w:r>
        <w:t>`) to preserve class balance, with a fixed random seed (42) for reproducibility.</w:t>
      </w:r>
    </w:p>
    <w:p w:rsidR="009F73A0" w:rsidRDefault="009F73A0" w:rsidP="009F73A0"/>
    <w:p w:rsidR="009F73A0" w:rsidRDefault="00162EC0" w:rsidP="009F73A0">
      <w:r>
        <w:t>3.4 Model Comparison</w:t>
      </w:r>
    </w:p>
    <w:p w:rsidR="009F73A0" w:rsidRDefault="009F73A0" w:rsidP="009F73A0">
      <w:r>
        <w:t xml:space="preserve">Seven classification algorithms </w:t>
      </w:r>
      <w:proofErr w:type="gramStart"/>
      <w:r>
        <w:t>were trained and evaluated on identical train/test splits</w:t>
      </w:r>
      <w:proofErr w:type="gramEnd"/>
      <w:r>
        <w:t xml:space="preserve">: Logistic Regression, K-Nearest Neighbors, Decision Tree, Random Forest, Support Vector Machine (SVM), </w:t>
      </w:r>
      <w:proofErr w:type="spellStart"/>
      <w:r>
        <w:t>XGBoost</w:t>
      </w:r>
      <w:proofErr w:type="spellEnd"/>
      <w:r>
        <w:t xml:space="preserve">, and </w:t>
      </w:r>
      <w:proofErr w:type="spellStart"/>
      <w:r>
        <w:t>CatBoost</w:t>
      </w:r>
      <w:proofErr w:type="spellEnd"/>
      <w:r>
        <w:t>. Test-set accuracy for each model was as follows:</w:t>
      </w:r>
    </w:p>
    <w:tbl>
      <w:tblPr>
        <w:tblStyle w:val="TableGrid"/>
        <w:tblW w:w="0" w:type="auto"/>
        <w:tblLook w:val="04A0" w:firstRow="1" w:lastRow="0" w:firstColumn="1" w:lastColumn="0" w:noHBand="0" w:noVBand="1"/>
      </w:tblPr>
      <w:tblGrid>
        <w:gridCol w:w="4675"/>
        <w:gridCol w:w="4675"/>
      </w:tblGrid>
      <w:tr w:rsidR="00A75CFB" w:rsidTr="00A75CFB">
        <w:tc>
          <w:tcPr>
            <w:tcW w:w="4675" w:type="dxa"/>
          </w:tcPr>
          <w:p w:rsidR="00A75CFB" w:rsidRDefault="00A75CFB" w:rsidP="009F73A0">
            <w:r>
              <w:t>Model</w:t>
            </w:r>
          </w:p>
        </w:tc>
        <w:tc>
          <w:tcPr>
            <w:tcW w:w="4675" w:type="dxa"/>
          </w:tcPr>
          <w:p w:rsidR="00A75CFB" w:rsidRDefault="00A75CFB" w:rsidP="009F73A0">
            <w:r>
              <w:t>Accuracy</w:t>
            </w:r>
          </w:p>
        </w:tc>
      </w:tr>
      <w:tr w:rsidR="00A75CFB" w:rsidTr="00A75CFB">
        <w:tc>
          <w:tcPr>
            <w:tcW w:w="4675" w:type="dxa"/>
          </w:tcPr>
          <w:p w:rsidR="00A75CFB" w:rsidRDefault="00A75CFB" w:rsidP="009F73A0">
            <w:r>
              <w:t>Logistic Regression</w:t>
            </w:r>
          </w:p>
        </w:tc>
        <w:tc>
          <w:tcPr>
            <w:tcW w:w="4675" w:type="dxa"/>
          </w:tcPr>
          <w:p w:rsidR="00A75CFB" w:rsidRDefault="00A75CFB" w:rsidP="009F73A0">
            <w:r>
              <w:t>86.0%</w:t>
            </w:r>
          </w:p>
        </w:tc>
      </w:tr>
      <w:tr w:rsidR="00A75CFB" w:rsidTr="00A75CFB">
        <w:tc>
          <w:tcPr>
            <w:tcW w:w="4675" w:type="dxa"/>
          </w:tcPr>
          <w:p w:rsidR="00A75CFB" w:rsidRDefault="00A75CFB" w:rsidP="009F73A0">
            <w:r>
              <w:t>K-Nearest Neighbors</w:t>
            </w:r>
          </w:p>
        </w:tc>
        <w:tc>
          <w:tcPr>
            <w:tcW w:w="4675" w:type="dxa"/>
          </w:tcPr>
          <w:p w:rsidR="00A75CFB" w:rsidRDefault="00A75CFB" w:rsidP="009F73A0">
            <w:r>
              <w:t>80.8%</w:t>
            </w:r>
          </w:p>
        </w:tc>
      </w:tr>
      <w:tr w:rsidR="00A75CFB" w:rsidTr="00A75CFB">
        <w:tc>
          <w:tcPr>
            <w:tcW w:w="4675" w:type="dxa"/>
          </w:tcPr>
          <w:p w:rsidR="00A75CFB" w:rsidRDefault="00A75CFB" w:rsidP="009F73A0">
            <w:r>
              <w:t>Decision Tree</w:t>
            </w:r>
          </w:p>
        </w:tc>
        <w:tc>
          <w:tcPr>
            <w:tcW w:w="4675" w:type="dxa"/>
          </w:tcPr>
          <w:p w:rsidR="00A75CFB" w:rsidRDefault="00A75CFB" w:rsidP="009F73A0">
            <w:r>
              <w:t>86.0%</w:t>
            </w:r>
          </w:p>
        </w:tc>
      </w:tr>
      <w:tr w:rsidR="00A75CFB" w:rsidTr="00A75CFB">
        <w:tc>
          <w:tcPr>
            <w:tcW w:w="4675" w:type="dxa"/>
          </w:tcPr>
          <w:p w:rsidR="00A75CFB" w:rsidRDefault="00A75CFB" w:rsidP="009F73A0">
            <w:r>
              <w:t>Random Forest</w:t>
            </w:r>
          </w:p>
        </w:tc>
        <w:tc>
          <w:tcPr>
            <w:tcW w:w="4675" w:type="dxa"/>
          </w:tcPr>
          <w:p w:rsidR="00A75CFB" w:rsidRDefault="00A75CFB" w:rsidP="009F73A0">
            <w:r>
              <w:t>92.0%</w:t>
            </w:r>
          </w:p>
        </w:tc>
      </w:tr>
      <w:tr w:rsidR="00A75CFB" w:rsidTr="00A75CFB">
        <w:tc>
          <w:tcPr>
            <w:tcW w:w="4675" w:type="dxa"/>
          </w:tcPr>
          <w:p w:rsidR="00A75CFB" w:rsidRDefault="00A75CFB" w:rsidP="009F73A0">
            <w:r>
              <w:t>SVM</w:t>
            </w:r>
          </w:p>
        </w:tc>
        <w:tc>
          <w:tcPr>
            <w:tcW w:w="4675" w:type="dxa"/>
          </w:tcPr>
          <w:p w:rsidR="00A75CFB" w:rsidRDefault="00A75CFB" w:rsidP="009F73A0">
            <w:r>
              <w:t>89.5%</w:t>
            </w:r>
          </w:p>
        </w:tc>
      </w:tr>
      <w:tr w:rsidR="00A75CFB" w:rsidTr="00A75CFB">
        <w:tc>
          <w:tcPr>
            <w:tcW w:w="4675" w:type="dxa"/>
          </w:tcPr>
          <w:p w:rsidR="00A75CFB" w:rsidRDefault="00A75CFB" w:rsidP="009F73A0">
            <w:proofErr w:type="spellStart"/>
            <w:r>
              <w:t>XGBoost</w:t>
            </w:r>
            <w:proofErr w:type="spellEnd"/>
          </w:p>
        </w:tc>
        <w:tc>
          <w:tcPr>
            <w:tcW w:w="4675" w:type="dxa"/>
          </w:tcPr>
          <w:p w:rsidR="00A75CFB" w:rsidRDefault="00A75CFB" w:rsidP="009F73A0">
            <w:r>
              <w:t>91.8%</w:t>
            </w:r>
          </w:p>
        </w:tc>
      </w:tr>
      <w:tr w:rsidR="00A75CFB" w:rsidTr="00A75CFB">
        <w:tc>
          <w:tcPr>
            <w:tcW w:w="4675" w:type="dxa"/>
          </w:tcPr>
          <w:p w:rsidR="00A75CFB" w:rsidRDefault="00A75CFB" w:rsidP="009F73A0">
            <w:proofErr w:type="spellStart"/>
            <w:r>
              <w:t>CatBoost</w:t>
            </w:r>
            <w:proofErr w:type="spellEnd"/>
          </w:p>
        </w:tc>
        <w:tc>
          <w:tcPr>
            <w:tcW w:w="4675" w:type="dxa"/>
          </w:tcPr>
          <w:p w:rsidR="00A75CFB" w:rsidRDefault="00A75CFB" w:rsidP="009F73A0">
            <w:r>
              <w:t>92.0%</w:t>
            </w:r>
          </w:p>
        </w:tc>
      </w:tr>
    </w:tbl>
    <w:p w:rsidR="009F73A0" w:rsidRDefault="009F73A0" w:rsidP="009F73A0"/>
    <w:p w:rsidR="00A75CFB" w:rsidRDefault="00A75CFB" w:rsidP="009F73A0"/>
    <w:p w:rsidR="00A75CFB" w:rsidRDefault="00A75CFB" w:rsidP="009F73A0"/>
    <w:p w:rsidR="009F73A0" w:rsidRDefault="009F73A0" w:rsidP="009F73A0">
      <w:r>
        <w:lastRenderedPageBreak/>
        <w:t>3.5 F</w:t>
      </w:r>
      <w:r>
        <w:t>inal Model Selection</w:t>
      </w:r>
    </w:p>
    <w:p w:rsidR="009F73A0" w:rsidRDefault="009F73A0" w:rsidP="009F73A0">
      <w:proofErr w:type="spellStart"/>
      <w:r>
        <w:t>CatBoost</w:t>
      </w:r>
      <w:proofErr w:type="spellEnd"/>
      <w:r>
        <w:t xml:space="preserve"> </w:t>
      </w:r>
      <w:proofErr w:type="gramStart"/>
      <w:r>
        <w:t>was selected</w:t>
      </w:r>
      <w:proofErr w:type="gramEnd"/>
      <w:r>
        <w:t xml:space="preserve"> as the final model, achieving the highest test accuracy (91.98%) among all models evaluated, narrowly ahead of Random Forest (91.96%) and </w:t>
      </w:r>
      <w:proofErr w:type="spellStart"/>
      <w:r>
        <w:t>XGBoost</w:t>
      </w:r>
      <w:proofErr w:type="spellEnd"/>
      <w:r>
        <w:t xml:space="preserve"> (91.8%). </w:t>
      </w:r>
      <w:proofErr w:type="spellStart"/>
      <w:r>
        <w:t>CatBoost</w:t>
      </w:r>
      <w:proofErr w:type="spellEnd"/>
      <w:r>
        <w:t xml:space="preserve"> was also favored for its native handling of categorical features and strong out-of-the-box performance without extensive </w:t>
      </w:r>
      <w:proofErr w:type="spellStart"/>
      <w:r>
        <w:t>hyperparameter</w:t>
      </w:r>
      <w:proofErr w:type="spellEnd"/>
      <w:r>
        <w:t xml:space="preserve"> tuning.</w:t>
      </w:r>
    </w:p>
    <w:p w:rsidR="009F73A0" w:rsidRDefault="009F73A0" w:rsidP="009F73A0"/>
    <w:p w:rsidR="009F73A0" w:rsidRDefault="00162EC0" w:rsidP="009F73A0">
      <w:r>
        <w:t>4. Results</w:t>
      </w:r>
    </w:p>
    <w:p w:rsidR="009F73A0" w:rsidRDefault="009F73A0" w:rsidP="009F73A0"/>
    <w:p w:rsidR="009F73A0" w:rsidRDefault="009F73A0" w:rsidP="00A75CFB">
      <w:r>
        <w:t xml:space="preserve">The final selected model — </w:t>
      </w:r>
      <w:proofErr w:type="spellStart"/>
      <w:r>
        <w:t>CatBoost</w:t>
      </w:r>
      <w:proofErr w:type="spellEnd"/>
      <w:r>
        <w:t xml:space="preserve"> trained without HbA1c — achieved an accuracy of **84.5%** on the held-out test set.</w:t>
      </w:r>
    </w:p>
    <w:tbl>
      <w:tblPr>
        <w:tblStyle w:val="TableGrid"/>
        <w:tblW w:w="0" w:type="auto"/>
        <w:tblLook w:val="04A0" w:firstRow="1" w:lastRow="0" w:firstColumn="1" w:lastColumn="0" w:noHBand="0" w:noVBand="1"/>
      </w:tblPr>
      <w:tblGrid>
        <w:gridCol w:w="1643"/>
        <w:gridCol w:w="1567"/>
        <w:gridCol w:w="1554"/>
        <w:gridCol w:w="1617"/>
        <w:gridCol w:w="1426"/>
      </w:tblGrid>
      <w:tr w:rsidR="00A75CFB" w:rsidTr="00A75CFB">
        <w:tc>
          <w:tcPr>
            <w:tcW w:w="1643" w:type="dxa"/>
          </w:tcPr>
          <w:p w:rsidR="00A75CFB" w:rsidRDefault="00A75CFB" w:rsidP="00A75CFB">
            <w:r>
              <w:t>Class</w:t>
            </w:r>
          </w:p>
        </w:tc>
        <w:tc>
          <w:tcPr>
            <w:tcW w:w="1567" w:type="dxa"/>
          </w:tcPr>
          <w:p w:rsidR="00A75CFB" w:rsidRDefault="00A75CFB" w:rsidP="00A75CFB">
            <w:r>
              <w:t>Precision</w:t>
            </w:r>
          </w:p>
        </w:tc>
        <w:tc>
          <w:tcPr>
            <w:tcW w:w="1554" w:type="dxa"/>
          </w:tcPr>
          <w:p w:rsidR="00A75CFB" w:rsidRDefault="00A75CFB" w:rsidP="00A75CFB">
            <w:r>
              <w:t>Recall</w:t>
            </w:r>
          </w:p>
        </w:tc>
        <w:tc>
          <w:tcPr>
            <w:tcW w:w="1617" w:type="dxa"/>
          </w:tcPr>
          <w:p w:rsidR="00A75CFB" w:rsidRDefault="00A75CFB" w:rsidP="00A75CFB">
            <w:r>
              <w:t>F1</w:t>
            </w:r>
            <w:r>
              <w:t>-score</w:t>
            </w:r>
          </w:p>
        </w:tc>
        <w:tc>
          <w:tcPr>
            <w:tcW w:w="1426" w:type="dxa"/>
          </w:tcPr>
          <w:p w:rsidR="00A75CFB" w:rsidRDefault="00A75CFB" w:rsidP="00A75CFB">
            <w:r>
              <w:t>Support</w:t>
            </w:r>
          </w:p>
        </w:tc>
      </w:tr>
      <w:tr w:rsidR="00A75CFB" w:rsidTr="00A75CFB">
        <w:tc>
          <w:tcPr>
            <w:tcW w:w="1643" w:type="dxa"/>
          </w:tcPr>
          <w:p w:rsidR="00A75CFB" w:rsidRDefault="00A75CFB" w:rsidP="00A75CFB">
            <w:r>
              <w:t>No diabetes</w:t>
            </w:r>
          </w:p>
        </w:tc>
        <w:tc>
          <w:tcPr>
            <w:tcW w:w="1567" w:type="dxa"/>
          </w:tcPr>
          <w:p w:rsidR="00A75CFB" w:rsidRDefault="00A75CFB" w:rsidP="00A75CFB">
            <w:r>
              <w:t>0.77</w:t>
            </w:r>
          </w:p>
        </w:tc>
        <w:tc>
          <w:tcPr>
            <w:tcW w:w="1554" w:type="dxa"/>
          </w:tcPr>
          <w:p w:rsidR="00A75CFB" w:rsidRDefault="00A75CFB" w:rsidP="00A75CFB">
            <w:r>
              <w:t>0.87</w:t>
            </w:r>
          </w:p>
        </w:tc>
        <w:tc>
          <w:tcPr>
            <w:tcW w:w="1617" w:type="dxa"/>
          </w:tcPr>
          <w:p w:rsidR="00A75CFB" w:rsidRDefault="00A75CFB" w:rsidP="00A75CFB">
            <w:r>
              <w:t>0.82</w:t>
            </w:r>
          </w:p>
        </w:tc>
        <w:tc>
          <w:tcPr>
            <w:tcW w:w="1426" w:type="dxa"/>
          </w:tcPr>
          <w:p w:rsidR="00A75CFB" w:rsidRDefault="00A75CFB" w:rsidP="00A75CFB">
            <w:r>
              <w:t>8000</w:t>
            </w:r>
          </w:p>
        </w:tc>
      </w:tr>
      <w:tr w:rsidR="00A75CFB" w:rsidTr="00A75CFB">
        <w:tc>
          <w:tcPr>
            <w:tcW w:w="1643" w:type="dxa"/>
          </w:tcPr>
          <w:p w:rsidR="00A75CFB" w:rsidRDefault="00A75CFB" w:rsidP="00A75CFB">
            <w:r>
              <w:t>Diabetes</w:t>
            </w:r>
          </w:p>
        </w:tc>
        <w:tc>
          <w:tcPr>
            <w:tcW w:w="1567" w:type="dxa"/>
          </w:tcPr>
          <w:p w:rsidR="00A75CFB" w:rsidRDefault="00A75CFB" w:rsidP="00A75CFB">
            <w:r>
              <w:t>0.90</w:t>
            </w:r>
          </w:p>
        </w:tc>
        <w:tc>
          <w:tcPr>
            <w:tcW w:w="1554" w:type="dxa"/>
          </w:tcPr>
          <w:p w:rsidR="00A75CFB" w:rsidRDefault="00A75CFB" w:rsidP="00A75CFB">
            <w:r>
              <w:t>0.83</w:t>
            </w:r>
          </w:p>
        </w:tc>
        <w:tc>
          <w:tcPr>
            <w:tcW w:w="1617" w:type="dxa"/>
          </w:tcPr>
          <w:p w:rsidR="00A75CFB" w:rsidRDefault="00A75CFB" w:rsidP="00A75CFB">
            <w:r>
              <w:t>0.87</w:t>
            </w:r>
          </w:p>
        </w:tc>
        <w:tc>
          <w:tcPr>
            <w:tcW w:w="1426" w:type="dxa"/>
          </w:tcPr>
          <w:p w:rsidR="00A75CFB" w:rsidRDefault="00A75CFB" w:rsidP="00A75CFB">
            <w:r>
              <w:t>12000</w:t>
            </w:r>
          </w:p>
        </w:tc>
      </w:tr>
    </w:tbl>
    <w:p w:rsidR="00A75CFB" w:rsidRDefault="00A75CFB" w:rsidP="009F73A0"/>
    <w:p w:rsidR="009F73A0" w:rsidRDefault="009F73A0" w:rsidP="009F73A0"/>
    <w:p w:rsidR="009F73A0" w:rsidRDefault="009F73A0" w:rsidP="009F73A0">
      <w:r>
        <w:t>The model achieves stronger precision on the "Diabetes" class (90%) than the "No Diabetes" class (77%), meaning it is more reliable when it predicts a positive diabetes case than when it predicts a negative one. Recall is higher for "No Diabetes" (87%) than "Diabetes" (83%), indicating a modest number of missed diabetes cases (false negatives) — a relevant consideration for a health-screening context, where minimizing false negatives is typically prioritized over overall accuracy.</w:t>
      </w:r>
    </w:p>
    <w:p w:rsidR="009F73A0" w:rsidRDefault="009F73A0" w:rsidP="009F73A0"/>
    <w:p w:rsidR="009F73A0" w:rsidRDefault="009F73A0" w:rsidP="009F73A0">
      <w:r>
        <w:t>Feature importance analysis of this model showed that, even after removing HbA1c, the model still relied predominantly on clinical glucose measurements — `</w:t>
      </w:r>
      <w:proofErr w:type="spellStart"/>
      <w:r>
        <w:t>glucose_fasting</w:t>
      </w:r>
      <w:proofErr w:type="spellEnd"/>
      <w:r>
        <w:t>` (36.9%) and `</w:t>
      </w:r>
      <w:proofErr w:type="spellStart"/>
      <w:r>
        <w:t>glucose_postprandial</w:t>
      </w:r>
      <w:proofErr w:type="spellEnd"/>
      <w:r>
        <w:t>` (31.0%) — together accounting for roughly 68% of total feature importance. Lifestyle features such as physical activity (2.8%), diet score (1.8%), and screen time (1.9%) contributed meaningfully but remained secondary to clinical markers.</w:t>
      </w:r>
    </w:p>
    <w:p w:rsidR="009F73A0" w:rsidRDefault="009F73A0" w:rsidP="009F73A0"/>
    <w:p w:rsidR="00162EC0" w:rsidRDefault="00162EC0" w:rsidP="009F73A0"/>
    <w:p w:rsidR="00162EC0" w:rsidRDefault="00162EC0" w:rsidP="009F73A0"/>
    <w:p w:rsidR="009F73A0" w:rsidRDefault="009F73A0" w:rsidP="009F73A0">
      <w:r>
        <w:t>5. Limitations &amp; Future Work</w:t>
      </w:r>
    </w:p>
    <w:p w:rsidR="009F73A0" w:rsidRDefault="009F73A0" w:rsidP="009F73A0"/>
    <w:p w:rsidR="009F73A0" w:rsidRDefault="009F73A0" w:rsidP="00162EC0">
      <w:r>
        <w:t xml:space="preserve">Several limitations </w:t>
      </w:r>
      <w:proofErr w:type="gramStart"/>
      <w:r>
        <w:t>were identified</w:t>
      </w:r>
      <w:proofErr w:type="gramEnd"/>
      <w:r>
        <w:t xml:space="preserve"> during development:</w:t>
      </w:r>
    </w:p>
    <w:p w:rsidR="009F73A0" w:rsidRDefault="009F73A0" w:rsidP="009F73A0">
      <w:r>
        <w:t>- Clinical feature dominance</w:t>
      </w:r>
      <w:r>
        <w:t xml:space="preserve">: </w:t>
      </w:r>
    </w:p>
    <w:p w:rsidR="009F73A0" w:rsidRDefault="009F73A0" w:rsidP="009F73A0">
      <w:r>
        <w:lastRenderedPageBreak/>
        <w:t>Both model variants tested relied heavily on near-diagnostic clinical markers (HbA1c or glucose measurements) rather than lifestyle factors, limiting the model's value as a genuinely behavior-based risk predictor. Future work should explore models trained exclusively on lifestyle and demographic features to isolate their independent predictive value.</w:t>
      </w:r>
    </w:p>
    <w:p w:rsidR="009F73A0" w:rsidRDefault="009F73A0" w:rsidP="009F73A0">
      <w:r>
        <w:t xml:space="preserve">- </w:t>
      </w:r>
      <w:r>
        <w:t>Tra</w:t>
      </w:r>
      <w:r>
        <w:t>in-deployment feature mismatch</w:t>
      </w:r>
      <w:r>
        <w:t xml:space="preserve">: </w:t>
      </w:r>
    </w:p>
    <w:p w:rsidR="009F73A0" w:rsidRDefault="009F73A0" w:rsidP="009F73A0">
      <w:r>
        <w:t>The deployed application does not collect HbA1c, while an early model version relied on it heavily (81% importance). No `</w:t>
      </w:r>
      <w:proofErr w:type="spellStart"/>
      <w:r>
        <w:t>save_</w:t>
      </w:r>
      <w:proofErr w:type="gramStart"/>
      <w:r>
        <w:t>model</w:t>
      </w:r>
      <w:proofErr w:type="spellEnd"/>
      <w:r>
        <w:t>(</w:t>
      </w:r>
      <w:proofErr w:type="gramEnd"/>
      <w:r>
        <w:t xml:space="preserve">)` call was present in the training notebook, so the exact correspondence between the deployed model file and a specific training run could not be confirmed. This represents a reproducibility gap that </w:t>
      </w:r>
      <w:proofErr w:type="gramStart"/>
      <w:r>
        <w:t>should be addressed</w:t>
      </w:r>
      <w:proofErr w:type="gramEnd"/>
      <w:r>
        <w:t xml:space="preserve"> by tying model artifacts explicitly to their training scripts going forward.</w:t>
      </w:r>
    </w:p>
    <w:p w:rsidR="00162EC0" w:rsidRDefault="00162EC0" w:rsidP="009F73A0">
      <w:r>
        <w:t xml:space="preserve">- No </w:t>
      </w:r>
      <w:proofErr w:type="gramStart"/>
      <w:r>
        <w:t>hyper</w:t>
      </w:r>
      <w:proofErr w:type="gramEnd"/>
      <w:r>
        <w:t xml:space="preserve"> parameter tuning</w:t>
      </w:r>
      <w:r w:rsidR="009F73A0">
        <w:t xml:space="preserve">: </w:t>
      </w:r>
    </w:p>
    <w:p w:rsidR="009F73A0" w:rsidRDefault="009F73A0" w:rsidP="009F73A0">
      <w:r>
        <w:t>All seven compared models were evaluated using default parameters. Tuning (e.g., grid search, Bayesian optimization) was not performed and could further improve performance.</w:t>
      </w:r>
    </w:p>
    <w:p w:rsidR="00162EC0" w:rsidRDefault="00162EC0" w:rsidP="009F73A0">
      <w:r>
        <w:t>- Simulated dataset</w:t>
      </w:r>
      <w:r w:rsidR="009F73A0">
        <w:t xml:space="preserve">: </w:t>
      </w:r>
    </w:p>
    <w:p w:rsidR="009F73A0" w:rsidRDefault="009F73A0" w:rsidP="009F73A0">
      <w:r>
        <w:t xml:space="preserve">The dataset, while large-scale (~100,000 records), </w:t>
      </w:r>
      <w:proofErr w:type="gramStart"/>
      <w:r>
        <w:t>is treated</w:t>
      </w:r>
      <w:proofErr w:type="gramEnd"/>
      <w:r>
        <w:t xml:space="preserve"> as simulated rather than verified clinical data, which may not fully capture real-world feature correlations or noise patterns.</w:t>
      </w:r>
    </w:p>
    <w:p w:rsidR="00162EC0" w:rsidRDefault="00162EC0" w:rsidP="009F73A0"/>
    <w:p w:rsidR="00162EC0" w:rsidRDefault="00162EC0" w:rsidP="00162EC0">
      <w:r>
        <w:t>6. Deployment</w:t>
      </w:r>
    </w:p>
    <w:p w:rsidR="00162EC0" w:rsidRDefault="00162EC0" w:rsidP="00162EC0"/>
    <w:p w:rsidR="00162EC0" w:rsidRDefault="00162EC0" w:rsidP="00162EC0">
      <w:r>
        <w:t xml:space="preserve">The final model </w:t>
      </w:r>
      <w:proofErr w:type="gramStart"/>
      <w:r>
        <w:t>was deployed</w:t>
      </w:r>
      <w:proofErr w:type="gramEnd"/>
      <w:r>
        <w:t xml:space="preserve"> as an interactive web application using </w:t>
      </w:r>
      <w:proofErr w:type="spellStart"/>
      <w:r>
        <w:t>Streamlit</w:t>
      </w:r>
      <w:proofErr w:type="spellEnd"/>
      <w:r>
        <w:t xml:space="preserve">, hosted on </w:t>
      </w:r>
      <w:proofErr w:type="spellStart"/>
      <w:r>
        <w:t>Streamlit</w:t>
      </w:r>
      <w:proofErr w:type="spellEnd"/>
      <w:r>
        <w:t xml:space="preserve"> Community Cloud and version-controlled via GitHub (repository: `mohamedali1185/diabetes-prediction`). The application presents a form-based interface where users input their own health, lifestyle, and demographic information across categories including physical measurements, blood pressure, cholesterol, glucose levels, and behavioral factors (physical activity, diet, sleep, </w:t>
      </w:r>
      <w:proofErr w:type="gramStart"/>
      <w:r>
        <w:t>screen</w:t>
      </w:r>
      <w:proofErr w:type="gramEnd"/>
      <w:r>
        <w:t xml:space="preserve"> time). Upon submission, the trained </w:t>
      </w:r>
      <w:proofErr w:type="spellStart"/>
      <w:r>
        <w:t>CatBoost</w:t>
      </w:r>
      <w:proofErr w:type="spellEnd"/>
      <w:r>
        <w:t xml:space="preserve"> model generates a real-time binary prediction (high risk / low risk) for diabetes.</w:t>
      </w:r>
    </w:p>
    <w:p w:rsidR="00162EC0" w:rsidRDefault="00162EC0" w:rsidP="00162EC0"/>
    <w:p w:rsidR="00162EC0" w:rsidRDefault="00162EC0" w:rsidP="00162EC0">
      <w:r>
        <w:t xml:space="preserve">During deployment, a hardcoded local file path used for loading the model artifact caused an initial deployment failure; this was identified and resolved by updating the path to be relative to the repository structure, allowing the application </w:t>
      </w:r>
      <w:proofErr w:type="gramStart"/>
      <w:r>
        <w:t>to correctly locate</w:t>
      </w:r>
      <w:proofErr w:type="gramEnd"/>
      <w:r>
        <w:t xml:space="preserve"> `</w:t>
      </w:r>
      <w:proofErr w:type="spellStart"/>
      <w:r>
        <w:t>diabetes_model.cbm</w:t>
      </w:r>
      <w:proofErr w:type="spellEnd"/>
      <w:r>
        <w:t>` in the cloud environment.</w:t>
      </w:r>
    </w:p>
    <w:p w:rsidR="00162EC0" w:rsidRDefault="00162EC0" w:rsidP="00162EC0">
      <w:r>
        <w:t>7. Conclusion &amp; Future Work</w:t>
      </w:r>
    </w:p>
    <w:p w:rsidR="00162EC0" w:rsidRDefault="00162EC0" w:rsidP="00162EC0"/>
    <w:p w:rsidR="00162EC0" w:rsidRDefault="00162EC0" w:rsidP="00162EC0">
      <w:r>
        <w:t xml:space="preserve">This project developed and deployed a machine learning-based diabetes risk prediction system, comparing seven classification algorithms and selecting </w:t>
      </w:r>
      <w:proofErr w:type="spellStart"/>
      <w:r>
        <w:t>CatBoost</w:t>
      </w:r>
      <w:proofErr w:type="spellEnd"/>
      <w:r>
        <w:t xml:space="preserve"> as the final model based on its strong performance and native handling of categorical data. The system </w:t>
      </w:r>
      <w:proofErr w:type="gramStart"/>
      <w:r>
        <w:t>was successfully deployed</w:t>
      </w:r>
      <w:proofErr w:type="gramEnd"/>
      <w:r>
        <w:t xml:space="preserve"> as a publicly </w:t>
      </w:r>
      <w:r>
        <w:lastRenderedPageBreak/>
        <w:t>accessible web application, allowing users to receive real-time risk assessments based on self-reported health and lifestyle information.</w:t>
      </w:r>
    </w:p>
    <w:p w:rsidR="00162EC0" w:rsidRDefault="00162EC0" w:rsidP="00162EC0"/>
    <w:p w:rsidR="00162EC0" w:rsidRDefault="00162EC0" w:rsidP="00162EC0">
      <w:r>
        <w:t>Beyond the predictive tool itself, this project surfaced an important methodological finding: near-diagnostic clinical markers (HbA1c and glucose measurements) consistently dominated model predictions across both variants tested, overshadowing the lifestyle factors the project initially aimed to highlight. This raises a meaningful question about the practical utility of such models for behavior-based self-assessment, since users without access to clinical lab values may not benefit from the model's full predictive power.</w:t>
      </w:r>
    </w:p>
    <w:p w:rsidR="00162EC0" w:rsidRDefault="00162EC0" w:rsidP="00162EC0"/>
    <w:p w:rsidR="00162EC0" w:rsidRDefault="00162EC0" w:rsidP="00162EC0">
      <w:proofErr w:type="gramStart"/>
      <w:r>
        <w:t xml:space="preserve">Future work should focus on: (1) training and evaluating a model restricted to lifestyle and demographic features only, to assess how much predictive power can be achieved without clinical markers; (2) establishing a reproducible pipeline that explicitly saves and versions model artifacts alongside their corresponding training scripts; (3) performing </w:t>
      </w:r>
      <w:proofErr w:type="spellStart"/>
      <w:r>
        <w:t>hyperparameter</w:t>
      </w:r>
      <w:proofErr w:type="spellEnd"/>
      <w:r>
        <w:t xml:space="preserve"> tuning to improve model performance; and (4) validating the model again</w:t>
      </w:r>
      <w:bookmarkStart w:id="0" w:name="_GoBack"/>
      <w:bookmarkEnd w:id="0"/>
      <w:r>
        <w:t>st real (non-simulated) clinical data if access becomes available.</w:t>
      </w:r>
      <w:proofErr w:type="gramEnd"/>
    </w:p>
    <w:sectPr w:rsidR="00162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E71"/>
    <w:rsid w:val="00023194"/>
    <w:rsid w:val="00162EC0"/>
    <w:rsid w:val="003D0E71"/>
    <w:rsid w:val="009F73A0"/>
    <w:rsid w:val="00A75C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9F1A7"/>
  <w15:chartTrackingRefBased/>
  <w15:docId w15:val="{495A0CA3-EEA2-45D7-8056-F18EA5BD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021693">
      <w:bodyDiv w:val="1"/>
      <w:marLeft w:val="0"/>
      <w:marRight w:val="0"/>
      <w:marTop w:val="0"/>
      <w:marBottom w:val="0"/>
      <w:divBdr>
        <w:top w:val="none" w:sz="0" w:space="0" w:color="auto"/>
        <w:left w:val="none" w:sz="0" w:space="0" w:color="auto"/>
        <w:bottom w:val="none" w:sz="0" w:space="0" w:color="auto"/>
        <w:right w:val="none" w:sz="0" w:space="0" w:color="auto"/>
      </w:divBdr>
    </w:div>
    <w:div w:id="1291322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1515</Words>
  <Characters>8641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dc:creator>
  <cp:keywords/>
  <dc:description/>
  <cp:lastModifiedBy>Mohamed</cp:lastModifiedBy>
  <cp:revision>3</cp:revision>
  <dcterms:created xsi:type="dcterms:W3CDTF">2026-07-08T13:11:00Z</dcterms:created>
  <dcterms:modified xsi:type="dcterms:W3CDTF">2026-07-08T13:29:00Z</dcterms:modified>
</cp:coreProperties>
</file>