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E74B5"/>
          <w:spacing w:val="60"/>
          <w:sz w:val="28"/>
          <w:szCs w:val="28"/>
        </w:rPr>
        <w:t xml:space="preserve">TRANGANT</w:t>
      </w:r>
    </w:p>
    <w:p>
      <w:pPr>
        <w:spacing w:after="600" w:before="60"/>
        <w:jc w:val="center"/>
      </w:pPr>
      <w:r>
        <w:rPr>
          <w:color w:val="595959"/>
          <w:sz w:val="22"/>
          <w:szCs w:val="22"/>
        </w:rPr>
        <w:t xml:space="preserve">Enterprise Asset Intelligence Platform</w:t>
      </w:r>
    </w:p>
    <w:p>
      <w:pPr>
        <w:pBdr>
          <w:bottom w:val="single" w:color="1F4E79" w:sz="12"/>
        </w:pBdr>
        <w:spacing w:after="0"/>
      </w:pPr>
      <w:r>
        <w:t xml:space="preserve"/>
      </w:r>
    </w:p>
    <w:p>
      <w:pPr>
        <w:spacing w:after="80" w:before="260"/>
        <w:jc w:val="center"/>
      </w:pPr>
      <w:r>
        <w:rPr>
          <w:b/>
          <w:bCs/>
          <w:color w:val="2E74B5"/>
          <w:sz w:val="26"/>
          <w:szCs w:val="26"/>
        </w:rPr>
        <w:t xml:space="preserve">PDS Appendix A</w:t>
      </w:r>
    </w:p>
    <w:p>
      <w:pPr>
        <w:spacing w:after="100"/>
        <w:jc w:val="center"/>
      </w:pPr>
      <w:r>
        <w:rPr>
          <w:b/>
          <w:bCs/>
          <w:color w:val="1F4E79"/>
          <w:sz w:val="48"/>
          <w:szCs w:val="48"/>
        </w:rPr>
        <w:t xml:space="preserve">Naming and Coding Standards</w:t>
      </w:r>
    </w:p>
    <w:p>
      <w:pPr>
        <w:spacing w:after="240"/>
        <w:jc w:val="center"/>
      </w:pPr>
      <w:r>
        <w:rPr>
          <w:color w:val="595959"/>
          <w:sz w:val="26"/>
          <w:szCs w:val="26"/>
        </w:rPr>
        <w:t xml:space="preserve">Product Design Specification — Appendix</w:t>
      </w:r>
    </w:p>
    <w:p>
      <w:pPr>
        <w:pBdr>
          <w:bottom w:val="single" w:color="1F4E79" w:sz="12"/>
        </w:pBdr>
        <w:spacing w:after="0"/>
      </w:pPr>
      <w:r>
        <w:t xml:space="preserve"/>
      </w:r>
    </w:p>
    <w:p>
      <w:pPr>
        <w:spacing w:after="40" w:before="400"/>
        <w:jc w:val="center"/>
      </w:pPr>
      <w:r>
        <w:rPr>
          <w:b/>
          <w:bCs/>
          <w:sz w:val="24"/>
          <w:szCs w:val="24"/>
        </w:rPr>
        <w:t xml:space="preserve">Version 1.0</w:t>
      </w:r>
    </w:p>
    <w:p>
      <w:pPr>
        <w:spacing w:after="40"/>
        <w:jc w:val="center"/>
      </w:pPr>
      <w:r>
        <w:rPr>
          <w:color w:val="595959"/>
          <w:sz w:val="22"/>
          <w:szCs w:val="22"/>
        </w:rPr>
        <w:t xml:space="preserve">Status: Draft for Review</w:t>
      </w:r>
    </w:p>
    <w:p>
      <w:pPr>
        <w:spacing w:after="40"/>
        <w:jc w:val="center"/>
      </w:pPr>
      <w:r>
        <w:rPr>
          <w:color w:val="595959"/>
          <w:sz w:val="22"/>
          <w:szCs w:val="22"/>
        </w:rPr>
        <w:t xml:space="preserve">13 August 2026</w:t>
      </w:r>
    </w:p>
    <w:p>
      <w:pPr>
        <w:spacing w:before="1400"/>
        <w:jc w:val="center"/>
      </w:pPr>
      <w:r>
        <w:rPr>
          <w:i/>
          <w:iCs/>
          <w:color w:val="808080"/>
          <w:sz w:val="18"/>
          <w:szCs w:val="18"/>
        </w:rPr>
        <w:t xml:space="preserve">Confidential — Trangant internal and authorized recipients only.</w:t>
      </w:r>
    </w:p>
    <w:p>
      <w:r>
        <w:br w:type="page"/>
      </w:r>
    </w:p>
    <w:p>
      <w:pPr>
        <w:pStyle w:val="Heading1"/>
        <w:spacing w:after="160" w:before="320"/>
      </w:pPr>
      <w:r>
        <w:rPr>
          <w:b/>
          <w:bCs/>
          <w:color w:val="1F4E79"/>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PDS-APX-A</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Naming and Coding Standards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 Appendix</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Core Platform Team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how everything in TEAIP is named and identified: documents, identifiers, objects, attributes, events, permissions, APIs, screens, database elements, code and files. Naming is the cheapest form of documentation and the most expensive thing to change later.</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888"/>
        <w:gridCol w:w="4874"/>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Establishes the identifier scheme this appendix elaborates.</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Source of every canonical object and attribute name.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PDS-06</w:t>
            </w:r>
          </w:p>
        </w:tc>
        <w:tc>
          <w:tcPr>
            <w:tcW w:type="dxa" w:w="2888"/>
            <w:tcMar>
              <w:top w:type="dxa" w:w="60"/>
              <w:left w:type="dxa" w:w="100"/>
              <w:bottom w:type="dxa" w:w="60"/>
              <w:right w:type="dxa" w:w="100"/>
            </w:tcMar>
            <w:vAlign w:val="center"/>
          </w:tcPr>
          <w:p>
            <w:pPr>
              <w:spacing w:after="20" w:before="20"/>
            </w:pPr>
            <w:r>
              <w:rPr>
                <w:sz w:val="20"/>
                <w:szCs w:val="20"/>
              </w:rPr>
              <w:t xml:space="preserve">Platform Dictionary</w:t>
            </w:r>
          </w:p>
        </w:tc>
        <w:tc>
          <w:tcPr>
            <w:tcW w:type="dxa" w:w="4874"/>
            <w:tcMar>
              <w:top w:type="dxa" w:w="60"/>
              <w:left w:type="dxa" w:w="100"/>
              <w:bottom w:type="dxa" w:w="60"/>
              <w:right w:type="dxa" w:w="100"/>
            </w:tcMar>
            <w:vAlign w:val="center"/>
          </w:tcPr>
          <w:p>
            <w:pPr>
              <w:spacing w:after="20" w:before="20"/>
            </w:pPr>
            <w:r>
              <w:rPr>
                <w:sz w:val="20"/>
                <w:szCs w:val="20"/>
              </w:rPr>
              <w:t xml:space="preserve">The authority for terminology. This appendix governs form, the dictionary governs meaning.</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Operation naming.</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PDS-08</w:t>
            </w:r>
          </w:p>
        </w:tc>
        <w:tc>
          <w:tcPr>
            <w:tcW w:type="dxa" w:w="2888"/>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tcMar>
              <w:top w:type="dxa" w:w="60"/>
              <w:left w:type="dxa" w:w="100"/>
              <w:bottom w:type="dxa" w:w="60"/>
              <w:right w:type="dxa" w:w="100"/>
            </w:tcMar>
            <w:vAlign w:val="center"/>
          </w:tcPr>
          <w:p>
            <w:pPr>
              <w:spacing w:after="20" w:before="20"/>
            </w:pPr>
            <w:r>
              <w:rPr>
                <w:sz w:val="20"/>
                <w:szCs w:val="20"/>
              </w:rPr>
              <w:t xml:space="preserve">Module code and namespace allocation.</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PDS-09</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DEV principles that naming supports.</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3971"/>
        <w:gridCol w:w="144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Identifier scheme integrity</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Code and database standards</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Localization Lead</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Language and spelling standards</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Naming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069"/>
        <w:gridCol w:w="5235"/>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523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Consequence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N-01</w:t>
            </w:r>
          </w:p>
        </w:tc>
        <w:tc>
          <w:tcPr>
            <w:tcW w:type="dxa" w:w="3069"/>
            <w:tcMar>
              <w:top w:type="dxa" w:w="60"/>
              <w:left w:type="dxa" w:w="100"/>
              <w:bottom w:type="dxa" w:w="60"/>
              <w:right w:type="dxa" w:w="100"/>
            </w:tcMar>
            <w:vAlign w:val="center"/>
          </w:tcPr>
          <w:p>
            <w:pPr>
              <w:spacing w:after="20" w:before="20"/>
            </w:pPr>
            <w:r>
              <w:rPr>
                <w:sz w:val="20"/>
                <w:szCs w:val="20"/>
              </w:rPr>
              <w:t xml:space="preserve">One concept, one name, everywhere.</w:t>
            </w:r>
          </w:p>
        </w:tc>
        <w:tc>
          <w:tcPr>
            <w:tcW w:type="dxa" w:w="5235"/>
            <w:tcMar>
              <w:top w:type="dxa" w:w="60"/>
              <w:left w:type="dxa" w:w="100"/>
              <w:bottom w:type="dxa" w:w="60"/>
              <w:right w:type="dxa" w:w="100"/>
            </w:tcMar>
            <w:vAlign w:val="center"/>
          </w:tcPr>
          <w:p>
            <w:pPr>
              <w:spacing w:after="20" w:before="20"/>
            </w:pPr>
            <w:r>
              <w:rPr>
                <w:sz w:val="20"/>
                <w:szCs w:val="20"/>
              </w:rPr>
              <w:t xml:space="preserve">The name in PDS-05 is the name in the API, the screen label, the database column and the conversation.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N-02</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Names come from the business, not from the implementation.</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No name contains a technology, a pattern name, a table prefix or an abbreviation invented by an engineer.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N-03</w:t>
            </w:r>
          </w:p>
        </w:tc>
        <w:tc>
          <w:tcPr>
            <w:tcW w:type="dxa" w:w="3069"/>
            <w:tcMar>
              <w:top w:type="dxa" w:w="60"/>
              <w:left w:type="dxa" w:w="100"/>
              <w:bottom w:type="dxa" w:w="60"/>
              <w:right w:type="dxa" w:w="100"/>
            </w:tcMar>
            <w:vAlign w:val="center"/>
          </w:tcPr>
          <w:p>
            <w:pPr>
              <w:spacing w:after="20" w:before="20"/>
            </w:pPr>
            <w:r>
              <w:rPr>
                <w:sz w:val="20"/>
                <w:szCs w:val="20"/>
              </w:rPr>
              <w:t xml:space="preserve">An identifier is permanent.</w:t>
            </w:r>
          </w:p>
        </w:tc>
        <w:tc>
          <w:tcPr>
            <w:tcW w:type="dxa" w:w="5235"/>
            <w:tcMar>
              <w:top w:type="dxa" w:w="60"/>
              <w:left w:type="dxa" w:w="100"/>
              <w:bottom w:type="dxa" w:w="60"/>
              <w:right w:type="dxa" w:w="100"/>
            </w:tcMar>
            <w:vAlign w:val="center"/>
          </w:tcPr>
          <w:p>
            <w:pPr>
              <w:spacing w:after="20" w:before="20"/>
            </w:pPr>
            <w:r>
              <w:rPr>
                <w:sz w:val="20"/>
                <w:szCs w:val="20"/>
              </w:rPr>
              <w:t xml:space="preserve">Once issued, an identifier is never reused, even after retirement. Renaming a thing does not change its identifier.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N-04</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 name states what a thing is, not what it does to the caller.</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"Verification Result", not "Check Output". "Custody Assignment", not "Asset Holder Link".</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N-05</w:t>
            </w:r>
          </w:p>
        </w:tc>
        <w:tc>
          <w:tcPr>
            <w:tcW w:type="dxa" w:w="3069"/>
            <w:tcMar>
              <w:top w:type="dxa" w:w="60"/>
              <w:left w:type="dxa" w:w="100"/>
              <w:bottom w:type="dxa" w:w="60"/>
              <w:right w:type="dxa" w:w="100"/>
            </w:tcMar>
            <w:vAlign w:val="center"/>
          </w:tcPr>
          <w:p>
            <w:pPr>
              <w:spacing w:after="20" w:before="20"/>
            </w:pPr>
            <w:r>
              <w:rPr>
                <w:sz w:val="20"/>
                <w:szCs w:val="20"/>
              </w:rPr>
              <w:t xml:space="preserve">No abbreviation unless it is a defined term.</w:t>
            </w:r>
          </w:p>
        </w:tc>
        <w:tc>
          <w:tcPr>
            <w:tcW w:type="dxa" w:w="5235"/>
            <w:tcMar>
              <w:top w:type="dxa" w:w="60"/>
              <w:left w:type="dxa" w:w="100"/>
              <w:bottom w:type="dxa" w:w="60"/>
              <w:right w:type="dxa" w:w="100"/>
            </w:tcMar>
            <w:vAlign w:val="center"/>
          </w:tcPr>
          <w:p>
            <w:pPr>
              <w:spacing w:after="20" w:before="20"/>
            </w:pPr>
            <w:r>
              <w:rPr>
                <w:sz w:val="20"/>
                <w:szCs w:val="20"/>
              </w:rPr>
              <w:t xml:space="preserve">RFID, ANPR, KPI and MFA are defined in PDS-06 and permitted. Qty, Amt, Desc and Mgr are not.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N-06</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US English spelling throughout.</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Color, authorize, organization, center, license, catalog, artifact, behavior, analyze, modeling.</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N-07</w:t>
            </w:r>
          </w:p>
        </w:tc>
        <w:tc>
          <w:tcPr>
            <w:tcW w:type="dxa" w:w="3069"/>
            <w:tcMar>
              <w:top w:type="dxa" w:w="60"/>
              <w:left w:type="dxa" w:w="100"/>
              <w:bottom w:type="dxa" w:w="60"/>
              <w:right w:type="dxa" w:w="100"/>
            </w:tcMar>
            <w:vAlign w:val="center"/>
          </w:tcPr>
          <w:p>
            <w:pPr>
              <w:spacing w:after="20" w:before="20"/>
            </w:pPr>
            <w:r>
              <w:rPr>
                <w:sz w:val="20"/>
                <w:szCs w:val="20"/>
              </w:rPr>
              <w:t xml:space="preserve">Singular for an entity, plural only for a collection.</w:t>
            </w:r>
          </w:p>
        </w:tc>
        <w:tc>
          <w:tcPr>
            <w:tcW w:type="dxa" w:w="5235"/>
            <w:tcMar>
              <w:top w:type="dxa" w:w="60"/>
              <w:left w:type="dxa" w:w="100"/>
              <w:bottom w:type="dxa" w:w="60"/>
              <w:right w:type="dxa" w:w="100"/>
            </w:tcMar>
            <w:vAlign w:val="center"/>
          </w:tcPr>
          <w:p>
            <w:pPr>
              <w:spacing w:after="20" w:before="20"/>
            </w:pPr>
            <w:r>
              <w:rPr>
                <w:sz w:val="20"/>
                <w:szCs w:val="20"/>
              </w:rPr>
              <w:t xml:space="preserve">Asset, not Assets. A list endpoint returns assets; the object is an Asset.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N-08</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Booleans read as an assertion.</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Is Primary, Is Terminal, Trusted, Active, Published. Not Flag, Status Bit or Enabled Y 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N-09</w:t>
            </w:r>
          </w:p>
        </w:tc>
        <w:tc>
          <w:tcPr>
            <w:tcW w:type="dxa" w:w="3069"/>
            <w:tcMar>
              <w:top w:type="dxa" w:w="60"/>
              <w:left w:type="dxa" w:w="100"/>
              <w:bottom w:type="dxa" w:w="60"/>
              <w:right w:type="dxa" w:w="100"/>
            </w:tcMar>
            <w:vAlign w:val="center"/>
          </w:tcPr>
          <w:p>
            <w:pPr>
              <w:spacing w:after="20" w:before="20"/>
            </w:pPr>
            <w:r>
              <w:rPr>
                <w:sz w:val="20"/>
                <w:szCs w:val="20"/>
              </w:rPr>
              <w:t xml:space="preserve">A name never encodes a type.</w:t>
            </w:r>
          </w:p>
        </w:tc>
        <w:tc>
          <w:tcPr>
            <w:tcW w:type="dxa" w:w="5235"/>
            <w:tcMar>
              <w:top w:type="dxa" w:w="60"/>
              <w:left w:type="dxa" w:w="100"/>
              <w:bottom w:type="dxa" w:w="60"/>
              <w:right w:type="dxa" w:w="100"/>
            </w:tcMar>
            <w:vAlign w:val="center"/>
          </w:tcPr>
          <w:p>
            <w:pPr>
              <w:spacing w:after="20" w:before="20"/>
            </w:pPr>
            <w:r>
              <w:rPr>
                <w:sz w:val="20"/>
                <w:szCs w:val="20"/>
              </w:rPr>
              <w:t xml:space="preserve">No Hungarian notation, no strAssetName, no tblAsset, no AssetObj.</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N-10</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 name never encodes a tenant, a customer or a project.</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AP-006. No customer-specific naming exists anywhere in the platform.</w:t>
            </w:r>
          </w:p>
        </w:tc>
      </w:tr>
    </w:tbl>
    <w:p>
      <w:r>
        <w:br w:type="page"/>
      </w:r>
    </w:p>
    <w:p>
      <w:pPr>
        <w:pStyle w:val="Heading1"/>
        <w:spacing w:after="160" w:before="320"/>
      </w:pPr>
      <w:r>
        <w:rPr>
          <w:b/>
          <w:bCs/>
          <w:color w:val="1F4E79"/>
          <w:sz w:val="30"/>
          <w:szCs w:val="30"/>
        </w:rPr>
        <w:t xml:space="preserve">3. Identifier Standards</w:t>
      </w:r>
    </w:p>
    <w:p>
      <w:pPr>
        <w:pStyle w:val="Heading2"/>
        <w:spacing w:after="120" w:before="260"/>
      </w:pPr>
      <w:r>
        <w:rPr>
          <w:b/>
          <w:bCs/>
          <w:color w:val="2E74B5"/>
          <w:sz w:val="25"/>
          <w:szCs w:val="25"/>
        </w:rPr>
        <w:t xml:space="preserve">3.1 Scheme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347"/>
        <w:gridCol w:w="2708"/>
        <w:gridCol w:w="1444"/>
        <w:gridCol w:w="1263"/>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Prefix</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Artifact</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Form</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c>
          <w:tcPr>
            <w:tcW w:type="dxa" w:w="126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Issued by</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PDS-nn</w:t>
            </w:r>
          </w:p>
        </w:tc>
        <w:tc>
          <w:tcPr>
            <w:tcW w:type="dxa" w:w="2347"/>
            <w:tcMar>
              <w:top w:type="dxa" w:w="60"/>
              <w:left w:type="dxa" w:w="100"/>
              <w:bottom w:type="dxa" w:w="60"/>
              <w:right w:type="dxa" w:w="100"/>
            </w:tcMar>
            <w:vAlign w:val="center"/>
          </w:tcPr>
          <w:p>
            <w:pPr>
              <w:spacing w:after="20" w:before="20"/>
            </w:pPr>
            <w:r>
              <w:rPr>
                <w:sz w:val="20"/>
                <w:szCs w:val="20"/>
              </w:rPr>
              <w:t xml:space="preserve">Design specification document</w:t>
            </w:r>
          </w:p>
        </w:tc>
        <w:tc>
          <w:tcPr>
            <w:tcW w:type="dxa" w:w="2708"/>
            <w:tcMar>
              <w:top w:type="dxa" w:w="60"/>
              <w:left w:type="dxa" w:w="100"/>
              <w:bottom w:type="dxa" w:w="60"/>
              <w:right w:type="dxa" w:w="100"/>
            </w:tcMar>
            <w:vAlign w:val="center"/>
          </w:tcPr>
          <w:p>
            <w:pPr>
              <w:spacing w:after="20" w:before="20"/>
            </w:pPr>
            <w:r>
              <w:rPr>
                <w:sz w:val="20"/>
                <w:szCs w:val="20"/>
              </w:rPr>
              <w:t xml:space="preserve">Two digits, sequential, permanent</w:t>
            </w:r>
          </w:p>
        </w:tc>
        <w:tc>
          <w:tcPr>
            <w:tcW w:type="dxa" w:w="1444"/>
            <w:tcMar>
              <w:top w:type="dxa" w:w="60"/>
              <w:left w:type="dxa" w:w="100"/>
              <w:bottom w:type="dxa" w:w="60"/>
              <w:right w:type="dxa" w:w="100"/>
            </w:tcMar>
            <w:vAlign w:val="center"/>
          </w:tcPr>
          <w:p>
            <w:pPr>
              <w:spacing w:after="20" w:before="20"/>
            </w:pPr>
            <w:r>
              <w:rPr>
                <w:sz w:val="20"/>
                <w:szCs w:val="20"/>
              </w:rPr>
              <w:t xml:space="preserve">PDS-04</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DOM-xxx</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uppercase letters, mnemonic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 by ADR only</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SD-xxx-xxx</w:t>
            </w:r>
          </w:p>
        </w:tc>
        <w:tc>
          <w:tcPr>
            <w:tcW w:type="dxa" w:w="2347"/>
            <w:tcMar>
              <w:top w:type="dxa" w:w="60"/>
              <w:left w:type="dxa" w:w="100"/>
              <w:bottom w:type="dxa" w:w="60"/>
              <w:right w:type="dxa" w:w="100"/>
            </w:tcMar>
            <w:vAlign w:val="center"/>
          </w:tcPr>
          <w:p>
            <w:pPr>
              <w:spacing w:after="20" w:before="20"/>
            </w:pPr>
            <w:r>
              <w:rPr>
                <w:sz w:val="20"/>
                <w:szCs w:val="20"/>
              </w:rPr>
              <w:t xml:space="preserve">Subdomain</w:t>
            </w:r>
          </w:p>
        </w:tc>
        <w:tc>
          <w:tcPr>
            <w:tcW w:type="dxa" w:w="2708"/>
            <w:tcMar>
              <w:top w:type="dxa" w:w="60"/>
              <w:left w:type="dxa" w:w="100"/>
              <w:bottom w:type="dxa" w:w="60"/>
              <w:right w:type="dxa" w:w="100"/>
            </w:tcMar>
            <w:vAlign w:val="center"/>
          </w:tcPr>
          <w:p>
            <w:pPr>
              <w:spacing w:after="20" w:before="20"/>
            </w:pPr>
            <w:r>
              <w:rPr>
                <w:sz w:val="20"/>
                <w:szCs w:val="20"/>
              </w:rPr>
              <w:t xml:space="preserve">Domain mnemonic, then subdomain mnemonic</w:t>
            </w:r>
          </w:p>
        </w:tc>
        <w:tc>
          <w:tcPr>
            <w:tcW w:type="dxa" w:w="1444"/>
            <w:tcMar>
              <w:top w:type="dxa" w:w="60"/>
              <w:left w:type="dxa" w:w="100"/>
              <w:bottom w:type="dxa" w:w="60"/>
              <w:right w:type="dxa" w:w="100"/>
            </w:tcMar>
            <w:vAlign w:val="center"/>
          </w:tcPr>
          <w:p>
            <w:pPr>
              <w:spacing w:after="20" w:before="20"/>
            </w:pPr>
            <w:r>
              <w:rPr>
                <w:sz w:val="20"/>
                <w:szCs w:val="20"/>
              </w:rPr>
              <w:t xml:space="preserve">SD-AST-LIFE</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CAP-xxx-nnn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capability</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Domain mnemonic, three digits, sequential within domain</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CAP-AST-008</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SBO-nnn</w:t>
            </w:r>
          </w:p>
        </w:tc>
        <w:tc>
          <w:tcPr>
            <w:tcW w:type="dxa" w:w="2347"/>
            <w:tcMar>
              <w:top w:type="dxa" w:w="60"/>
              <w:left w:type="dxa" w:w="100"/>
              <w:bottom w:type="dxa" w:w="60"/>
              <w:right w:type="dxa" w:w="100"/>
            </w:tcMar>
            <w:vAlign w:val="center"/>
          </w:tcPr>
          <w:p>
            <w:pPr>
              <w:spacing w:after="20" w:before="20"/>
            </w:pPr>
            <w:r>
              <w:rPr>
                <w:sz w:val="20"/>
                <w:szCs w:val="20"/>
              </w:rPr>
              <w:t xml:space="preserve">Shared business object</w:t>
            </w:r>
          </w:p>
        </w:tc>
        <w:tc>
          <w:tcPr>
            <w:tcW w:type="dxa" w:w="2708"/>
            <w:tcMar>
              <w:top w:type="dxa" w:w="60"/>
              <w:left w:type="dxa" w:w="100"/>
              <w:bottom w:type="dxa" w:w="60"/>
              <w:right w:type="dxa" w:w="100"/>
            </w:tcMar>
            <w:vAlign w:val="center"/>
          </w:tcPr>
          <w:p>
            <w:pPr>
              <w:spacing w:after="20" w:before="20"/>
            </w:pPr>
            <w:r>
              <w:rPr>
                <w:sz w:val="20"/>
                <w:szCs w:val="20"/>
              </w:rPr>
              <w:t xml:space="preserve">Three digits, sequential across the platform</w:t>
            </w:r>
          </w:p>
        </w:tc>
        <w:tc>
          <w:tcPr>
            <w:tcW w:type="dxa" w:w="1444"/>
            <w:tcMar>
              <w:top w:type="dxa" w:w="60"/>
              <w:left w:type="dxa" w:w="100"/>
              <w:bottom w:type="dxa" w:w="60"/>
              <w:right w:type="dxa" w:w="100"/>
            </w:tcMar>
            <w:vAlign w:val="center"/>
          </w:tcPr>
          <w:p>
            <w:pPr>
              <w:spacing w:after="20" w:before="20"/>
            </w:pPr>
            <w:r>
              <w:rPr>
                <w:sz w:val="20"/>
                <w:szCs w:val="20"/>
              </w:rPr>
              <w:t xml:space="preserve">SBO-041</w:t>
            </w:r>
          </w:p>
        </w:tc>
        <w:tc>
          <w:tcPr>
            <w:tcW w:type="dxa" w:w="1263"/>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PS-nnn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 service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 sequential</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PS-014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SC-nn</w:t>
            </w:r>
          </w:p>
        </w:tc>
        <w:tc>
          <w:tcPr>
            <w:tcW w:type="dxa" w:w="2347"/>
            <w:tcMar>
              <w:top w:type="dxa" w:w="60"/>
              <w:left w:type="dxa" w:w="100"/>
              <w:bottom w:type="dxa" w:w="60"/>
              <w:right w:type="dxa" w:w="100"/>
            </w:tcMar>
            <w:vAlign w:val="center"/>
          </w:tcPr>
          <w:p>
            <w:pPr>
              <w:spacing w:after="20" w:before="20"/>
            </w:pPr>
            <w:r>
              <w:rPr>
                <w:sz w:val="20"/>
                <w:szCs w:val="20"/>
              </w:rPr>
              <w:t xml:space="preserve">Inherited object contract item</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SC-11</w:t>
            </w:r>
          </w:p>
        </w:tc>
        <w:tc>
          <w:tcPr>
            <w:tcW w:type="dxa" w:w="1263"/>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AP-nnn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Architecture principle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AP-001</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EP-nnn</w:t>
            </w:r>
          </w:p>
        </w:tc>
        <w:tc>
          <w:tcPr>
            <w:tcW w:type="dxa" w:w="2347"/>
            <w:tcMar>
              <w:top w:type="dxa" w:w="60"/>
              <w:left w:type="dxa" w:w="100"/>
              <w:bottom w:type="dxa" w:w="60"/>
              <w:right w:type="dxa" w:w="100"/>
            </w:tcMar>
            <w:vAlign w:val="center"/>
          </w:tcPr>
          <w:p>
            <w:pPr>
              <w:spacing w:after="20" w:before="20"/>
            </w:pPr>
            <w:r>
              <w:rPr>
                <w:sz w:val="20"/>
                <w:szCs w:val="20"/>
              </w:rPr>
              <w:t xml:space="preserve">Engineering principle</w:t>
            </w:r>
          </w:p>
        </w:tc>
        <w:tc>
          <w:tcPr>
            <w:tcW w:type="dxa" w:w="2708"/>
            <w:tcMar>
              <w:top w:type="dxa" w:w="60"/>
              <w:left w:type="dxa" w:w="100"/>
              <w:bottom w:type="dxa" w:w="60"/>
              <w:right w:type="dxa" w:w="100"/>
            </w:tcMar>
            <w:vAlign w:val="center"/>
          </w:tcPr>
          <w:p>
            <w:pPr>
              <w:spacing w:after="20" w:before="20"/>
            </w:pPr>
            <w:r>
              <w:rPr>
                <w:sz w:val="20"/>
                <w:szCs w:val="20"/>
              </w:rPr>
              <w:t xml:space="preserve">Three digits</w:t>
            </w:r>
          </w:p>
        </w:tc>
        <w:tc>
          <w:tcPr>
            <w:tcW w:type="dxa" w:w="1444"/>
            <w:tcMar>
              <w:top w:type="dxa" w:w="60"/>
              <w:left w:type="dxa" w:w="100"/>
              <w:bottom w:type="dxa" w:w="60"/>
              <w:right w:type="dxa" w:w="100"/>
            </w:tcMar>
            <w:vAlign w:val="center"/>
          </w:tcPr>
          <w:p>
            <w:pPr>
              <w:spacing w:after="20" w:before="20"/>
            </w:pPr>
            <w:r>
              <w:rPr>
                <w:sz w:val="20"/>
                <w:szCs w:val="20"/>
              </w:rPr>
              <w:t xml:space="preserve">EP-002</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UX-nn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User experience principle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Two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UX-04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DEV-nn</w:t>
            </w:r>
          </w:p>
        </w:tc>
        <w:tc>
          <w:tcPr>
            <w:tcW w:type="dxa" w:w="2347"/>
            <w:tcMar>
              <w:top w:type="dxa" w:w="60"/>
              <w:left w:type="dxa" w:w="100"/>
              <w:bottom w:type="dxa" w:w="60"/>
              <w:right w:type="dxa" w:w="100"/>
            </w:tcMar>
            <w:vAlign w:val="center"/>
          </w:tcPr>
          <w:p>
            <w:pPr>
              <w:spacing w:after="20" w:before="20"/>
            </w:pPr>
            <w:r>
              <w:rPr>
                <w:sz w:val="20"/>
                <w:szCs w:val="20"/>
              </w:rPr>
              <w:t xml:space="preserve">Development principle</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DEV-07</w:t>
            </w:r>
          </w:p>
        </w:tc>
        <w:tc>
          <w:tcPr>
            <w:tcW w:type="dxa" w:w="1263"/>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RPT-nn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Reporting principle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Two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RPT-02</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GR-nnn</w:t>
            </w:r>
          </w:p>
        </w:tc>
        <w:tc>
          <w:tcPr>
            <w:tcW w:type="dxa" w:w="2347"/>
            <w:tcMar>
              <w:top w:type="dxa" w:w="60"/>
              <w:left w:type="dxa" w:w="100"/>
              <w:bottom w:type="dxa" w:w="60"/>
              <w:right w:type="dxa" w:w="100"/>
            </w:tcMar>
            <w:vAlign w:val="center"/>
          </w:tcPr>
          <w:p>
            <w:pPr>
              <w:spacing w:after="20" w:before="20"/>
            </w:pPr>
            <w:r>
              <w:rPr>
                <w:sz w:val="20"/>
                <w:szCs w:val="20"/>
              </w:rPr>
              <w:t xml:space="preserve">Governance rule</w:t>
            </w:r>
          </w:p>
        </w:tc>
        <w:tc>
          <w:tcPr>
            <w:tcW w:type="dxa" w:w="2708"/>
            <w:tcMar>
              <w:top w:type="dxa" w:w="60"/>
              <w:left w:type="dxa" w:w="100"/>
              <w:bottom w:type="dxa" w:w="60"/>
              <w:right w:type="dxa" w:w="100"/>
            </w:tcMar>
            <w:vAlign w:val="center"/>
          </w:tcPr>
          <w:p>
            <w:pPr>
              <w:spacing w:after="20" w:before="20"/>
            </w:pPr>
            <w:r>
              <w:rPr>
                <w:sz w:val="20"/>
                <w:szCs w:val="20"/>
              </w:rPr>
              <w:t xml:space="preserve">Three digits</w:t>
            </w:r>
          </w:p>
        </w:tc>
        <w:tc>
          <w:tcPr>
            <w:tcW w:type="dxa" w:w="1444"/>
            <w:tcMar>
              <w:top w:type="dxa" w:w="60"/>
              <w:left w:type="dxa" w:w="100"/>
              <w:bottom w:type="dxa" w:w="60"/>
              <w:right w:type="dxa" w:w="100"/>
            </w:tcMar>
            <w:vAlign w:val="center"/>
          </w:tcPr>
          <w:p>
            <w:pPr>
              <w:spacing w:after="20" w:before="20"/>
            </w:pPr>
            <w:r>
              <w:rPr>
                <w:sz w:val="20"/>
                <w:szCs w:val="20"/>
              </w:rPr>
              <w:t xml:space="preserve">GR-001</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GS-nnn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Governance standard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GS-001</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ER-nn</w:t>
            </w:r>
          </w:p>
        </w:tc>
        <w:tc>
          <w:tcPr>
            <w:tcW w:type="dxa" w:w="2347"/>
            <w:tcMar>
              <w:top w:type="dxa" w:w="60"/>
              <w:left w:type="dxa" w:w="100"/>
              <w:bottom w:type="dxa" w:w="60"/>
              <w:right w:type="dxa" w:w="100"/>
            </w:tcMar>
            <w:vAlign w:val="center"/>
          </w:tcPr>
          <w:p>
            <w:pPr>
              <w:spacing w:after="20" w:before="20"/>
            </w:pPr>
            <w:r>
              <w:rPr>
                <w:sz w:val="20"/>
                <w:szCs w:val="20"/>
              </w:rPr>
              <w:t xml:space="preserve">Extension rule</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ER-06</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BR-nnn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 grouped by domain in hundreds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BR-107</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OI-nn</w:t>
            </w:r>
          </w:p>
        </w:tc>
        <w:tc>
          <w:tcPr>
            <w:tcW w:type="dxa" w:w="2347"/>
            <w:tcMar>
              <w:top w:type="dxa" w:w="60"/>
              <w:left w:type="dxa" w:w="100"/>
              <w:bottom w:type="dxa" w:w="60"/>
              <w:right w:type="dxa" w:w="100"/>
            </w:tcMar>
            <w:vAlign w:val="center"/>
          </w:tcPr>
          <w:p>
            <w:pPr>
              <w:spacing w:after="20" w:before="20"/>
            </w:pPr>
            <w:r>
              <w:rPr>
                <w:sz w:val="20"/>
                <w:szCs w:val="20"/>
              </w:rPr>
              <w:t xml:space="preserve">Open item</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OI-04</w:t>
            </w:r>
          </w:p>
        </w:tc>
        <w:tc>
          <w:tcPr>
            <w:tcW w:type="dxa" w:w="1263"/>
            <w:tcMar>
              <w:top w:type="dxa" w:w="60"/>
              <w:left w:type="dxa" w:w="100"/>
              <w:bottom w:type="dxa" w:w="60"/>
              <w:right w:type="dxa" w:w="100"/>
            </w:tcMar>
            <w:vAlign w:val="center"/>
          </w:tcPr>
          <w:p>
            <w:pPr>
              <w:spacing w:after="20" w:before="20"/>
            </w:pPr>
            <w:r>
              <w:rPr>
                <w:sz w:val="20"/>
                <w:szCs w:val="20"/>
              </w:rPr>
              <w:t xml:space="preserve">Any reviewer</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ADR-nnn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 sequential, permanent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ADR-006</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CT-nn</w:t>
            </w:r>
          </w:p>
        </w:tc>
        <w:tc>
          <w:tcPr>
            <w:tcW w:type="dxa" w:w="2347"/>
            <w:tcMar>
              <w:top w:type="dxa" w:w="60"/>
              <w:left w:type="dxa" w:w="100"/>
              <w:bottom w:type="dxa" w:w="60"/>
              <w:right w:type="dxa" w:w="100"/>
            </w:tcMar>
            <w:vAlign w:val="center"/>
          </w:tcPr>
          <w:p>
            <w:pPr>
              <w:spacing w:after="20" w:before="20"/>
            </w:pPr>
            <w:r>
              <w:rPr>
                <w:sz w:val="20"/>
                <w:szCs w:val="20"/>
              </w:rPr>
              <w:t xml:space="preserve">Conformance test</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CT-22</w:t>
            </w:r>
          </w:p>
        </w:tc>
        <w:tc>
          <w:tcPr>
            <w:tcW w:type="dxa" w:w="1263"/>
            <w:tcMar>
              <w:top w:type="dxa" w:w="60"/>
              <w:left w:type="dxa" w:w="100"/>
              <w:bottom w:type="dxa" w:w="60"/>
              <w:right w:type="dxa" w:w="100"/>
            </w:tcMar>
            <w:vAlign w:val="center"/>
          </w:tcPr>
          <w:p>
            <w:pPr>
              <w:spacing w:after="20" w:before="20"/>
            </w:pPr>
            <w:r>
              <w:rPr>
                <w:sz w:val="20"/>
                <w:szCs w:val="20"/>
              </w:rPr>
              <w:t xml:space="preserve">QA Lead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BP-nnn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process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BP-004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FR-xxx-nnn</w:t>
            </w:r>
          </w:p>
        </w:tc>
        <w:tc>
          <w:tcPr>
            <w:tcW w:type="dxa" w:w="2347"/>
            <w:tcMar>
              <w:top w:type="dxa" w:w="60"/>
              <w:left w:type="dxa" w:w="100"/>
              <w:bottom w:type="dxa" w:w="60"/>
              <w:right w:type="dxa" w:w="100"/>
            </w:tcMar>
            <w:vAlign w:val="center"/>
          </w:tcPr>
          <w:p>
            <w:pPr>
              <w:spacing w:after="20" w:before="20"/>
            </w:pPr>
            <w:r>
              <w:rPr>
                <w:sz w:val="20"/>
                <w:szCs w:val="20"/>
              </w:rPr>
              <w:t xml:space="preserve">Functional requirement</w:t>
            </w:r>
          </w:p>
        </w:tc>
        <w:tc>
          <w:tcPr>
            <w:tcW w:type="dxa" w:w="2708"/>
            <w:tcMar>
              <w:top w:type="dxa" w:w="60"/>
              <w:left w:type="dxa" w:w="100"/>
              <w:bottom w:type="dxa" w:w="60"/>
              <w:right w:type="dxa" w:w="100"/>
            </w:tcMar>
            <w:vAlign w:val="center"/>
          </w:tcPr>
          <w:p>
            <w:pPr>
              <w:spacing w:after="20" w:before="20"/>
            </w:pPr>
            <w:r>
              <w:rPr>
                <w:sz w:val="20"/>
                <w:szCs w:val="20"/>
              </w:rPr>
              <w:t xml:space="preserve">Module mnemonic, three digits</w:t>
            </w:r>
          </w:p>
        </w:tc>
        <w:tc>
          <w:tcPr>
            <w:tcW w:type="dxa" w:w="1444"/>
            <w:tcMar>
              <w:top w:type="dxa" w:w="60"/>
              <w:left w:type="dxa" w:w="100"/>
              <w:bottom w:type="dxa" w:w="60"/>
              <w:right w:type="dxa" w:w="100"/>
            </w:tcMar>
            <w:vAlign w:val="center"/>
          </w:tcPr>
          <w:p>
            <w:pPr>
              <w:spacing w:after="20" w:before="20"/>
            </w:pPr>
            <w:r>
              <w:rPr>
                <w:sz w:val="20"/>
                <w:szCs w:val="20"/>
              </w:rPr>
              <w:t xml:space="preserve">FR-VLV-012</w:t>
            </w:r>
          </w:p>
        </w:tc>
        <w:tc>
          <w:tcPr>
            <w:tcW w:type="dxa" w:w="1263"/>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NFR-nnn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Non-functional requirement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NFR-014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SCR-nnn</w:t>
            </w:r>
          </w:p>
        </w:tc>
        <w:tc>
          <w:tcPr>
            <w:tcW w:type="dxa" w:w="2347"/>
            <w:tcMar>
              <w:top w:type="dxa" w:w="60"/>
              <w:left w:type="dxa" w:w="100"/>
              <w:bottom w:type="dxa" w:w="60"/>
              <w:right w:type="dxa" w:w="100"/>
            </w:tcMar>
            <w:vAlign w:val="center"/>
          </w:tcPr>
          <w:p>
            <w:pPr>
              <w:spacing w:after="20" w:before="20"/>
            </w:pPr>
            <w:r>
              <w:rPr>
                <w:sz w:val="20"/>
                <w:szCs w:val="20"/>
              </w:rPr>
              <w:t xml:space="preserve">Screen</w:t>
            </w:r>
          </w:p>
        </w:tc>
        <w:tc>
          <w:tcPr>
            <w:tcW w:type="dxa" w:w="2708"/>
            <w:tcMar>
              <w:top w:type="dxa" w:w="60"/>
              <w:left w:type="dxa" w:w="100"/>
              <w:bottom w:type="dxa" w:w="60"/>
              <w:right w:type="dxa" w:w="100"/>
            </w:tcMar>
            <w:vAlign w:val="center"/>
          </w:tcPr>
          <w:p>
            <w:pPr>
              <w:spacing w:after="20" w:before="20"/>
            </w:pPr>
            <w:r>
              <w:rPr>
                <w:sz w:val="20"/>
                <w:szCs w:val="20"/>
              </w:rPr>
              <w:t xml:space="preserve">Three digits</w:t>
            </w:r>
          </w:p>
        </w:tc>
        <w:tc>
          <w:tcPr>
            <w:tcW w:type="dxa" w:w="1444"/>
            <w:tcMar>
              <w:top w:type="dxa" w:w="60"/>
              <w:left w:type="dxa" w:w="100"/>
              <w:bottom w:type="dxa" w:w="60"/>
              <w:right w:type="dxa" w:w="100"/>
            </w:tcMar>
            <w:vAlign w:val="center"/>
          </w:tcPr>
          <w:p>
            <w:pPr>
              <w:spacing w:after="20" w:before="20"/>
            </w:pPr>
            <w:r>
              <w:rPr>
                <w:sz w:val="20"/>
                <w:szCs w:val="20"/>
              </w:rPr>
              <w:t xml:space="preserve">SCR-102</w:t>
            </w:r>
          </w:p>
        </w:tc>
        <w:tc>
          <w:tcPr>
            <w:tcW w:type="dxa" w:w="1263"/>
            <w:tcMar>
              <w:top w:type="dxa" w:w="60"/>
              <w:left w:type="dxa" w:w="100"/>
              <w:bottom w:type="dxa" w:w="60"/>
              <w:right w:type="dxa" w:w="100"/>
            </w:tcMar>
            <w:vAlign w:val="center"/>
          </w:tcPr>
          <w:p>
            <w:pPr>
              <w:spacing w:after="20" w:before="20"/>
            </w:pPr>
            <w:r>
              <w:rPr>
                <w:sz w:val="20"/>
                <w:szCs w:val="20"/>
              </w:rPr>
              <w:t xml:space="preserve">Design</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API-nnn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API operation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API-034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RPT-nnn</w:t>
            </w:r>
          </w:p>
        </w:tc>
        <w:tc>
          <w:tcPr>
            <w:tcW w:type="dxa" w:w="2347"/>
            <w:tcMar>
              <w:top w:type="dxa" w:w="60"/>
              <w:left w:type="dxa" w:w="100"/>
              <w:bottom w:type="dxa" w:w="60"/>
              <w:right w:type="dxa" w:w="100"/>
            </w:tcMar>
            <w:vAlign w:val="center"/>
          </w:tcPr>
          <w:p>
            <w:pPr>
              <w:spacing w:after="20" w:before="20"/>
            </w:pPr>
            <w:r>
              <w:rPr>
                <w:sz w:val="20"/>
                <w:szCs w:val="20"/>
              </w:rPr>
              <w:t xml:space="preserve">Report definition</w:t>
            </w:r>
          </w:p>
        </w:tc>
        <w:tc>
          <w:tcPr>
            <w:tcW w:type="dxa" w:w="2708"/>
            <w:tcMar>
              <w:top w:type="dxa" w:w="60"/>
              <w:left w:type="dxa" w:w="100"/>
              <w:bottom w:type="dxa" w:w="60"/>
              <w:right w:type="dxa" w:w="100"/>
            </w:tcMar>
            <w:vAlign w:val="center"/>
          </w:tcPr>
          <w:p>
            <w:pPr>
              <w:spacing w:after="20" w:before="20"/>
            </w:pPr>
            <w:r>
              <w:rPr>
                <w:sz w:val="20"/>
                <w:szCs w:val="20"/>
              </w:rPr>
              <w:t xml:space="preserve">Three digits — distinguished from RPT-nn principles by digit count and context</w:t>
            </w:r>
          </w:p>
        </w:tc>
        <w:tc>
          <w:tcPr>
            <w:tcW w:type="dxa" w:w="1444"/>
            <w:tcMar>
              <w:top w:type="dxa" w:w="60"/>
              <w:left w:type="dxa" w:w="100"/>
              <w:bottom w:type="dxa" w:w="60"/>
              <w:right w:type="dxa" w:w="100"/>
            </w:tcMar>
            <w:vAlign w:val="center"/>
          </w:tcPr>
          <w:p>
            <w:pPr>
              <w:spacing w:after="20" w:before="20"/>
            </w:pPr>
            <w:r>
              <w:rPr>
                <w:sz w:val="20"/>
                <w:szCs w:val="20"/>
              </w:rPr>
              <w:t xml:space="preserve">RPT-011</w:t>
            </w:r>
          </w:p>
        </w:tc>
        <w:tc>
          <w:tcPr>
            <w:tcW w:type="dxa" w:w="1263"/>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DSH-nnn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Dashboard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DSH-003</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US-nnn</w:t>
            </w:r>
          </w:p>
        </w:tc>
        <w:tc>
          <w:tcPr>
            <w:tcW w:type="dxa" w:w="2347"/>
            <w:tcMar>
              <w:top w:type="dxa" w:w="60"/>
              <w:left w:type="dxa" w:w="100"/>
              <w:bottom w:type="dxa" w:w="60"/>
              <w:right w:type="dxa" w:w="100"/>
            </w:tcMar>
            <w:vAlign w:val="center"/>
          </w:tcPr>
          <w:p>
            <w:pPr>
              <w:spacing w:after="20" w:before="20"/>
            </w:pPr>
            <w:r>
              <w:rPr>
                <w:sz w:val="20"/>
                <w:szCs w:val="20"/>
              </w:rPr>
              <w:t xml:space="preserve">User story</w:t>
            </w:r>
          </w:p>
        </w:tc>
        <w:tc>
          <w:tcPr>
            <w:tcW w:type="dxa" w:w="2708"/>
            <w:tcMar>
              <w:top w:type="dxa" w:w="60"/>
              <w:left w:type="dxa" w:w="100"/>
              <w:bottom w:type="dxa" w:w="60"/>
              <w:right w:type="dxa" w:w="100"/>
            </w:tcMar>
            <w:vAlign w:val="center"/>
          </w:tcPr>
          <w:p>
            <w:pPr>
              <w:spacing w:after="20" w:before="20"/>
            </w:pPr>
            <w:r>
              <w:rPr>
                <w:sz w:val="20"/>
                <w:szCs w:val="20"/>
              </w:rPr>
              <w:t xml:space="preserve">Three digits or more</w:t>
            </w:r>
          </w:p>
        </w:tc>
        <w:tc>
          <w:tcPr>
            <w:tcW w:type="dxa" w:w="1444"/>
            <w:tcMar>
              <w:top w:type="dxa" w:w="60"/>
              <w:left w:type="dxa" w:w="100"/>
              <w:bottom w:type="dxa" w:w="60"/>
              <w:right w:type="dxa" w:w="100"/>
            </w:tcMar>
            <w:vAlign w:val="center"/>
          </w:tcPr>
          <w:p>
            <w:pPr>
              <w:spacing w:after="20" w:before="20"/>
            </w:pPr>
            <w:r>
              <w:rPr>
                <w:sz w:val="20"/>
                <w:szCs w:val="20"/>
              </w:rPr>
              <w:t xml:space="preserve">US-281</w:t>
            </w:r>
          </w:p>
        </w:tc>
        <w:tc>
          <w:tcPr>
            <w:tcW w:type="dxa" w:w="1263"/>
            <w:tcMar>
              <w:top w:type="dxa" w:w="60"/>
              <w:left w:type="dxa" w:w="100"/>
              <w:bottom w:type="dxa" w:w="60"/>
              <w:right w:type="dxa" w:w="100"/>
            </w:tcMar>
            <w:vAlign w:val="center"/>
          </w:tcPr>
          <w:p>
            <w:pPr>
              <w:spacing w:after="20" w:before="20"/>
            </w:pPr>
            <w:r>
              <w:rPr>
                <w:sz w:val="20"/>
                <w:szCs w:val="20"/>
              </w:rPr>
              <w:t xml:space="preserve">Product Owner</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TC-nnn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Test case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 or more</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TC-415</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QA</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MOD-xxx</w:t>
            </w:r>
          </w:p>
        </w:tc>
        <w:tc>
          <w:tcPr>
            <w:tcW w:type="dxa" w:w="2347"/>
            <w:tcMar>
              <w:top w:type="dxa" w:w="60"/>
              <w:left w:type="dxa" w:w="100"/>
              <w:bottom w:type="dxa" w:w="60"/>
              <w:right w:type="dxa" w:w="100"/>
            </w:tcMar>
            <w:vAlign w:val="center"/>
          </w:tcPr>
          <w:p>
            <w:pPr>
              <w:spacing w:after="20" w:before="20"/>
            </w:pPr>
            <w:r>
              <w:rPr>
                <w:sz w:val="20"/>
                <w:szCs w:val="20"/>
              </w:rPr>
              <w:t xml:space="preserve">Module</w:t>
            </w:r>
          </w:p>
        </w:tc>
        <w:tc>
          <w:tcPr>
            <w:tcW w:type="dxa" w:w="2708"/>
            <w:tcMar>
              <w:top w:type="dxa" w:w="60"/>
              <w:left w:type="dxa" w:w="100"/>
              <w:bottom w:type="dxa" w:w="60"/>
              <w:right w:type="dxa" w:w="100"/>
            </w:tcMar>
            <w:vAlign w:val="center"/>
          </w:tcPr>
          <w:p>
            <w:pPr>
              <w:spacing w:after="20" w:before="20"/>
            </w:pPr>
            <w:r>
              <w:rPr>
                <w:sz w:val="20"/>
                <w:szCs w:val="20"/>
              </w:rPr>
              <w:t xml:space="preserve">Three uppercase letters</w:t>
            </w:r>
          </w:p>
        </w:tc>
        <w:tc>
          <w:tcPr>
            <w:tcW w:type="dxa" w:w="1444"/>
            <w:tcMar>
              <w:top w:type="dxa" w:w="60"/>
              <w:left w:type="dxa" w:w="100"/>
              <w:bottom w:type="dxa" w:w="60"/>
              <w:right w:type="dxa" w:w="100"/>
            </w:tcMar>
            <w:vAlign w:val="center"/>
          </w:tcPr>
          <w:p>
            <w:pPr>
              <w:spacing w:after="20" w:before="20"/>
            </w:pPr>
            <w:r>
              <w:rPr>
                <w:sz w:val="20"/>
                <w:szCs w:val="20"/>
              </w:rPr>
              <w:t xml:space="preserve">MOD-VLV</w:t>
            </w:r>
          </w:p>
        </w:tc>
        <w:tc>
          <w:tcPr>
            <w:tcW w:type="dxa" w:w="1263"/>
            <w:tcMar>
              <w:top w:type="dxa" w:w="60"/>
              <w:left w:type="dxa" w:w="100"/>
              <w:bottom w:type="dxa" w:w="60"/>
              <w:right w:type="dxa" w:w="100"/>
            </w:tcMar>
            <w:vAlign w:val="center"/>
          </w:tcPr>
          <w:p>
            <w:pPr>
              <w:spacing w:after="20" w:before="20"/>
            </w:pPr>
            <w:r>
              <w:rPr>
                <w:sz w:val="20"/>
                <w:szCs w:val="20"/>
              </w:rPr>
              <w:t xml:space="preserve">Product Owner</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Collision note  </w:t>
      </w:r>
      <w:r>
        <w:rPr>
          <w:sz w:val="20"/>
          <w:szCs w:val="20"/>
        </w:rPr>
        <w:t xml:space="preserve">RPT is used for both reporting principles (RPT-nn, two digits) and report definitions (RPT-nnn, three digits). This is tolerated because the digit count and the context always disambiguate, and because renaming either would break existing citations. Any future prefix shall not reuse an existing three-letter code.</w:t>
      </w:r>
    </w:p>
    <w:p>
      <w:pPr>
        <w:pStyle w:val="Heading2"/>
        <w:spacing w:after="120" w:before="260"/>
      </w:pPr>
      <w:r>
        <w:rPr>
          <w:b/>
          <w:bCs/>
          <w:color w:val="2E74B5"/>
          <w:sz w:val="25"/>
          <w:szCs w:val="25"/>
        </w:rPr>
        <w:t xml:space="preserve">3.2 Identifier rules</w:t>
      </w:r>
    </w:p>
    <w:p>
      <w:pPr>
        <w:pStyle w:val="ListParagraph"/>
        <w:numPr>
          <w:ilvl w:val="0"/>
          <w:numId w:val="2"/>
        </w:numPr>
        <w:spacing w:after="60"/>
      </w:pPr>
      <w:r>
        <w:t xml:space="preserve">An identifier is allocated once and never reused, including after retirement.</w:t>
      </w:r>
    </w:p>
    <w:p>
      <w:pPr>
        <w:pStyle w:val="ListParagraph"/>
        <w:numPr>
          <w:ilvl w:val="0"/>
          <w:numId w:val="2"/>
        </w:numPr>
        <w:spacing w:after="60"/>
      </w:pPr>
      <w:r>
        <w:t xml:space="preserve">An identifier is never renumbered to close a gap. Gaps are expected and harmless.</w:t>
      </w:r>
    </w:p>
    <w:p>
      <w:pPr>
        <w:pStyle w:val="ListParagraph"/>
        <w:numPr>
          <w:ilvl w:val="0"/>
          <w:numId w:val="2"/>
        </w:numPr>
        <w:spacing w:after="60"/>
      </w:pPr>
      <w:r>
        <w:t xml:space="preserve">A retired identifier is retained in the register with status Retired and the reason.</w:t>
      </w:r>
    </w:p>
    <w:p>
      <w:pPr>
        <w:pStyle w:val="ListParagraph"/>
        <w:numPr>
          <w:ilvl w:val="0"/>
          <w:numId w:val="2"/>
        </w:numPr>
        <w:spacing w:after="60"/>
      </w:pPr>
      <w:r>
        <w:t xml:space="preserve">An identifier never encodes a hierarchy that can change. CAP identifiers encode a domain because domain membership is fixed by ADR; they do not encode a subdomain because a capability may move between subdomains within a domain.</w:t>
      </w:r>
    </w:p>
    <w:p>
      <w:pPr>
        <w:pStyle w:val="ListParagraph"/>
        <w:numPr>
          <w:ilvl w:val="0"/>
          <w:numId w:val="2"/>
        </w:numPr>
        <w:spacing w:after="60"/>
      </w:pPr>
      <w:r>
        <w:t xml:space="preserve">An identifier never encodes a version. Versions belong to the document, not the identifier.</w:t>
      </w:r>
    </w:p>
    <w:p>
      <w:pPr>
        <w:pStyle w:val="ListParagraph"/>
        <w:numPr>
          <w:ilvl w:val="0"/>
          <w:numId w:val="2"/>
        </w:numPr>
        <w:spacing w:after="60"/>
      </w:pPr>
      <w:r>
        <w:t xml:space="preserve">A citation is always by identifier plus name on first use in a document, and by identifier alone thereafter.</w:t>
      </w:r>
    </w:p>
    <w:p>
      <w:r>
        <w:br w:type="page"/>
      </w:r>
    </w:p>
    <w:p>
      <w:pPr>
        <w:pStyle w:val="Heading1"/>
        <w:spacing w:after="160" w:before="320"/>
      </w:pPr>
      <w:r>
        <w:rPr>
          <w:b/>
          <w:bCs/>
          <w:color w:val="1F4E79"/>
          <w:sz w:val="30"/>
          <w:szCs w:val="30"/>
        </w:rPr>
        <w:t xml:space="preserve">4. Business Naming</w:t>
      </w:r>
    </w:p>
    <w:p>
      <w:pPr>
        <w:pStyle w:val="Heading2"/>
        <w:spacing w:after="120" w:before="260"/>
      </w:pPr>
      <w:r>
        <w:rPr>
          <w:b/>
          <w:bCs/>
          <w:color w:val="2E74B5"/>
          <w:sz w:val="25"/>
          <w:szCs w:val="25"/>
        </w:rPr>
        <w:t xml:space="preserve">4.1 Object names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2708"/>
        <w:gridCol w:w="3249"/>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Correct</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Incorrect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Singular noun phrase, title case.</w:t>
            </w:r>
          </w:p>
        </w:tc>
        <w:tc>
          <w:tcPr>
            <w:tcW w:type="dxa" w:w="2708"/>
            <w:tcMar>
              <w:top w:type="dxa" w:w="60"/>
              <w:left w:type="dxa" w:w="100"/>
              <w:bottom w:type="dxa" w:w="60"/>
              <w:right w:type="dxa" w:w="100"/>
            </w:tcMar>
            <w:vAlign w:val="center"/>
          </w:tcPr>
          <w:p>
            <w:pPr>
              <w:spacing w:after="20" w:before="20"/>
            </w:pPr>
            <w:r>
              <w:rPr>
                <w:sz w:val="20"/>
                <w:szCs w:val="20"/>
              </w:rPr>
              <w:t xml:space="preserve">Custody Assignment</w:t>
            </w:r>
          </w:p>
        </w:tc>
        <w:tc>
          <w:tcPr>
            <w:tcW w:type="dxa" w:w="3249"/>
            <w:tcMar>
              <w:top w:type="dxa" w:w="60"/>
              <w:left w:type="dxa" w:w="100"/>
              <w:bottom w:type="dxa" w:w="60"/>
              <w:right w:type="dxa" w:w="100"/>
            </w:tcMar>
            <w:vAlign w:val="center"/>
          </w:tcPr>
          <w:p>
            <w:pPr>
              <w:spacing w:after="20" w:before="20"/>
            </w:pPr>
            <w:r>
              <w:rPr>
                <w:sz w:val="20"/>
                <w:szCs w:val="20"/>
              </w:rPr>
              <w:t xml:space="preserve">CustodyAssignments, custody_assignment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No type suffix.</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Verification Result Entity, VerificationResultDTO</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No domain prefix.</w:t>
            </w:r>
          </w:p>
        </w:tc>
        <w:tc>
          <w:tcPr>
            <w:tcW w:type="dxa" w:w="2708"/>
            <w:tcMar>
              <w:top w:type="dxa" w:w="60"/>
              <w:left w:type="dxa" w:w="100"/>
              <w:bottom w:type="dxa" w:w="60"/>
              <w:right w:type="dxa" w:w="100"/>
            </w:tcMar>
            <w:vAlign w:val="center"/>
          </w:tcPr>
          <w:p>
            <w:pPr>
              <w:spacing w:after="20" w:before="20"/>
            </w:pPr>
            <w:r>
              <w:rPr>
                <w:sz w:val="20"/>
                <w:szCs w:val="20"/>
              </w:rPr>
              <w:t xml:space="preserve">Permit</w:t>
            </w:r>
          </w:p>
        </w:tc>
        <w:tc>
          <w:tcPr>
            <w:tcW w:type="dxa" w:w="3249"/>
            <w:tcMar>
              <w:top w:type="dxa" w:w="60"/>
              <w:left w:type="dxa" w:w="100"/>
              <w:bottom w:type="dxa" w:w="60"/>
              <w:right w:type="dxa" w:w="100"/>
            </w:tcMar>
            <w:vAlign w:val="center"/>
          </w:tcPr>
          <w:p>
            <w:pPr>
              <w:spacing w:after="20" w:before="20"/>
            </w:pPr>
            <w:r>
              <w:rPr>
                <w:sz w:val="20"/>
                <w:szCs w:val="20"/>
              </w:rPr>
              <w:t xml:space="preserve">SEC Permit, SecPermit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language, not implementation.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Count Row, Scan Record</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Distinguish near neighbors explicitly.</w:t>
            </w:r>
          </w:p>
        </w:tc>
        <w:tc>
          <w:tcPr>
            <w:tcW w:type="dxa" w:w="2708"/>
            <w:tcMar>
              <w:top w:type="dxa" w:w="60"/>
              <w:left w:type="dxa" w:w="100"/>
              <w:bottom w:type="dxa" w:w="60"/>
              <w:right w:type="dxa" w:w="100"/>
            </w:tcMar>
            <w:vAlign w:val="center"/>
          </w:tcPr>
          <w:p>
            <w:pPr>
              <w:spacing w:after="20" w:before="20"/>
            </w:pPr>
            <w:r>
              <w:rPr>
                <w:sz w:val="20"/>
                <w:szCs w:val="20"/>
              </w:rPr>
              <w:t xml:space="preserve">Permit versus Loading Order</w:t>
            </w:r>
          </w:p>
        </w:tc>
        <w:tc>
          <w:tcPr>
            <w:tcW w:type="dxa" w:w="3249"/>
            <w:tcMar>
              <w:top w:type="dxa" w:w="60"/>
              <w:left w:type="dxa" w:w="100"/>
              <w:bottom w:type="dxa" w:w="60"/>
              <w:right w:type="dxa" w:w="100"/>
            </w:tcMar>
            <w:vAlign w:val="center"/>
          </w:tcPr>
          <w:p>
            <w:pPr>
              <w:spacing w:after="20" w:before="20"/>
            </w:pPr>
            <w:r>
              <w:rPr>
                <w:sz w:val="20"/>
                <w:szCs w:val="20"/>
              </w:rPr>
              <w:t xml:space="preserve">Load Document for both</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 configuration object is named for what it configures.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Legend Definition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Legend Config, LegendSettings</w:t>
            </w:r>
          </w:p>
        </w:tc>
      </w:tr>
    </w:tbl>
    <w:p>
      <w:pPr>
        <w:pStyle w:val="Heading2"/>
        <w:spacing w:after="120" w:before="260"/>
      </w:pPr>
      <w:r>
        <w:rPr>
          <w:b/>
          <w:bCs/>
          <w:color w:val="2E74B5"/>
          <w:sz w:val="25"/>
          <w:szCs w:val="25"/>
        </w:rPr>
        <w:t xml:space="preserve">4.2 Attribute names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249"/>
        <w:gridCol w:w="2527"/>
        <w:gridCol w:w="3250"/>
      </w:tblGrid>
      <w:tr>
        <w:trPr>
          <w:tblHeader/>
        </w:trPr>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Correct</w:t>
            </w:r>
          </w:p>
        </w:tc>
        <w:tc>
          <w:tcPr>
            <w:tcW w:type="dxa" w:w="325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Incorrect</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Title case in specifications, business language.</w:t>
            </w:r>
          </w:p>
        </w:tc>
        <w:tc>
          <w:tcPr>
            <w:tcW w:type="dxa" w:w="2527"/>
            <w:tcMar>
              <w:top w:type="dxa" w:w="60"/>
              <w:left w:type="dxa" w:w="100"/>
              <w:bottom w:type="dxa" w:w="60"/>
              <w:right w:type="dxa" w:w="100"/>
            </w:tcMar>
            <w:vAlign w:val="center"/>
          </w:tcPr>
          <w:p>
            <w:pPr>
              <w:spacing w:after="20" w:before="20"/>
            </w:pPr>
            <w:r>
              <w:rPr>
                <w:sz w:val="20"/>
                <w:szCs w:val="20"/>
              </w:rPr>
              <w:t xml:space="preserve">Owning Department</w:t>
            </w:r>
          </w:p>
        </w:tc>
        <w:tc>
          <w:tcPr>
            <w:tcW w:type="dxa" w:w="3250"/>
            <w:tcMar>
              <w:top w:type="dxa" w:w="60"/>
              <w:left w:type="dxa" w:w="100"/>
              <w:bottom w:type="dxa" w:w="60"/>
              <w:right w:type="dxa" w:w="100"/>
            </w:tcMar>
            <w:vAlign w:val="center"/>
          </w:tcPr>
          <w:p>
            <w:pPr>
              <w:spacing w:after="20" w:before="20"/>
            </w:pPr>
            <w:r>
              <w:rPr>
                <w:sz w:val="20"/>
                <w:szCs w:val="20"/>
              </w:rPr>
              <w:t xml:space="preserve">owner_dept, DeptOwner</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 reference names the target, not the mechanism.</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Asset Type Id, AssetTypeFK</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A timestamp ends in At; a date ends in Date.</w:t>
            </w:r>
          </w:p>
        </w:tc>
        <w:tc>
          <w:tcPr>
            <w:tcW w:type="dxa" w:w="2527"/>
            <w:tcMar>
              <w:top w:type="dxa" w:w="60"/>
              <w:left w:type="dxa" w:w="100"/>
              <w:bottom w:type="dxa" w:w="60"/>
              <w:right w:type="dxa" w:w="100"/>
            </w:tcMar>
            <w:vAlign w:val="center"/>
          </w:tcPr>
          <w:p>
            <w:pPr>
              <w:spacing w:after="20" w:before="20"/>
            </w:pPr>
            <w:r>
              <w:rPr>
                <w:sz w:val="20"/>
                <w:szCs w:val="20"/>
              </w:rPr>
              <w:t xml:space="preserve">Sealed At, Purchase Date</w:t>
            </w:r>
          </w:p>
        </w:tc>
        <w:tc>
          <w:tcPr>
            <w:tcW w:type="dxa" w:w="3250"/>
            <w:tcMar>
              <w:top w:type="dxa" w:w="60"/>
              <w:left w:type="dxa" w:w="100"/>
              <w:bottom w:type="dxa" w:w="60"/>
              <w:right w:type="dxa" w:w="100"/>
            </w:tcMar>
            <w:vAlign w:val="center"/>
          </w:tcPr>
          <w:p>
            <w:pPr>
              <w:spacing w:after="20" w:before="20"/>
            </w:pPr>
            <w:r>
              <w:rPr>
                <w:sz w:val="20"/>
                <w:szCs w:val="20"/>
              </w:rPr>
              <w:t xml:space="preserve">SealTime, PurchaseDt</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 count ends in Count; a sum ends in Total or Value.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Missing Count, Purchase Value</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NumMissing, PurchaseAmt</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A boolean reads as an assertion.</w:t>
            </w:r>
          </w:p>
        </w:tc>
        <w:tc>
          <w:tcPr>
            <w:tcW w:type="dxa" w:w="2527"/>
            <w:tcMar>
              <w:top w:type="dxa" w:w="60"/>
              <w:left w:type="dxa" w:w="100"/>
              <w:bottom w:type="dxa" w:w="60"/>
              <w:right w:type="dxa" w:w="100"/>
            </w:tcMar>
            <w:vAlign w:val="center"/>
          </w:tcPr>
          <w:p>
            <w:pPr>
              <w:spacing w:after="20" w:before="20"/>
            </w:pPr>
            <w:r>
              <w:rPr>
                <w:sz w:val="20"/>
                <w:szCs w:val="20"/>
              </w:rPr>
              <w:t xml:space="preserve">Is Primary, Trusted</w:t>
            </w:r>
          </w:p>
        </w:tc>
        <w:tc>
          <w:tcPr>
            <w:tcW w:type="dxa" w:w="3250"/>
            <w:tcMar>
              <w:top w:type="dxa" w:w="60"/>
              <w:left w:type="dxa" w:w="100"/>
              <w:bottom w:type="dxa" w:w="60"/>
              <w:right w:type="dxa" w:w="100"/>
            </w:tcMar>
            <w:vAlign w:val="center"/>
          </w:tcPr>
          <w:p>
            <w:pPr>
              <w:spacing w:after="20" w:before="20"/>
            </w:pPr>
            <w:r>
              <w:rPr>
                <w:sz w:val="20"/>
                <w:szCs w:val="20"/>
              </w:rPr>
              <w:t xml:space="preserve">PrimaryFlag, TrustYN</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An enumeration attribute is named for the concept, not the list.</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Status, Outcome, Severity</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StatusEnum, OutcomeCode</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A capability-dependent attribute is named as if it always existed.</w:t>
            </w:r>
          </w:p>
        </w:tc>
        <w:tc>
          <w:tcPr>
            <w:tcW w:type="dxa" w:w="2527"/>
            <w:tcMar>
              <w:top w:type="dxa" w:w="60"/>
              <w:left w:type="dxa" w:w="100"/>
              <w:bottom w:type="dxa" w:w="60"/>
              <w:right w:type="dxa" w:w="100"/>
            </w:tcMar>
            <w:vAlign w:val="center"/>
          </w:tcPr>
          <w:p>
            <w:pPr>
              <w:spacing w:after="20" w:before="20"/>
            </w:pPr>
            <w:r>
              <w:rPr>
                <w:sz w:val="20"/>
                <w:szCs w:val="20"/>
              </w:rPr>
              <w:t xml:space="preserve">RFID Tag</w:t>
            </w:r>
          </w:p>
        </w:tc>
        <w:tc>
          <w:tcPr>
            <w:tcW w:type="dxa" w:w="3250"/>
            <w:tcMar>
              <w:top w:type="dxa" w:w="60"/>
              <w:left w:type="dxa" w:w="100"/>
              <w:bottom w:type="dxa" w:w="60"/>
              <w:right w:type="dxa" w:w="100"/>
            </w:tcMar>
            <w:vAlign w:val="center"/>
          </w:tcPr>
          <w:p>
            <w:pPr>
              <w:spacing w:after="20" w:before="20"/>
            </w:pPr>
            <w:r>
              <w:rPr>
                <w:sz w:val="20"/>
                <w:szCs w:val="20"/>
              </w:rPr>
              <w:t xml:space="preserve">Optional RFID Tag, RFID Tag If Enabled</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Never repeat the object name in its own attribute.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 Name</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Asset — Asset Name</w:t>
            </w:r>
          </w:p>
        </w:tc>
      </w:tr>
    </w:tbl>
    <w:p>
      <w:pPr>
        <w:pStyle w:val="Heading2"/>
        <w:spacing w:after="120" w:before="260"/>
      </w:pPr>
      <w:r>
        <w:rPr>
          <w:b/>
          <w:bCs/>
          <w:color w:val="2E74B5"/>
          <w:sz w:val="25"/>
          <w:szCs w:val="25"/>
        </w:rPr>
        <w:t xml:space="preserve">4.3 Status and enumeration values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status is an adjective or a past participle describing the state of the thing.</w:t>
            </w:r>
          </w:p>
        </w:tc>
        <w:tc>
          <w:tcPr>
            <w:tcW w:type="dxa" w:w="4513"/>
            <w:tcMar>
              <w:top w:type="dxa" w:w="60"/>
              <w:left w:type="dxa" w:w="100"/>
              <w:bottom w:type="dxa" w:w="60"/>
              <w:right w:type="dxa" w:w="100"/>
            </w:tcMar>
            <w:vAlign w:val="center"/>
          </w:tcPr>
          <w:p>
            <w:pPr>
              <w:spacing w:after="20" w:before="20"/>
            </w:pPr>
            <w:r>
              <w:rPr>
                <w:sz w:val="20"/>
                <w:szCs w:val="20"/>
              </w:rPr>
              <w:t xml:space="preserve">Active, Sealed, Dispatched, Closed, Revoked</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Not a verb describing what to do next.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Not "To Approve" — use "Pending Approval"</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terminal status is unambiguous.</w:t>
            </w:r>
          </w:p>
        </w:tc>
        <w:tc>
          <w:tcPr>
            <w:tcW w:type="dxa" w:w="4513"/>
            <w:tcMar>
              <w:top w:type="dxa" w:w="60"/>
              <w:left w:type="dxa" w:w="100"/>
              <w:bottom w:type="dxa" w:w="60"/>
              <w:right w:type="dxa" w:w="100"/>
            </w:tcMar>
            <w:vAlign w:val="center"/>
          </w:tcPr>
          <w:p>
            <w:pPr>
              <w:spacing w:after="20" w:before="20"/>
            </w:pPr>
            <w:r>
              <w:rPr>
                <w:sz w:val="20"/>
                <w:szCs w:val="20"/>
              </w:rPr>
              <w:t xml:space="preserve">Disposed, Archived, Revoked, Closed Unresolved</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pending status names what is awaited.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Pending Owner, Pending Manager, Pending Security</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An outcome names the result, not the process.</w:t>
            </w:r>
          </w:p>
        </w:tc>
        <w:tc>
          <w:tcPr>
            <w:tcW w:type="dxa" w:w="4513"/>
            <w:tcMar>
              <w:top w:type="dxa" w:w="60"/>
              <w:left w:type="dxa" w:w="100"/>
              <w:bottom w:type="dxa" w:w="60"/>
              <w:right w:type="dxa" w:w="100"/>
            </w:tcMar>
            <w:vAlign w:val="center"/>
          </w:tcPr>
          <w:p>
            <w:pPr>
              <w:spacing w:after="20" w:before="20"/>
            </w:pPr>
            <w:r>
              <w:rPr>
                <w:sz w:val="20"/>
                <w:szCs w:val="20"/>
              </w:rPr>
              <w:t xml:space="preserve">Pass, Alert, Alarm, Inconclusive</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customer may rename a status; the category is fixed.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Category Working; customer name "In Service"</w:t>
            </w:r>
          </w:p>
        </w:tc>
      </w:tr>
    </w:tbl>
    <w:p>
      <w:pPr>
        <w:pStyle w:val="Heading2"/>
        <w:spacing w:after="120" w:before="260"/>
      </w:pPr>
      <w:r>
        <w:rPr>
          <w:b/>
          <w:bCs/>
          <w:color w:val="2E74B5"/>
          <w:sz w:val="25"/>
          <w:szCs w:val="25"/>
        </w:rPr>
        <w:t xml:space="preserve">4.4 Event names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430"/>
        <w:gridCol w:w="2888"/>
        <w:gridCol w:w="2708"/>
      </w:tblGrid>
      <w:tr>
        <w:trPr>
          <w:tblHeader/>
        </w:trPr>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Correct</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Incorrect</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Subject then past-tense verb, pascal case, no separator.</w:t>
            </w:r>
          </w:p>
        </w:tc>
        <w:tc>
          <w:tcPr>
            <w:tcW w:type="dxa" w:w="2888"/>
            <w:tcMar>
              <w:top w:type="dxa" w:w="60"/>
              <w:left w:type="dxa" w:w="100"/>
              <w:bottom w:type="dxa" w:w="60"/>
              <w:right w:type="dxa" w:w="100"/>
            </w:tcMar>
            <w:vAlign w:val="center"/>
          </w:tcPr>
          <w:p>
            <w:pPr>
              <w:spacing w:after="20" w:before="20"/>
            </w:pPr>
            <w:r>
              <w:rPr>
                <w:sz w:val="20"/>
                <w:szCs w:val="20"/>
              </w:rPr>
              <w:t xml:space="preserve">AssetLocationChanged</w:t>
            </w:r>
          </w:p>
        </w:tc>
        <w:tc>
          <w:tcPr>
            <w:tcW w:type="dxa" w:w="2708"/>
            <w:tcMar>
              <w:top w:type="dxa" w:w="60"/>
              <w:left w:type="dxa" w:w="100"/>
              <w:bottom w:type="dxa" w:w="60"/>
              <w:right w:type="dxa" w:w="100"/>
            </w:tcMar>
            <w:vAlign w:val="center"/>
          </w:tcPr>
          <w:p>
            <w:pPr>
              <w:spacing w:after="20" w:before="20"/>
            </w:pPr>
            <w:r>
              <w:rPr>
                <w:sz w:val="20"/>
                <w:szCs w:val="20"/>
              </w:rPr>
              <w:t xml:space="preserve">asset_location_changed, ChangeAssetLocation</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Past tense always. An event reports what happened.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PermitApproved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ApprovePermit, PermitApproval</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Name the business fact, not the technical operation.</w:t>
            </w:r>
          </w:p>
        </w:tc>
        <w:tc>
          <w:tcPr>
            <w:tcW w:type="dxa" w:w="2888"/>
            <w:tcMar>
              <w:top w:type="dxa" w:w="60"/>
              <w:left w:type="dxa" w:w="100"/>
              <w:bottom w:type="dxa" w:w="60"/>
              <w:right w:type="dxa" w:w="100"/>
            </w:tcMar>
            <w:vAlign w:val="center"/>
          </w:tcPr>
          <w:p>
            <w:pPr>
              <w:spacing w:after="20" w:before="20"/>
            </w:pPr>
            <w:r>
              <w:rPr>
                <w:sz w:val="20"/>
                <w:szCs w:val="20"/>
              </w:rPr>
              <w:t xml:space="preserve">LoadingVerificationFailed</w:t>
            </w:r>
          </w:p>
        </w:tc>
        <w:tc>
          <w:tcPr>
            <w:tcW w:type="dxa" w:w="2708"/>
            <w:tcMar>
              <w:top w:type="dxa" w:w="60"/>
              <w:left w:type="dxa" w:w="100"/>
              <w:bottom w:type="dxa" w:w="60"/>
              <w:right w:type="dxa" w:w="100"/>
            </w:tcMar>
            <w:vAlign w:val="center"/>
          </w:tcPr>
          <w:p>
            <w:pPr>
              <w:spacing w:after="20" w:before="20"/>
            </w:pPr>
            <w:r>
              <w:rPr>
                <w:sz w:val="20"/>
                <w:szCs w:val="20"/>
              </w:rPr>
              <w:t xml:space="preserve">VerifyRowUpdated</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No domain prefix. The publisher is metadata, not part of the name.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GateEventRecorded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SecGateEventRecorded</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Paired outcomes are symmetric.</w:t>
            </w:r>
          </w:p>
        </w:tc>
        <w:tc>
          <w:tcPr>
            <w:tcW w:type="dxa" w:w="2888"/>
            <w:tcMar>
              <w:top w:type="dxa" w:w="60"/>
              <w:left w:type="dxa" w:w="100"/>
              <w:bottom w:type="dxa" w:w="60"/>
              <w:right w:type="dxa" w:w="100"/>
            </w:tcMar>
            <w:vAlign w:val="center"/>
          </w:tcPr>
          <w:p>
            <w:pPr>
              <w:spacing w:after="20" w:before="20"/>
            </w:pPr>
            <w:r>
              <w:rPr>
                <w:sz w:val="20"/>
                <w:szCs w:val="20"/>
              </w:rPr>
              <w:t xml:space="preserve">LoadingVerificationPassed and LoadingVerificationFailed</w:t>
            </w:r>
          </w:p>
        </w:tc>
        <w:tc>
          <w:tcPr>
            <w:tcW w:type="dxa" w:w="2708"/>
            <w:tcMar>
              <w:top w:type="dxa" w:w="60"/>
              <w:left w:type="dxa" w:w="100"/>
              <w:bottom w:type="dxa" w:w="60"/>
              <w:right w:type="dxa" w:w="100"/>
            </w:tcMar>
            <w:vAlign w:val="center"/>
          </w:tcPr>
          <w:p>
            <w:pPr>
              <w:spacing w:after="20" w:before="20"/>
            </w:pPr>
            <w:r>
              <w:rPr>
                <w:sz w:val="20"/>
                <w:szCs w:val="20"/>
              </w:rPr>
              <w:t xml:space="preserve">VerificationOk and VerifyFail</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Archival events are explicit.</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BuildingArchived, ZoneArchived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BuildingDeleted</w:t>
            </w:r>
          </w:p>
        </w:tc>
      </w:tr>
    </w:tbl>
    <w:p>
      <w:pPr>
        <w:pStyle w:val="Heading2"/>
        <w:spacing w:after="120" w:before="260"/>
      </w:pPr>
      <w:r>
        <w:rPr>
          <w:b/>
          <w:bCs/>
          <w:color w:val="2E74B5"/>
          <w:sz w:val="25"/>
          <w:szCs w:val="25"/>
        </w:rPr>
        <w:t xml:space="preserve">4.5 Permission codes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5055"/>
        <w:gridCol w:w="2527"/>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Form</w:t>
            </w:r>
          </w:p>
        </w:tc>
        <w:tc>
          <w:tcPr>
            <w:tcW w:type="dxa" w:w="5055"/>
            <w:tcMar>
              <w:top w:type="dxa" w:w="60"/>
              <w:left w:type="dxa" w:w="100"/>
              <w:bottom w:type="dxa" w:w="60"/>
              <w:right w:type="dxa" w:w="100"/>
            </w:tcMar>
            <w:vAlign w:val="center"/>
          </w:tcPr>
          <w:p>
            <w:pPr>
              <w:spacing w:after="20" w:before="20"/>
            </w:pPr>
            <w:r>
              <w:rPr>
                <w:sz w:val="20"/>
                <w:szCs w:val="20"/>
              </w:rPr>
              <w:t xml:space="preserve">Lower case, dot-separated, three parts: namespace, subject, action.</w:t>
            </w:r>
          </w:p>
        </w:tc>
        <w:tc>
          <w:tcPr>
            <w:tcW w:type="dxa" w:w="2527"/>
            <w:tcMar>
              <w:top w:type="dxa" w:w="60"/>
              <w:left w:type="dxa" w:w="100"/>
              <w:bottom w:type="dxa" w:w="60"/>
              <w:right w:type="dxa" w:w="100"/>
            </w:tcMar>
            <w:vAlign w:val="center"/>
          </w:tcPr>
          <w:p>
            <w:pPr>
              <w:spacing w:after="20" w:before="20"/>
            </w:pPr>
            <w:r>
              <w:rPr>
                <w:sz w:val="20"/>
                <w:szCs w:val="20"/>
              </w:rPr>
              <w:t xml:space="preserve">ast.asset.dispose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Namespace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platform area or the module namespace.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ast, sec, ops, int, iam, vlv</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Subject</w:t>
            </w:r>
          </w:p>
        </w:tc>
        <w:tc>
          <w:tcPr>
            <w:tcW w:type="dxa" w:w="5055"/>
            <w:tcMar>
              <w:top w:type="dxa" w:w="60"/>
              <w:left w:type="dxa" w:w="100"/>
              <w:bottom w:type="dxa" w:w="60"/>
              <w:right w:type="dxa" w:w="100"/>
            </w:tcMar>
            <w:vAlign w:val="center"/>
          </w:tcPr>
          <w:p>
            <w:pPr>
              <w:spacing w:after="20" w:before="20"/>
            </w:pPr>
            <w:r>
              <w:rPr>
                <w:sz w:val="20"/>
                <w:szCs w:val="20"/>
              </w:rPr>
              <w:t xml:space="preserve">The object or concept acted upon, singular.</w:t>
            </w:r>
          </w:p>
        </w:tc>
        <w:tc>
          <w:tcPr>
            <w:tcW w:type="dxa" w:w="2527"/>
            <w:tcMar>
              <w:top w:type="dxa" w:w="60"/>
              <w:left w:type="dxa" w:w="100"/>
              <w:bottom w:type="dxa" w:w="60"/>
              <w:right w:type="dxa" w:w="100"/>
            </w:tcMar>
            <w:vAlign w:val="center"/>
          </w:tcPr>
          <w:p>
            <w:pPr>
              <w:spacing w:after="20" w:before="20"/>
            </w:pPr>
            <w:r>
              <w:rPr>
                <w:sz w:val="20"/>
                <w:szCs w:val="20"/>
              </w:rPr>
              <w:t xml:space="preserve">asset, permit, verification, session</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Action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From the closed set in PDS-05: create, read, update, delete, approve, execute, export, override, administer.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override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Uniqueness</w:t>
            </w:r>
          </w:p>
        </w:tc>
        <w:tc>
          <w:tcPr>
            <w:tcW w:type="dxa" w:w="5055"/>
            <w:tcMar>
              <w:top w:type="dxa" w:w="60"/>
              <w:left w:type="dxa" w:w="100"/>
              <w:bottom w:type="dxa" w:w="60"/>
              <w:right w:type="dxa" w:w="100"/>
            </w:tcMar>
            <w:vAlign w:val="center"/>
          </w:tcPr>
          <w:p>
            <w:pPr>
              <w:spacing w:after="20" w:before="20"/>
            </w:pPr>
            <w:r>
              <w:rPr>
                <w:sz w:val="20"/>
                <w:szCs w:val="20"/>
              </w:rPr>
              <w:t xml:space="preserve">Globally unique. A module registering a colliding code is refused.</w:t>
            </w:r>
          </w:p>
        </w:tc>
        <w:tc>
          <w:tcPr>
            <w:tcW w:type="dxa" w:w="2527"/>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Risk</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 permission that permits an override, an export or an administrative action is classified Elevated or Critical.</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sec.verification.override — Critical</w:t>
            </w:r>
          </w:p>
        </w:tc>
      </w:tr>
    </w:tbl>
    <w:p>
      <w:r>
        <w:br w:type="page"/>
      </w:r>
    </w:p>
    <w:p>
      <w:pPr>
        <w:pStyle w:val="Heading1"/>
        <w:spacing w:after="160" w:before="320"/>
      </w:pPr>
      <w:r>
        <w:rPr>
          <w:b/>
          <w:bCs/>
          <w:color w:val="1F4E79"/>
          <w:sz w:val="30"/>
          <w:szCs w:val="30"/>
        </w:rPr>
        <w:t xml:space="preserve">5. Technical Naming</w:t>
      </w:r>
    </w:p>
    <w:p>
      <w:pPr>
        <w:pStyle w:val="Heading2"/>
        <w:spacing w:after="120" w:before="260"/>
      </w:pPr>
      <w:r>
        <w:rPr>
          <w:b/>
          <w:bCs/>
          <w:color w:val="2E74B5"/>
          <w:sz w:val="25"/>
          <w:szCs w:val="25"/>
        </w:rPr>
        <w:t xml:space="preserve">5.1 API naming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4332"/>
        <w:gridCol w:w="3069"/>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Resource path</w:t>
            </w:r>
          </w:p>
        </w:tc>
        <w:tc>
          <w:tcPr>
            <w:tcW w:type="dxa" w:w="4332"/>
            <w:tcMar>
              <w:top w:type="dxa" w:w="60"/>
              <w:left w:type="dxa" w:w="100"/>
              <w:bottom w:type="dxa" w:w="60"/>
              <w:right w:type="dxa" w:w="100"/>
            </w:tcMar>
            <w:vAlign w:val="center"/>
          </w:tcPr>
          <w:p>
            <w:pPr>
              <w:spacing w:after="20" w:before="20"/>
            </w:pPr>
            <w:r>
              <w:rPr>
                <w:sz w:val="20"/>
                <w:szCs w:val="20"/>
              </w:rPr>
              <w:t xml:space="preserve">Plural, lower case, hyphenated where needed. Resources, not verbs.</w:t>
            </w:r>
          </w:p>
        </w:tc>
        <w:tc>
          <w:tcPr>
            <w:tcW w:type="dxa" w:w="3069"/>
            <w:tcMar>
              <w:top w:type="dxa" w:w="60"/>
              <w:left w:type="dxa" w:w="100"/>
              <w:bottom w:type="dxa" w:w="60"/>
              <w:right w:type="dxa" w:w="100"/>
            </w:tcMar>
            <w:vAlign w:val="center"/>
          </w:tcPr>
          <w:p>
            <w:pPr>
              <w:spacing w:after="20" w:before="20"/>
            </w:pPr>
            <w:r>
              <w:rPr>
                <w:sz w:val="20"/>
                <w:szCs w:val="20"/>
              </w:rPr>
              <w:t xml:space="preserve">/v1/assets, /v1/custody-assignments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Nested resource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Only where the child cannot exist independently.</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/v1/permits/{id}/lines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Action that is not CRUD</w:t>
            </w:r>
          </w:p>
        </w:tc>
        <w:tc>
          <w:tcPr>
            <w:tcW w:type="dxa" w:w="4332"/>
            <w:tcMar>
              <w:top w:type="dxa" w:w="60"/>
              <w:left w:type="dxa" w:w="100"/>
              <w:bottom w:type="dxa" w:w="60"/>
              <w:right w:type="dxa" w:w="100"/>
            </w:tcMar>
            <w:vAlign w:val="center"/>
          </w:tcPr>
          <w:p>
            <w:pPr>
              <w:spacing w:after="20" w:before="20"/>
            </w:pPr>
            <w:r>
              <w:rPr>
                <w:sz w:val="20"/>
                <w:szCs w:val="20"/>
              </w:rPr>
              <w:t xml:space="preserve">A sub-resource named for the action, in the imperative.</w:t>
            </w:r>
          </w:p>
        </w:tc>
        <w:tc>
          <w:tcPr>
            <w:tcW w:type="dxa" w:w="3069"/>
            <w:tcMar>
              <w:top w:type="dxa" w:w="60"/>
              <w:left w:type="dxa" w:w="100"/>
              <w:bottom w:type="dxa" w:w="60"/>
              <w:right w:type="dxa" w:w="100"/>
            </w:tcMar>
            <w:vAlign w:val="center"/>
          </w:tcPr>
          <w:p>
            <w:pPr>
              <w:spacing w:after="20" w:before="20"/>
            </w:pPr>
            <w:r>
              <w:rPr>
                <w:sz w:val="20"/>
                <w:szCs w:val="20"/>
              </w:rPr>
              <w:t xml:space="preserve">POST /v1/inventory-sessions/{id}/close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Version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Major version in the path. Never in a header or a query parameter.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/v1/</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Field names in payloads</w:t>
            </w:r>
          </w:p>
        </w:tc>
        <w:tc>
          <w:tcPr>
            <w:tcW w:type="dxa" w:w="4332"/>
            <w:tcMar>
              <w:top w:type="dxa" w:w="60"/>
              <w:left w:type="dxa" w:w="100"/>
              <w:bottom w:type="dxa" w:w="60"/>
              <w:right w:type="dxa" w:w="100"/>
            </w:tcMar>
            <w:vAlign w:val="center"/>
          </w:tcPr>
          <w:p>
            <w:pPr>
              <w:spacing w:after="20" w:before="20"/>
            </w:pPr>
            <w:r>
              <w:rPr>
                <w:sz w:val="20"/>
                <w:szCs w:val="20"/>
              </w:rPr>
              <w:t xml:space="preserve">Camel case, derived mechanically from the specification name.</w:t>
            </w:r>
          </w:p>
        </w:tc>
        <w:tc>
          <w:tcPr>
            <w:tcW w:type="dxa" w:w="3069"/>
            <w:tcMar>
              <w:top w:type="dxa" w:w="60"/>
              <w:left w:type="dxa" w:w="100"/>
              <w:bottom w:type="dxa" w:w="60"/>
              <w:right w:type="dxa" w:w="100"/>
            </w:tcMar>
            <w:vAlign w:val="center"/>
          </w:tcPr>
          <w:p>
            <w:pPr>
              <w:spacing w:after="20" w:before="20"/>
            </w:pPr>
            <w:r>
              <w:rPr>
                <w:sz w:val="20"/>
                <w:szCs w:val="20"/>
              </w:rPr>
              <w:t xml:space="preserve">owningDepartment, sealedAt, isPrimary</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Identifiers in payloads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reference field is named for the target with an Id suffix only in the wire format.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assetTypeId</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Collections</w:t>
            </w:r>
          </w:p>
        </w:tc>
        <w:tc>
          <w:tcPr>
            <w:tcW w:type="dxa" w:w="4332"/>
            <w:tcMar>
              <w:top w:type="dxa" w:w="60"/>
              <w:left w:type="dxa" w:w="100"/>
              <w:bottom w:type="dxa" w:w="60"/>
              <w:right w:type="dxa" w:w="100"/>
            </w:tcMar>
            <w:vAlign w:val="center"/>
          </w:tcPr>
          <w:p>
            <w:pPr>
              <w:spacing w:after="20" w:before="20"/>
            </w:pPr>
            <w:r>
              <w:rPr>
                <w:sz w:val="20"/>
                <w:szCs w:val="20"/>
              </w:rPr>
              <w:t xml:space="preserve">Always an object with a data array and paging metadata, never a bare array.</w:t>
            </w:r>
          </w:p>
        </w:tc>
        <w:tc>
          <w:tcPr>
            <w:tcW w:type="dxa" w:w="3069"/>
            <w:tcMar>
              <w:top w:type="dxa" w:w="60"/>
              <w:left w:type="dxa" w:w="100"/>
              <w:bottom w:type="dxa" w:w="60"/>
              <w:right w:type="dxa" w:w="100"/>
            </w:tcMar>
            <w:vAlign w:val="center"/>
          </w:tcPr>
          <w:p>
            <w:pPr>
              <w:spacing w:after="20" w:before="20"/>
            </w:pPr>
            <w:r>
              <w:rPr>
                <w:sz w:val="20"/>
                <w:szCs w:val="20"/>
              </w:rPr>
              <w:t xml:space="preserve">{ data: [...], paging: {...} }</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Errors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stable code, a class from PDS-07 section 3.1, a localized message, a correlation identifier.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 code: "VALIDATION_FAILED", ... }</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Idempotency</w:t>
            </w:r>
          </w:p>
        </w:tc>
        <w:tc>
          <w:tcPr>
            <w:tcW w:type="dxa" w:w="4332"/>
            <w:tcMar>
              <w:top w:type="dxa" w:w="60"/>
              <w:left w:type="dxa" w:w="100"/>
              <w:bottom w:type="dxa" w:w="60"/>
              <w:right w:type="dxa" w:w="100"/>
            </w:tcMar>
            <w:vAlign w:val="center"/>
          </w:tcPr>
          <w:p>
            <w:pPr>
              <w:spacing w:after="20" w:before="20"/>
            </w:pPr>
            <w:r>
              <w:rPr>
                <w:sz w:val="20"/>
                <w:szCs w:val="20"/>
              </w:rPr>
              <w:t xml:space="preserve">A header carrying a caller-supplied key on every unreliable-channel operation.</w:t>
            </w:r>
          </w:p>
        </w:tc>
        <w:tc>
          <w:tcPr>
            <w:tcW w:type="dxa" w:w="3069"/>
            <w:tcMar>
              <w:top w:type="dxa" w:w="60"/>
              <w:left w:type="dxa" w:w="100"/>
              <w:bottom w:type="dxa" w:w="60"/>
              <w:right w:type="dxa" w:w="100"/>
            </w:tcMar>
            <w:vAlign w:val="center"/>
          </w:tcPr>
          <w:p>
            <w:pPr>
              <w:spacing w:after="20" w:before="20"/>
            </w:pPr>
            <w:r>
              <w:rPr>
                <w:sz w:val="20"/>
                <w:szCs w:val="20"/>
              </w:rPr>
              <w:t xml:space="preserve">Idempotency-Key</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Filtering and sorting</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Query parameters with a declared grammar. Never free-form expressions.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?status=Working&amp;sort=-purchaseDate</w:t>
            </w:r>
          </w:p>
        </w:tc>
      </w:tr>
    </w:tbl>
    <w:p>
      <w:pPr>
        <w:pStyle w:val="Heading2"/>
        <w:spacing w:after="120" w:before="260"/>
      </w:pPr>
      <w:r>
        <w:rPr>
          <w:b/>
          <w:bCs/>
          <w:color w:val="2E74B5"/>
          <w:sz w:val="25"/>
          <w:szCs w:val="25"/>
        </w:rPr>
        <w:t xml:space="preserve">5.2 Database naming</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Position  </w:t>
      </w:r>
      <w:r>
        <w:rPr>
          <w:sz w:val="20"/>
          <w:szCs w:val="20"/>
        </w:rPr>
        <w:t xml:space="preserve">The physical model is derived from PDS-05. Derivation is mechanical, so that an engineer reading a table can find the object definition without a mapping document.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4694"/>
        <w:gridCol w:w="2707"/>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70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Table</w:t>
            </w:r>
          </w:p>
        </w:tc>
        <w:tc>
          <w:tcPr>
            <w:tcW w:type="dxa" w:w="4694"/>
            <w:tcMar>
              <w:top w:type="dxa" w:w="60"/>
              <w:left w:type="dxa" w:w="100"/>
              <w:bottom w:type="dxa" w:w="60"/>
              <w:right w:type="dxa" w:w="100"/>
            </w:tcMar>
            <w:vAlign w:val="center"/>
          </w:tcPr>
          <w:p>
            <w:pPr>
              <w:spacing w:after="20" w:before="20"/>
            </w:pPr>
            <w:r>
              <w:rPr>
                <w:sz w:val="20"/>
                <w:szCs w:val="20"/>
              </w:rPr>
              <w:t xml:space="preserve">Snake case, plural, derived from the object name. No prefix.</w:t>
            </w:r>
          </w:p>
        </w:tc>
        <w:tc>
          <w:tcPr>
            <w:tcW w:type="dxa" w:w="2707"/>
            <w:tcMar>
              <w:top w:type="dxa" w:w="60"/>
              <w:left w:type="dxa" w:w="100"/>
              <w:bottom w:type="dxa" w:w="60"/>
              <w:right w:type="dxa" w:w="100"/>
            </w:tcMar>
            <w:vAlign w:val="center"/>
          </w:tcPr>
          <w:p>
            <w:pPr>
              <w:spacing w:after="20" w:before="20"/>
            </w:pPr>
            <w:r>
              <w:rPr>
                <w:sz w:val="20"/>
                <w:szCs w:val="20"/>
              </w:rPr>
              <w:t xml:space="preserve">custody_assignments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Column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Snake case, derived from the attribute name.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owning_department_id, sealed_at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Primary key</w:t>
            </w:r>
          </w:p>
        </w:tc>
        <w:tc>
          <w:tcPr>
            <w:tcW w:type="dxa" w:w="4694"/>
            <w:tcMar>
              <w:top w:type="dxa" w:w="60"/>
              <w:left w:type="dxa" w:w="100"/>
              <w:bottom w:type="dxa" w:w="60"/>
              <w:right w:type="dxa" w:w="100"/>
            </w:tcMar>
            <w:vAlign w:val="center"/>
          </w:tcPr>
          <w:p>
            <w:pPr>
              <w:spacing w:after="20" w:before="20"/>
            </w:pPr>
            <w:r>
              <w:rPr>
                <w:sz w:val="20"/>
                <w:szCs w:val="20"/>
              </w:rPr>
              <w:t xml:space="preserve">id. A single surrogate key on every table.</w:t>
            </w:r>
          </w:p>
        </w:tc>
        <w:tc>
          <w:tcPr>
            <w:tcW w:type="dxa" w:w="2707"/>
            <w:tcMar>
              <w:top w:type="dxa" w:w="60"/>
              <w:left w:type="dxa" w:w="100"/>
              <w:bottom w:type="dxa" w:w="60"/>
              <w:right w:type="dxa" w:w="100"/>
            </w:tcMar>
            <w:vAlign w:val="center"/>
          </w:tcPr>
          <w:p>
            <w:pPr>
              <w:spacing w:after="20" w:before="20"/>
            </w:pPr>
            <w:r>
              <w:rPr>
                <w:sz w:val="20"/>
                <w:szCs w:val="20"/>
              </w:rPr>
              <w:t xml:space="preserve">id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Foreign key column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Target table singular, then _id.</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asset_type_id</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Foreign key constraint</w:t>
            </w:r>
          </w:p>
        </w:tc>
        <w:tc>
          <w:tcPr>
            <w:tcW w:type="dxa" w:w="4694"/>
            <w:tcMar>
              <w:top w:type="dxa" w:w="60"/>
              <w:left w:type="dxa" w:w="100"/>
              <w:bottom w:type="dxa" w:w="60"/>
              <w:right w:type="dxa" w:w="100"/>
            </w:tcMar>
            <w:vAlign w:val="center"/>
          </w:tcPr>
          <w:p>
            <w:pPr>
              <w:spacing w:after="20" w:before="20"/>
            </w:pPr>
            <w:r>
              <w:rPr>
                <w:sz w:val="20"/>
                <w:szCs w:val="20"/>
              </w:rPr>
              <w:t xml:space="preserve">fk_ then child table then _ then column.</w:t>
            </w:r>
          </w:p>
        </w:tc>
        <w:tc>
          <w:tcPr>
            <w:tcW w:type="dxa" w:w="2707"/>
            <w:tcMar>
              <w:top w:type="dxa" w:w="60"/>
              <w:left w:type="dxa" w:w="100"/>
              <w:bottom w:type="dxa" w:w="60"/>
              <w:right w:type="dxa" w:w="100"/>
            </w:tcMar>
            <w:vAlign w:val="center"/>
          </w:tcPr>
          <w:p>
            <w:pPr>
              <w:spacing w:after="20" w:before="20"/>
            </w:pPr>
            <w:r>
              <w:rPr>
                <w:sz w:val="20"/>
                <w:szCs w:val="20"/>
              </w:rPr>
              <w:t xml:space="preserve">fk_assets_asset_type_id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Unique constraint</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uq_ then table then _ then columns.</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uq_rfid_tags_tag_identifier</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Index</w:t>
            </w:r>
          </w:p>
        </w:tc>
        <w:tc>
          <w:tcPr>
            <w:tcW w:type="dxa" w:w="4694"/>
            <w:tcMar>
              <w:top w:type="dxa" w:w="60"/>
              <w:left w:type="dxa" w:w="100"/>
              <w:bottom w:type="dxa" w:w="60"/>
              <w:right w:type="dxa" w:w="100"/>
            </w:tcMar>
            <w:vAlign w:val="center"/>
          </w:tcPr>
          <w:p>
            <w:pPr>
              <w:spacing w:after="20" w:before="20"/>
            </w:pPr>
            <w:r>
              <w:rPr>
                <w:sz w:val="20"/>
                <w:szCs w:val="20"/>
              </w:rPr>
              <w:t xml:space="preserve">ix_ then table then _ then columns.</w:t>
            </w:r>
          </w:p>
        </w:tc>
        <w:tc>
          <w:tcPr>
            <w:tcW w:type="dxa" w:w="2707"/>
            <w:tcMar>
              <w:top w:type="dxa" w:w="60"/>
              <w:left w:type="dxa" w:w="100"/>
              <w:bottom w:type="dxa" w:w="60"/>
              <w:right w:type="dxa" w:w="100"/>
            </w:tcMar>
            <w:vAlign w:val="center"/>
          </w:tcPr>
          <w:p>
            <w:pPr>
              <w:spacing w:after="20" w:before="20"/>
            </w:pPr>
            <w:r>
              <w:rPr>
                <w:sz w:val="20"/>
                <w:szCs w:val="20"/>
              </w:rPr>
              <w:t xml:space="preserve">ix_gate_events_gate_id_event_time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Check constraint</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ck_ then table then _ then rule mnemonic.</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ck_permits_validity_window</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Extension table</w:t>
            </w:r>
          </w:p>
        </w:tc>
        <w:tc>
          <w:tcPr>
            <w:tcW w:type="dxa" w:w="4694"/>
            <w:tcMar>
              <w:top w:type="dxa" w:w="60"/>
              <w:left w:type="dxa" w:w="100"/>
              <w:bottom w:type="dxa" w:w="60"/>
              <w:right w:type="dxa" w:w="100"/>
            </w:tcMar>
            <w:vAlign w:val="center"/>
          </w:tcPr>
          <w:p>
            <w:pPr>
              <w:spacing w:after="20" w:before="20"/>
            </w:pPr>
            <w:r>
              <w:rPr>
                <w:sz w:val="20"/>
                <w:szCs w:val="20"/>
              </w:rPr>
              <w:t xml:space="preserve">Module namespace, then the host table.</w:t>
            </w:r>
          </w:p>
        </w:tc>
        <w:tc>
          <w:tcPr>
            <w:tcW w:type="dxa" w:w="2707"/>
            <w:tcMar>
              <w:top w:type="dxa" w:w="60"/>
              <w:left w:type="dxa" w:w="100"/>
              <w:bottom w:type="dxa" w:w="60"/>
              <w:right w:type="dxa" w:w="100"/>
            </w:tcMar>
            <w:vAlign w:val="center"/>
          </w:tcPr>
          <w:p>
            <w:pPr>
              <w:spacing w:after="20" w:before="20"/>
            </w:pPr>
            <w:r>
              <w:rPr>
                <w:sz w:val="20"/>
                <w:szCs w:val="20"/>
              </w:rPr>
              <w:t xml:space="preserve">vlv_vehicles_ext</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Nullability</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Only PDS-05 Required attributes are NOT NULL. Everything else is nullable, with obligation resolved at runtime.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Enumerations</w:t>
            </w:r>
          </w:p>
        </w:tc>
        <w:tc>
          <w:tcPr>
            <w:tcW w:type="dxa" w:w="4694"/>
            <w:tcMar>
              <w:top w:type="dxa" w:w="60"/>
              <w:left w:type="dxa" w:w="100"/>
              <w:bottom w:type="dxa" w:w="60"/>
              <w:right w:type="dxa" w:w="100"/>
            </w:tcMar>
            <w:vAlign w:val="center"/>
          </w:tcPr>
          <w:p>
            <w:pPr>
              <w:spacing w:after="20" w:before="20"/>
            </w:pPr>
            <w:r>
              <w:rPr>
                <w:sz w:val="20"/>
                <w:szCs w:val="20"/>
              </w:rPr>
              <w:t xml:space="preserve">Stored as a code referencing a lookup value, never as a database enum type.</w:t>
            </w:r>
          </w:p>
        </w:tc>
        <w:tc>
          <w:tcPr>
            <w:tcW w:type="dxa" w:w="2707"/>
            <w:tcMar>
              <w:top w:type="dxa" w:w="60"/>
              <w:left w:type="dxa" w:w="100"/>
              <w:bottom w:type="dxa" w:w="60"/>
              <w:right w:type="dxa" w:w="100"/>
            </w:tcMar>
            <w:vAlign w:val="center"/>
          </w:tcPr>
          <w:p>
            <w:pPr>
              <w:spacing w:after="20" w:before="20"/>
            </w:pPr>
            <w:r>
              <w:rPr>
                <w:sz w:val="20"/>
                <w:szCs w:val="20"/>
              </w:rPr>
              <w:t xml:space="preserve">status_code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Timestamps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Always stored in UTC, always with time zone awareness.</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sealed_at timestamptz</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Soft archival</w:t>
            </w:r>
          </w:p>
        </w:tc>
        <w:tc>
          <w:tcPr>
            <w:tcW w:type="dxa" w:w="4694"/>
            <w:tcMar>
              <w:top w:type="dxa" w:w="60"/>
              <w:left w:type="dxa" w:w="100"/>
              <w:bottom w:type="dxa" w:w="60"/>
              <w:right w:type="dxa" w:w="100"/>
            </w:tcMar>
            <w:vAlign w:val="center"/>
          </w:tcPr>
          <w:p>
            <w:pPr>
              <w:spacing w:after="20" w:before="20"/>
            </w:pPr>
            <w:r>
              <w:rPr>
                <w:sz w:val="20"/>
                <w:szCs w:val="20"/>
              </w:rPr>
              <w:t xml:space="preserve">archived_at and archived_by. Never a boolean deleted flag.</w:t>
            </w:r>
          </w:p>
        </w:tc>
        <w:tc>
          <w:tcPr>
            <w:tcW w:type="dxa" w:w="2707"/>
            <w:tcMar>
              <w:top w:type="dxa" w:w="60"/>
              <w:left w:type="dxa" w:w="100"/>
              <w:bottom w:type="dxa" w:w="60"/>
              <w:right w:type="dxa" w:w="100"/>
            </w:tcMar>
            <w:vAlign w:val="center"/>
          </w:tcPr>
          <w:p>
            <w:pPr>
              <w:spacing w:after="20" w:before="20"/>
            </w:pPr>
            <w:r>
              <w:rPr>
                <w:sz w:val="20"/>
                <w:szCs w:val="20"/>
              </w:rPr>
              <w:t xml:space="preserve">archived_at</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High-volume tables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Declared in PDS-05 Appendix C and partitioned by time or tenant.</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audit_log, inventory_count_lines</w:t>
            </w:r>
          </w:p>
        </w:tc>
      </w:tr>
    </w:tbl>
    <w:p>
      <w:pPr>
        <w:pStyle w:val="Heading2"/>
        <w:spacing w:after="120" w:before="260"/>
      </w:pPr>
      <w:r>
        <w:rPr>
          <w:b/>
          <w:bCs/>
          <w:color w:val="2E74B5"/>
          <w:sz w:val="25"/>
          <w:szCs w:val="25"/>
        </w:rPr>
        <w:t xml:space="preserve">5.3 Code naming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332"/>
        <w:gridCol w:w="2708"/>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Class or type for an object</w:t>
            </w:r>
          </w:p>
        </w:tc>
        <w:tc>
          <w:tcPr>
            <w:tcW w:type="dxa" w:w="4332"/>
            <w:tcMar>
              <w:top w:type="dxa" w:w="60"/>
              <w:left w:type="dxa" w:w="100"/>
              <w:bottom w:type="dxa" w:w="60"/>
              <w:right w:type="dxa" w:w="100"/>
            </w:tcMar>
            <w:vAlign w:val="center"/>
          </w:tcPr>
          <w:p>
            <w:pPr>
              <w:spacing w:after="20" w:before="20"/>
            </w:pPr>
            <w:r>
              <w:rPr>
                <w:sz w:val="20"/>
                <w:szCs w:val="20"/>
              </w:rPr>
              <w:t xml:space="preserve">Pascal case, exactly the specification name with spaces removed.</w:t>
            </w:r>
          </w:p>
        </w:tc>
        <w:tc>
          <w:tcPr>
            <w:tcW w:type="dxa" w:w="2708"/>
            <w:tcMar>
              <w:top w:type="dxa" w:w="60"/>
              <w:left w:type="dxa" w:w="100"/>
              <w:bottom w:type="dxa" w:w="60"/>
              <w:right w:type="dxa" w:w="100"/>
            </w:tcMar>
            <w:vAlign w:val="center"/>
          </w:tcPr>
          <w:p>
            <w:pPr>
              <w:spacing w:after="20" w:before="20"/>
            </w:pPr>
            <w:r>
              <w:rPr>
                <w:sz w:val="20"/>
                <w:szCs w:val="20"/>
              </w:rPr>
              <w:t xml:space="preserve">CustodyAssignment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Service class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service name plus Service.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ValidationService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Service operation</w:t>
            </w:r>
          </w:p>
        </w:tc>
        <w:tc>
          <w:tcPr>
            <w:tcW w:type="dxa" w:w="4332"/>
            <w:tcMar>
              <w:top w:type="dxa" w:w="60"/>
              <w:left w:type="dxa" w:w="100"/>
              <w:bottom w:type="dxa" w:w="60"/>
              <w:right w:type="dxa" w:w="100"/>
            </w:tcMar>
            <w:vAlign w:val="center"/>
          </w:tcPr>
          <w:p>
            <w:pPr>
              <w:spacing w:after="20" w:before="20"/>
            </w:pPr>
            <w:r>
              <w:rPr>
                <w:sz w:val="20"/>
                <w:szCs w:val="20"/>
              </w:rPr>
              <w:t xml:space="preserve">Exactly the operation name in PDS-07.</w:t>
            </w:r>
          </w:p>
        </w:tc>
        <w:tc>
          <w:tcPr>
            <w:tcW w:type="dxa" w:w="2708"/>
            <w:tcMar>
              <w:top w:type="dxa" w:w="60"/>
              <w:left w:type="dxa" w:w="100"/>
              <w:bottom w:type="dxa" w:w="60"/>
              <w:right w:type="dxa" w:w="100"/>
            </w:tcMar>
            <w:vAlign w:val="center"/>
          </w:tcPr>
          <w:p>
            <w:pPr>
              <w:spacing w:after="20" w:before="20"/>
            </w:pPr>
            <w:r>
              <w:rPr>
                <w:sz w:val="20"/>
                <w:szCs w:val="20"/>
              </w:rPr>
              <w:t xml:space="preserve">resolveEffectiveRules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Event class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Exactly the event name.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AssetLocationChanged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Module package or namespace</w:t>
            </w:r>
          </w:p>
        </w:tc>
        <w:tc>
          <w:tcPr>
            <w:tcW w:type="dxa" w:w="4332"/>
            <w:tcMar>
              <w:top w:type="dxa" w:w="60"/>
              <w:left w:type="dxa" w:w="100"/>
              <w:bottom w:type="dxa" w:w="60"/>
              <w:right w:type="dxa" w:w="100"/>
            </w:tcMar>
            <w:vAlign w:val="center"/>
          </w:tcPr>
          <w:p>
            <w:pPr>
              <w:spacing w:after="20" w:before="20"/>
            </w:pPr>
            <w:r>
              <w:rPr>
                <w:sz w:val="20"/>
                <w:szCs w:val="20"/>
              </w:rPr>
              <w:t xml:space="preserve">Vendor, product, module mnemonic.</w:t>
            </w:r>
          </w:p>
        </w:tc>
        <w:tc>
          <w:tcPr>
            <w:tcW w:type="dxa" w:w="2708"/>
            <w:tcMar>
              <w:top w:type="dxa" w:w="60"/>
              <w:left w:type="dxa" w:w="100"/>
              <w:bottom w:type="dxa" w:w="60"/>
              <w:right w:type="dxa" w:w="100"/>
            </w:tcMar>
            <w:vAlign w:val="center"/>
          </w:tcPr>
          <w:p>
            <w:pPr>
              <w:spacing w:after="20" w:before="20"/>
            </w:pPr>
            <w:r>
              <w:rPr>
                <w:sz w:val="20"/>
                <w:szCs w:val="20"/>
              </w:rPr>
              <w:t xml:space="preserve">com.trangant.teaip.vlv</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Test name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rule or requirement identifier, then the behavior asserted.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BR_107_excess_items_raise_alarm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Constants</w:t>
            </w:r>
          </w:p>
        </w:tc>
        <w:tc>
          <w:tcPr>
            <w:tcW w:type="dxa" w:w="4332"/>
            <w:tcMar>
              <w:top w:type="dxa" w:w="60"/>
              <w:left w:type="dxa" w:w="100"/>
              <w:bottom w:type="dxa" w:w="60"/>
              <w:right w:type="dxa" w:w="100"/>
            </w:tcMar>
            <w:vAlign w:val="center"/>
          </w:tcPr>
          <w:p>
            <w:pPr>
              <w:spacing w:after="20" w:before="20"/>
            </w:pPr>
            <w:r>
              <w:rPr>
                <w:sz w:val="20"/>
                <w:szCs w:val="20"/>
              </w:rPr>
              <w:t xml:space="preserve">None for business values. A business value is configuration, not a constant.</w:t>
            </w:r>
          </w:p>
        </w:tc>
        <w:tc>
          <w:tcPr>
            <w:tcW w:type="dxa" w:w="2708"/>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Comments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Explain why, never what. A comment restating the code is removed in review.</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2"/>
        <w:spacing w:after="120" w:before="260"/>
      </w:pPr>
      <w:r>
        <w:rPr>
          <w:b/>
          <w:bCs/>
          <w:color w:val="2E74B5"/>
          <w:sz w:val="25"/>
          <w:szCs w:val="25"/>
        </w:rPr>
        <w:t xml:space="preserve">5.4 Screen and interface naming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3610"/>
        <w:gridCol w:w="325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25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Screen code</w:t>
            </w:r>
          </w:p>
        </w:tc>
        <w:tc>
          <w:tcPr>
            <w:tcW w:type="dxa" w:w="3610"/>
            <w:tcMar>
              <w:top w:type="dxa" w:w="60"/>
              <w:left w:type="dxa" w:w="100"/>
              <w:bottom w:type="dxa" w:w="60"/>
              <w:right w:type="dxa" w:w="100"/>
            </w:tcMar>
            <w:vAlign w:val="center"/>
          </w:tcPr>
          <w:p>
            <w:pPr>
              <w:spacing w:after="20" w:before="20"/>
            </w:pPr>
            <w:r>
              <w:rPr>
                <w:sz w:val="20"/>
                <w:szCs w:val="20"/>
              </w:rPr>
              <w:t xml:space="preserve">SCR-nnn, permanent.</w:t>
            </w:r>
          </w:p>
        </w:tc>
        <w:tc>
          <w:tcPr>
            <w:tcW w:type="dxa" w:w="3250"/>
            <w:tcMar>
              <w:top w:type="dxa" w:w="60"/>
              <w:left w:type="dxa" w:w="100"/>
              <w:bottom w:type="dxa" w:w="60"/>
              <w:right w:type="dxa" w:w="100"/>
            </w:tcMar>
            <w:vAlign w:val="center"/>
          </w:tcPr>
          <w:p>
            <w:pPr>
              <w:spacing w:after="20" w:before="20"/>
            </w:pPr>
            <w:r>
              <w:rPr>
                <w:sz w:val="20"/>
                <w:szCs w:val="20"/>
              </w:rPr>
              <w:t xml:space="preserve">SCR-102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Screen title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object name for a detail screen; the plural for a list.</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Asset,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Field label</w:t>
            </w:r>
          </w:p>
        </w:tc>
        <w:tc>
          <w:tcPr>
            <w:tcW w:type="dxa" w:w="3610"/>
            <w:tcMar>
              <w:top w:type="dxa" w:w="60"/>
              <w:left w:type="dxa" w:w="100"/>
              <w:bottom w:type="dxa" w:w="60"/>
              <w:right w:type="dxa" w:w="100"/>
            </w:tcMar>
            <w:vAlign w:val="center"/>
          </w:tcPr>
          <w:p>
            <w:pPr>
              <w:spacing w:after="20" w:before="20"/>
            </w:pPr>
            <w:r>
              <w:rPr>
                <w:sz w:val="20"/>
                <w:szCs w:val="20"/>
              </w:rPr>
              <w:t xml:space="preserve">Exactly the attribute name from PDS-05, localized.</w:t>
            </w:r>
          </w:p>
        </w:tc>
        <w:tc>
          <w:tcPr>
            <w:tcW w:type="dxa" w:w="3250"/>
            <w:tcMar>
              <w:top w:type="dxa" w:w="60"/>
              <w:left w:type="dxa" w:w="100"/>
              <w:bottom w:type="dxa" w:w="60"/>
              <w:right w:type="dxa" w:w="100"/>
            </w:tcMar>
            <w:vAlign w:val="center"/>
          </w:tcPr>
          <w:p>
            <w:pPr>
              <w:spacing w:after="20" w:before="20"/>
            </w:pPr>
            <w:r>
              <w:rPr>
                <w:sz w:val="20"/>
                <w:szCs w:val="20"/>
              </w:rPr>
              <w:t xml:space="preserve">Owning Department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Action label</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capability name from PDS-02, localized.</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Transfer 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Confirmation on an irreversible action</w:t>
            </w:r>
          </w:p>
        </w:tc>
        <w:tc>
          <w:tcPr>
            <w:tcW w:type="dxa" w:w="3610"/>
            <w:tcMar>
              <w:top w:type="dxa" w:w="60"/>
              <w:left w:type="dxa" w:w="100"/>
              <w:bottom w:type="dxa" w:w="60"/>
              <w:right w:type="dxa" w:w="100"/>
            </w:tcMar>
            <w:vAlign w:val="center"/>
          </w:tcPr>
          <w:p>
            <w:pPr>
              <w:spacing w:after="20" w:before="20"/>
            </w:pPr>
            <w:r>
              <w:rPr>
                <w:sz w:val="20"/>
                <w:szCs w:val="20"/>
              </w:rPr>
              <w:t xml:space="preserve">Names the consequence, not just the action.</w:t>
            </w:r>
          </w:p>
        </w:tc>
        <w:tc>
          <w:tcPr>
            <w:tcW w:type="dxa" w:w="3250"/>
            <w:tcMar>
              <w:top w:type="dxa" w:w="60"/>
              <w:left w:type="dxa" w:w="100"/>
              <w:bottom w:type="dxa" w:w="60"/>
              <w:right w:type="dxa" w:w="100"/>
            </w:tcMar>
            <w:vAlign w:val="center"/>
          </w:tcPr>
          <w:p>
            <w:pPr>
              <w:spacing w:after="20" w:before="20"/>
            </w:pPr>
            <w:r>
              <w:rPr>
                <w:sz w:val="20"/>
                <w:szCs w:val="20"/>
              </w:rPr>
              <w:t xml:space="preserve">"Close session — counts become permanent"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Empty state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Names what is absent and the action to resolve it.</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"No floor plan — upload one to position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Validation message</w:t>
            </w:r>
          </w:p>
        </w:tc>
        <w:tc>
          <w:tcPr>
            <w:tcW w:type="dxa" w:w="3610"/>
            <w:tcMar>
              <w:top w:type="dxa" w:w="60"/>
              <w:left w:type="dxa" w:w="100"/>
              <w:bottom w:type="dxa" w:w="60"/>
              <w:right w:type="dxa" w:w="100"/>
            </w:tcMar>
            <w:vAlign w:val="center"/>
          </w:tcPr>
          <w:p>
            <w:pPr>
              <w:spacing w:after="20" w:before="20"/>
            </w:pPr>
            <w:r>
              <w:rPr>
                <w:sz w:val="20"/>
                <w:szCs w:val="20"/>
              </w:rPr>
              <w:t xml:space="preserve">Names the attribute and the governing capability or profile entry.</w:t>
            </w:r>
          </w:p>
        </w:tc>
        <w:tc>
          <w:tcPr>
            <w:tcW w:type="dxa" w:w="3250"/>
            <w:tcMar>
              <w:top w:type="dxa" w:w="60"/>
              <w:left w:type="dxa" w:w="100"/>
              <w:bottom w:type="dxa" w:w="60"/>
              <w:right w:type="dxa" w:w="100"/>
            </w:tcMar>
            <w:vAlign w:val="center"/>
          </w:tcPr>
          <w:p>
            <w:pPr>
              <w:spacing w:after="20" w:before="20"/>
            </w:pPr>
            <w:r>
              <w:rPr>
                <w:sz w:val="20"/>
                <w:szCs w:val="20"/>
              </w:rPr>
              <w:t xml:space="preserve">"RFID Tag is required because RFID is enabled for your organization"</w:t>
            </w:r>
          </w:p>
        </w:tc>
      </w:tr>
    </w:tbl>
    <w:p>
      <w:r>
        <w:br w:type="page"/>
      </w:r>
    </w:p>
    <w:p>
      <w:pPr>
        <w:pStyle w:val="Heading1"/>
        <w:spacing w:after="160" w:before="320"/>
      </w:pPr>
      <w:r>
        <w:rPr>
          <w:b/>
          <w:bCs/>
          <w:color w:val="1F4E79"/>
          <w:sz w:val="30"/>
          <w:szCs w:val="30"/>
        </w:rPr>
        <w:t xml:space="preserve">6. Document and File Standards</w:t>
      </w:r>
    </w:p>
    <w:p>
      <w:pPr>
        <w:pStyle w:val="Heading2"/>
        <w:spacing w:after="120" w:before="260"/>
      </w:pPr>
      <w:r>
        <w:rPr>
          <w:b/>
          <w:bCs/>
          <w:color w:val="2E74B5"/>
          <w:sz w:val="25"/>
          <w:szCs w:val="25"/>
        </w:rPr>
        <w:t xml:space="preserve">6.1 Document file naming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3610"/>
        <w:gridCol w:w="361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61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Specification document</w:t>
            </w:r>
          </w:p>
        </w:tc>
        <w:tc>
          <w:tcPr>
            <w:tcW w:type="dxa" w:w="3610"/>
            <w:tcMar>
              <w:top w:type="dxa" w:w="60"/>
              <w:left w:type="dxa" w:w="100"/>
              <w:bottom w:type="dxa" w:w="60"/>
              <w:right w:type="dxa" w:w="100"/>
            </w:tcMar>
            <w:vAlign w:val="center"/>
          </w:tcPr>
          <w:p>
            <w:pPr>
              <w:spacing w:after="20" w:before="20"/>
            </w:pPr>
            <w:r>
              <w:rPr>
                <w:sz w:val="20"/>
                <w:szCs w:val="20"/>
              </w:rPr>
              <w:t xml:space="preserve">TEAIP_ then type then _v then version then _Part_ then number then _ then title with underscores.</w:t>
            </w:r>
          </w:p>
        </w:tc>
        <w:tc>
          <w:tcPr>
            <w:tcW w:type="dxa" w:w="3611"/>
            <w:tcMar>
              <w:top w:type="dxa" w:w="60"/>
              <w:left w:type="dxa" w:w="100"/>
              <w:bottom w:type="dxa" w:w="60"/>
              <w:right w:type="dxa" w:w="100"/>
            </w:tcMar>
            <w:vAlign w:val="center"/>
          </w:tcPr>
          <w:p>
            <w:pPr>
              <w:spacing w:after="20" w:before="20"/>
            </w:pPr>
            <w:r>
              <w:rPr>
                <w:sz w:val="20"/>
                <w:szCs w:val="20"/>
              </w:rPr>
              <w:t xml:space="preserve">TEAIP_PDS_v1.0_Part_5_Shared_Business_Object_Model.docx</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Appendix</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TEAIP_PDS_v1.0_Appendix_ then letter then _ then title.</w:t>
            </w:r>
          </w:p>
        </w:tc>
        <w:tc>
          <w:tcPr>
            <w:tcW w:type="dxa" w:w="3611"/>
            <w:shd w:fill="F2F2F2" w:color="auto" w:val="clear"/>
            <w:tcMar>
              <w:top w:type="dxa" w:w="60"/>
              <w:left w:type="dxa" w:w="100"/>
              <w:bottom w:type="dxa" w:w="60"/>
              <w:right w:type="dxa" w:w="100"/>
            </w:tcMar>
            <w:vAlign w:val="center"/>
          </w:tcPr>
          <w:p>
            <w:pPr>
              <w:spacing w:after="20" w:before="20"/>
            </w:pPr>
            <w:r>
              <w:rPr>
                <w:sz w:val="20"/>
                <w:szCs w:val="20"/>
              </w:rPr>
              <w:t xml:space="preserve">TEAIP_PDS_v1.0_Appendix_A_Naming_and_Coding_Standards.docx</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Compendium</w:t>
            </w:r>
          </w:p>
        </w:tc>
        <w:tc>
          <w:tcPr>
            <w:tcW w:type="dxa" w:w="3610"/>
            <w:tcMar>
              <w:top w:type="dxa" w:w="60"/>
              <w:left w:type="dxa" w:w="100"/>
              <w:bottom w:type="dxa" w:w="60"/>
              <w:right w:type="dxa" w:w="100"/>
            </w:tcMar>
            <w:vAlign w:val="center"/>
          </w:tcPr>
          <w:p>
            <w:pPr>
              <w:spacing w:after="20" w:before="20"/>
            </w:pPr>
            <w:r>
              <w:rPr>
                <w:sz w:val="20"/>
                <w:szCs w:val="20"/>
              </w:rPr>
              <w:t xml:space="preserve">TEAIP_PDS_Compendium.md — generated, never hand-edited.</w:t>
            </w:r>
          </w:p>
        </w:tc>
        <w:tc>
          <w:tcPr>
            <w:tcW w:type="dxa" w:w="3611"/>
            <w:tcMar>
              <w:top w:type="dxa" w:w="60"/>
              <w:left w:type="dxa" w:w="100"/>
              <w:bottom w:type="dxa" w:w="60"/>
              <w:right w:type="dxa" w:w="100"/>
            </w:tcMar>
            <w:vAlign w:val="center"/>
          </w:tcPr>
          <w:p>
            <w:pPr>
              <w:spacing w:after="20" w:before="20"/>
            </w:pPr>
            <w:r>
              <w:rPr>
                <w:sz w:val="20"/>
                <w:szCs w:val="20"/>
              </w:rPr>
              <w:t xml:space="preserve">TEAIP_PDS_Compendium.md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Superseded document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Moved to the Old folder, prefixed superseded_.</w:t>
            </w:r>
          </w:p>
        </w:tc>
        <w:tc>
          <w:tcPr>
            <w:tcW w:type="dxa" w:w="3611"/>
            <w:shd w:fill="F2F2F2" w:color="auto" w:val="clear"/>
            <w:tcMar>
              <w:top w:type="dxa" w:w="60"/>
              <w:left w:type="dxa" w:w="100"/>
              <w:bottom w:type="dxa" w:w="60"/>
              <w:right w:type="dxa" w:w="100"/>
            </w:tcMar>
            <w:vAlign w:val="center"/>
          </w:tcPr>
          <w:p>
            <w:pPr>
              <w:spacing w:after="20" w:before="20"/>
            </w:pPr>
            <w:r>
              <w:rPr>
                <w:sz w:val="20"/>
                <w:szCs w:val="20"/>
              </w:rPr>
              <w:t xml:space="preserve">superseded_TEAIP_PDS_v1.0_Part_1...docx</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Version in the file name</w:t>
            </w:r>
          </w:p>
        </w:tc>
        <w:tc>
          <w:tcPr>
            <w:tcW w:type="dxa" w:w="3610"/>
            <w:tcMar>
              <w:top w:type="dxa" w:w="60"/>
              <w:left w:type="dxa" w:w="100"/>
              <w:bottom w:type="dxa" w:w="60"/>
              <w:right w:type="dxa" w:w="100"/>
            </w:tcMar>
            <w:vAlign w:val="center"/>
          </w:tcPr>
          <w:p>
            <w:pPr>
              <w:spacing w:after="20" w:before="20"/>
            </w:pPr>
            <w:r>
              <w:rPr>
                <w:sz w:val="20"/>
                <w:szCs w:val="20"/>
              </w:rPr>
              <w:t xml:space="preserve">Matches the version inside the document. A mismatch is a defect.</w:t>
            </w:r>
          </w:p>
        </w:tc>
        <w:tc>
          <w:tcPr>
            <w:tcW w:type="dxa" w:w="3611"/>
            <w:tcMar>
              <w:top w:type="dxa" w:w="60"/>
              <w:left w:type="dxa" w:w="100"/>
              <w:bottom w:type="dxa" w:w="60"/>
              <w:right w:type="dxa" w:w="100"/>
            </w:tcMar>
            <w:vAlign w:val="center"/>
          </w:tcPr>
          <w:p>
            <w:pPr>
              <w:spacing w:after="20" w:before="20"/>
            </w:pPr>
            <w:r>
              <w:rPr>
                <w:sz w:val="20"/>
                <w:szCs w:val="20"/>
              </w:rPr>
              <w:t xml:space="preserve">—</w:t>
            </w:r>
          </w:p>
        </w:tc>
      </w:tr>
    </w:tbl>
    <w:p>
      <w:pPr>
        <w:pStyle w:val="Heading2"/>
        <w:spacing w:after="120" w:before="260"/>
      </w:pPr>
      <w:r>
        <w:rPr>
          <w:b/>
          <w:bCs/>
          <w:color w:val="2E74B5"/>
          <w:sz w:val="25"/>
          <w:szCs w:val="25"/>
        </w:rPr>
        <w:t xml:space="preserve">6.2 Document structure standard</w:t>
      </w:r>
    </w:p>
    <w:p>
      <w:pPr>
        <w:spacing w:after="120" w:before="0"/>
      </w:pPr>
      <w:r>
        <w:t xml:space="preserve">Every specification document carries the same opening structure, so that a reader knows where to look.</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Section</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Contents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1.1 Document Information</w:t>
            </w:r>
          </w:p>
        </w:tc>
        <w:tc>
          <w:tcPr>
            <w:tcW w:type="dxa" w:w="6679"/>
            <w:tcMar>
              <w:top w:type="dxa" w:w="60"/>
              <w:left w:type="dxa" w:w="100"/>
              <w:bottom w:type="dxa" w:w="60"/>
              <w:right w:type="dxa" w:w="100"/>
            </w:tcMar>
            <w:vAlign w:val="center"/>
          </w:tcPr>
          <w:p>
            <w:pPr>
              <w:spacing w:after="20" w:before="20"/>
            </w:pPr>
            <w:r>
              <w:rPr>
                <w:sz w:val="20"/>
                <w:szCs w:val="20"/>
              </w:rPr>
              <w:t xml:space="preserve">Product, identifier, title, type, version, status, date, owner, classification, purpose.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1.2 Version History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One row per version, with author, summary and status.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1.3 Related Documents</w:t>
            </w:r>
          </w:p>
        </w:tc>
        <w:tc>
          <w:tcPr>
            <w:tcW w:type="dxa" w:w="6679"/>
            <w:tcMar>
              <w:top w:type="dxa" w:w="60"/>
              <w:left w:type="dxa" w:w="100"/>
              <w:bottom w:type="dxa" w:w="60"/>
              <w:right w:type="dxa" w:w="100"/>
            </w:tcMar>
            <w:vAlign w:val="center"/>
          </w:tcPr>
          <w:p>
            <w:pPr>
              <w:spacing w:after="20" w:before="20"/>
            </w:pPr>
            <w:r>
              <w:rPr>
                <w:sz w:val="20"/>
                <w:szCs w:val="20"/>
              </w:rPr>
              <w:t xml:space="preserve">Every document this one depends on or feeds, with the relationship stated.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1.4 Approval</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Role, name, responsibility, status.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1.5 Document Conventions</w:t>
            </w:r>
          </w:p>
        </w:tc>
        <w:tc>
          <w:tcPr>
            <w:tcW w:type="dxa" w:w="6679"/>
            <w:tcMar>
              <w:top w:type="dxa" w:w="60"/>
              <w:left w:type="dxa" w:w="100"/>
              <w:bottom w:type="dxa" w:w="60"/>
              <w:right w:type="dxa" w:w="100"/>
            </w:tcMar>
            <w:vAlign w:val="center"/>
          </w:tcPr>
          <w:p>
            <w:pPr>
              <w:spacing w:after="20" w:before="20"/>
            </w:pPr>
            <w:r>
              <w:rPr>
                <w:sz w:val="20"/>
                <w:szCs w:val="20"/>
              </w:rPr>
              <w:t xml:space="preserve">Where the document uses conventions a reader must know. Omitted where there are none.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2. Purpose and Scope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What is in scope, what is out of scope and where it is covered instead.</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Final section</w:t>
            </w:r>
          </w:p>
        </w:tc>
        <w:tc>
          <w:tcPr>
            <w:tcW w:type="dxa" w:w="6679"/>
            <w:tcMar>
              <w:top w:type="dxa" w:w="60"/>
              <w:left w:type="dxa" w:w="100"/>
              <w:bottom w:type="dxa" w:w="60"/>
              <w:right w:type="dxa" w:w="100"/>
            </w:tcMar>
            <w:vAlign w:val="center"/>
          </w:tcPr>
          <w:p>
            <w:pPr>
              <w:spacing w:after="20" w:before="20"/>
            </w:pPr>
            <w:r>
              <w:rPr>
                <w:sz w:val="20"/>
                <w:szCs w:val="20"/>
              </w:rPr>
              <w:t xml:space="preserve">A verification checklist stating what was checked and the result.</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House rules  </w:t>
      </w:r>
      <w:r>
        <w:rPr>
          <w:sz w:val="20"/>
          <w:szCs w:val="20"/>
        </w:rPr>
        <w:t xml:space="preserve">A document contains no change log and no historical or comparative reference. Every document is issued as a first version and states what is, never what it replaced. Architectural alternatives are recorded in PDS-14 as design rationale, which is not document history.</w:t>
      </w:r>
    </w:p>
    <w:p>
      <w:pPr>
        <w:pStyle w:val="Heading2"/>
        <w:spacing w:after="120" w:before="260"/>
      </w:pPr>
      <w:r>
        <w:rPr>
          <w:b/>
          <w:bCs/>
          <w:color w:val="2E74B5"/>
          <w:sz w:val="25"/>
          <w:szCs w:val="25"/>
        </w:rPr>
        <w:t xml:space="preserve">6.3 Language standard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Detail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US English spelling</w:t>
            </w:r>
          </w:p>
        </w:tc>
        <w:tc>
          <w:tcPr>
            <w:tcW w:type="dxa" w:w="6679"/>
            <w:tcMar>
              <w:top w:type="dxa" w:w="60"/>
              <w:left w:type="dxa" w:w="100"/>
              <w:bottom w:type="dxa" w:w="60"/>
              <w:right w:type="dxa" w:w="100"/>
            </w:tcMar>
            <w:vAlign w:val="center"/>
          </w:tcPr>
          <w:p>
            <w:pPr>
              <w:spacing w:after="20" w:before="20"/>
            </w:pPr>
            <w:r>
              <w:rPr>
                <w:sz w:val="20"/>
                <w:szCs w:val="20"/>
              </w:rPr>
              <w:t xml:space="preserve">color, authorize, organization, center, license, defense, catalog, artifact, program, behavior, analyze, modeling, labeled, canceled, fulfillment, judgment, while, among, gray, practice.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Requirement language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Shall for a mandatory requirement. Should for a strong recommendation. May for an option. Never will, must or ought.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Voice</w:t>
            </w:r>
          </w:p>
        </w:tc>
        <w:tc>
          <w:tcPr>
            <w:tcW w:type="dxa" w:w="6679"/>
            <w:tcMar>
              <w:top w:type="dxa" w:w="60"/>
              <w:left w:type="dxa" w:w="100"/>
              <w:bottom w:type="dxa" w:w="60"/>
              <w:right w:type="dxa" w:w="100"/>
            </w:tcMar>
            <w:vAlign w:val="center"/>
          </w:tcPr>
          <w:p>
            <w:pPr>
              <w:spacing w:after="20" w:before="20"/>
            </w:pPr>
            <w:r>
              <w:rPr>
                <w:sz w:val="20"/>
                <w:szCs w:val="20"/>
              </w:rPr>
              <w:t xml:space="preserve">Active where the actor matters; passive where the obligation is on the platform. "The platform shall resolve", not "resolution occurs".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Precision over hedging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No "generally", "typically" or "as appropriate" in a requirement. If a condition applies, state it.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No marketing language in a specification</w:t>
            </w:r>
          </w:p>
        </w:tc>
        <w:tc>
          <w:tcPr>
            <w:tcW w:type="dxa" w:w="6679"/>
            <w:tcMar>
              <w:top w:type="dxa" w:w="60"/>
              <w:left w:type="dxa" w:w="100"/>
              <w:bottom w:type="dxa" w:w="60"/>
              <w:right w:type="dxa" w:w="100"/>
            </w:tcMar>
            <w:vAlign w:val="center"/>
          </w:tcPr>
          <w:p>
            <w:pPr>
              <w:spacing w:after="20" w:before="20"/>
            </w:pPr>
            <w:r>
              <w:rPr>
                <w:sz w:val="20"/>
                <w:szCs w:val="20"/>
              </w:rPr>
              <w:t xml:space="preserve">No "powerful", "seamless", "world-class", "cutting-edge", "revolutionary".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No unexplained abbreviation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Every abbreviation appears in PDS-06 or is expanded on first use.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Numbers</w:t>
            </w:r>
          </w:p>
        </w:tc>
        <w:tc>
          <w:tcPr>
            <w:tcW w:type="dxa" w:w="6679"/>
            <w:tcMar>
              <w:top w:type="dxa" w:w="60"/>
              <w:left w:type="dxa" w:w="100"/>
              <w:bottom w:type="dxa" w:w="60"/>
              <w:right w:type="dxa" w:w="100"/>
            </w:tcMar>
            <w:vAlign w:val="center"/>
          </w:tcPr>
          <w:p>
            <w:pPr>
              <w:spacing w:after="20" w:before="20"/>
            </w:pPr>
            <w:r>
              <w:rPr>
                <w:sz w:val="20"/>
                <w:szCs w:val="20"/>
              </w:rPr>
              <w:t xml:space="preserve">Words for one to nine in prose; numerals in tables, measures and identifiers.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Dates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Day Month Year in prose. ISO 8601 in data.</w:t>
            </w:r>
          </w:p>
        </w:tc>
      </w:tr>
    </w:tbl>
    <w:p>
      <w:r>
        <w:br w:type="page"/>
      </w:r>
    </w:p>
    <w:p>
      <w:pPr>
        <w:pStyle w:val="Heading1"/>
        <w:spacing w:after="160" w:before="320"/>
      </w:pPr>
      <w:r>
        <w:rPr>
          <w:b/>
          <w:bCs/>
          <w:color w:val="1F4E79"/>
          <w:sz w:val="30"/>
          <w:szCs w:val="30"/>
        </w:rPr>
        <w:t xml:space="preserve">7. Verification</w:t>
      </w:r>
    </w:p>
    <w:p>
      <w:pPr>
        <w:pStyle w:val="Heading2"/>
        <w:spacing w:after="120" w:before="260"/>
      </w:pPr>
      <w:r>
        <w:rPr>
          <w:b/>
          <w:bCs/>
          <w:color w:val="2E74B5"/>
          <w:sz w:val="25"/>
          <w:szCs w:val="25"/>
        </w:rPr>
        <w:t xml:space="preserve">7.1 Automated checks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971"/>
        <w:gridCol w:w="5055"/>
      </w:tblGrid>
      <w:tr>
        <w:trPr>
          <w:tblHeader/>
        </w:trPr>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US spelling across every generator and document</w:t>
            </w:r>
          </w:p>
        </w:tc>
        <w:tc>
          <w:tcPr>
            <w:tcW w:type="dxa" w:w="5055"/>
            <w:tcMar>
              <w:top w:type="dxa" w:w="60"/>
              <w:left w:type="dxa" w:w="100"/>
              <w:bottom w:type="dxa" w:w="60"/>
              <w:right w:type="dxa" w:w="100"/>
            </w:tcMar>
            <w:vAlign w:val="center"/>
          </w:tcPr>
          <w:p>
            <w:pPr>
              <w:spacing w:after="20" w:before="20"/>
            </w:pPr>
            <w:r>
              <w:rPr>
                <w:sz w:val="20"/>
                <w:szCs w:val="20"/>
              </w:rPr>
              <w:t xml:space="preserve">A spelling normalizer run before every build, applied inside string literals only.</w:t>
            </w:r>
          </w:p>
        </w:tc>
      </w:tr>
      <w:tr>
        <w:trPr>
          <w:cantSplit/>
        </w:trPr>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OOXML schema validity of every document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Schema validation in the build, blocking release.</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Identifier uniqueness across the specification set</w:t>
            </w:r>
          </w:p>
        </w:tc>
        <w:tc>
          <w:tcPr>
            <w:tcW w:type="dxa" w:w="5055"/>
            <w:tcMar>
              <w:top w:type="dxa" w:w="60"/>
              <w:left w:type="dxa" w:w="100"/>
              <w:bottom w:type="dxa" w:w="60"/>
              <w:right w:type="dxa" w:w="100"/>
            </w:tcMar>
            <w:vAlign w:val="center"/>
          </w:tcPr>
          <w:p>
            <w:pPr>
              <w:spacing w:after="20" w:before="20"/>
            </w:pPr>
            <w:r>
              <w:rPr>
                <w:sz w:val="20"/>
                <w:szCs w:val="20"/>
              </w:rPr>
              <w:t xml:space="preserve">The architecture verifier: capability, subdomain, object and rule identifiers.</w:t>
            </w:r>
          </w:p>
        </w:tc>
      </w:tr>
      <w:tr>
        <w:trPr>
          <w:cantSplit/>
        </w:trPr>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Business rule closure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verifier: every rule referenced is defined, and every rule defined is referenced.</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Object closure</w:t>
            </w:r>
          </w:p>
        </w:tc>
        <w:tc>
          <w:tcPr>
            <w:tcW w:type="dxa" w:w="5055"/>
            <w:tcMar>
              <w:top w:type="dxa" w:w="60"/>
              <w:left w:type="dxa" w:w="100"/>
              <w:bottom w:type="dxa" w:w="60"/>
              <w:right w:type="dxa" w:w="100"/>
            </w:tcMar>
            <w:vAlign w:val="center"/>
          </w:tcPr>
          <w:p>
            <w:pPr>
              <w:spacing w:after="20" w:before="20"/>
            </w:pPr>
            <w:r>
              <w:rPr>
                <w:sz w:val="20"/>
                <w:szCs w:val="20"/>
              </w:rPr>
              <w:t xml:space="preserve">The verifier: every hosted object has a definition, and every definition has a host.</w:t>
            </w:r>
          </w:p>
        </w:tc>
      </w:tr>
      <w:tr>
        <w:trPr>
          <w:cantSplit/>
        </w:trPr>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Capability-dependent attributes name their capability</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verifier, which refuses a Capability-Dependent attribute with an empty note.</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Dependency acyclicity</w:t>
            </w:r>
          </w:p>
        </w:tc>
        <w:tc>
          <w:tcPr>
            <w:tcW w:type="dxa" w:w="5055"/>
            <w:tcMar>
              <w:top w:type="dxa" w:w="60"/>
              <w:left w:type="dxa" w:w="100"/>
              <w:bottom w:type="dxa" w:w="60"/>
              <w:right w:type="dxa" w:w="100"/>
            </w:tcMar>
            <w:vAlign w:val="center"/>
          </w:tcPr>
          <w:p>
            <w:pPr>
              <w:spacing w:after="20" w:before="20"/>
            </w:pPr>
            <w:r>
              <w:rPr>
                <w:sz w:val="20"/>
                <w:szCs w:val="20"/>
              </w:rPr>
              <w:t xml:space="preserve">The verifier, against the declared domain order.</w:t>
            </w:r>
          </w:p>
        </w:tc>
      </w:tr>
      <w:tr>
        <w:trPr>
          <w:cantSplit/>
        </w:trPr>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Permission code collision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Module registration, which refuses a duplicate code.</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Event declaration</w:t>
            </w:r>
          </w:p>
        </w:tc>
        <w:tc>
          <w:tcPr>
            <w:tcW w:type="dxa" w:w="5055"/>
            <w:tcMar>
              <w:top w:type="dxa" w:w="60"/>
              <w:left w:type="dxa" w:w="100"/>
              <w:bottom w:type="dxa" w:w="60"/>
              <w:right w:type="dxa" w:w="100"/>
            </w:tcMar>
            <w:vAlign w:val="center"/>
          </w:tcPr>
          <w:p>
            <w:pPr>
              <w:spacing w:after="20" w:before="20"/>
            </w:pPr>
            <w:r>
              <w:rPr>
                <w:sz w:val="20"/>
                <w:szCs w:val="20"/>
              </w:rPr>
              <w:t xml:space="preserve">PublishEvent, which refuses an undeclared event.</w:t>
            </w:r>
          </w:p>
        </w:tc>
      </w:tr>
    </w:tbl>
    <w:p>
      <w:pPr>
        <w:pStyle w:val="Heading2"/>
        <w:spacing w:after="120" w:before="260"/>
      </w:pPr>
      <w:r>
        <w:rPr>
          <w:b/>
          <w:bCs/>
          <w:color w:val="2E74B5"/>
          <w:sz w:val="25"/>
          <w:szCs w:val="25"/>
        </w:rPr>
        <w:t xml:space="preserve">7.2 Review checks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identifier prefix in use appears in section 3.1.</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prefix names who may issue an identifier.</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Prefix collisions are identified and disambiguated.</w:t>
            </w:r>
          </w:p>
        </w:tc>
        <w:tc>
          <w:tcPr>
            <w:tcW w:type="dxa" w:w="3249"/>
            <w:tcMar>
              <w:top w:type="dxa" w:w="60"/>
              <w:left w:type="dxa" w:w="100"/>
              <w:bottom w:type="dxa" w:w="60"/>
              <w:right w:type="dxa" w:w="100"/>
            </w:tcMar>
            <w:vAlign w:val="center"/>
          </w:tcPr>
          <w:p>
            <w:pPr>
              <w:spacing w:after="20" w:before="20"/>
            </w:pPr>
            <w:r>
              <w:rPr>
                <w:sz w:val="20"/>
                <w:szCs w:val="20"/>
              </w:rPr>
              <w:t xml:space="preserve">Pass — RPT note in section 3.1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Database derivation from PDS-05 is mechanical.</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5.2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Nullability rule matches the classification model.</w:t>
            </w:r>
          </w:p>
        </w:tc>
        <w:tc>
          <w:tcPr>
            <w:tcW w:type="dxa" w:w="3249"/>
            <w:tcMar>
              <w:top w:type="dxa" w:w="60"/>
              <w:left w:type="dxa" w:w="100"/>
              <w:bottom w:type="dxa" w:w="60"/>
              <w:right w:type="dxa" w:w="100"/>
            </w:tcMar>
            <w:vAlign w:val="center"/>
          </w:tcPr>
          <w:p>
            <w:pPr>
              <w:spacing w:after="20" w:before="20"/>
            </w:pPr>
            <w:r>
              <w:rPr>
                <w:sz w:val="20"/>
                <w:szCs w:val="20"/>
              </w:rPr>
              <w:t xml:space="preserve">Pass — only Required is NOT NULL</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No naming rule encodes a customer, tenant or project.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N-10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The document structure standard matches every issued document.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6.2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language standard states the house spelling and requirement language.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6.3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5055"/>
            <w:tcMar>
              <w:top w:type="dxa" w:w="60"/>
              <w:left w:type="dxa" w:w="100"/>
              <w:bottom w:type="dxa" w:w="60"/>
              <w:right w:type="dxa" w:w="100"/>
            </w:tcMar>
            <w:vAlign w:val="center"/>
          </w:tcPr>
          <w:p>
            <w:pPr>
              <w:spacing w:after="20" w:before="20"/>
            </w:pPr>
            <w:r>
              <w:rPr>
                <w:sz w:val="20"/>
                <w:szCs w:val="20"/>
              </w:rPr>
              <w:t xml:space="preserve">Every automated check names its enforcement point.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7.1</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before="100"/>
    </w:pPr>
    <w:r>
      <w:rPr>
        <w:color w:val="808080"/>
        <w:sz w:val="16"/>
        <w:szCs w:val="16"/>
      </w:rPr>
      <w:t xml:space="preserve">TEAIP — PDS Appendix A v1.0 — Trangant Confidential</w:t>
    </w:r>
    <w:r>
      <w:ptab w:alignment="right" w:relativeTo="margin" w:leader="none"/>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20"/>
    </w:pPr>
    <w:r>
      <w:rPr>
        <w:color w:val="808080"/>
        <w:sz w:val="16"/>
        <w:szCs w:val="16"/>
      </w:rPr>
      <w:t xml:space="preserve">TEAIP  |  PDS Appendix A — Naming and Coding Standards</w:t>
    </w:r>
    <w:r>
      <w:ptab w:alignment="right" w:relativeTo="margin" w:leader="none"/>
    </w:r>
    <w:r>
      <w:rPr>
        <w:color w:val="808080"/>
        <w:sz w:val="16"/>
        <w:szCs w:val="16"/>
      </w:rPr>
      <w:t xml:space="preserve">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 Appendix A Naming and Coding Standards</dc:title>
  <dc:creator>Trangant</dc:creator>
  <dc:description>Product Design Specification — Appendix</dc:description>
  <cp:lastModifiedBy>Un-named</cp:lastModifiedBy>
  <cp:revision>1</cp:revision>
  <dcterms:created xsi:type="dcterms:W3CDTF">2026-08-13T19:05:04.219Z</dcterms:created>
  <dcterms:modified xsi:type="dcterms:W3CDTF">2026-08-13T19:05:04.219Z</dcterms:modified>
</cp:coreProperties>
</file>

<file path=docProps/custom.xml><?xml version="1.0" encoding="utf-8"?>
<Properties xmlns="http://schemas.openxmlformats.org/officeDocument/2006/custom-properties" xmlns:vt="http://schemas.openxmlformats.org/officeDocument/2006/docPropsVTypes"/>
</file>