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2E74B5"/>
          <w:spacing w:val="60"/>
          <w:sz w:val="28"/>
          <w:szCs w:val="28"/>
        </w:rPr>
        <w:t xml:space="preserve">TRANGANT</w:t>
      </w:r>
    </w:p>
    <w:p>
      <w:pPr>
        <w:spacing w:after="600" w:before="60"/>
        <w:jc w:val="center"/>
      </w:pPr>
      <w:r>
        <w:rPr>
          <w:color w:val="595959"/>
          <w:sz w:val="22"/>
          <w:szCs w:val="22"/>
        </w:rPr>
        <w:t xml:space="preserve">Enterprise Asset Intelligence Platform</w:t>
      </w:r>
    </w:p>
    <w:p>
      <w:pPr>
        <w:pBdr>
          <w:bottom w:val="single" w:color="1F4E79" w:sz="12"/>
        </w:pBdr>
        <w:spacing w:after="0"/>
      </w:pPr>
      <w:r>
        <w:t xml:space="preserve"/>
      </w:r>
    </w:p>
    <w:p>
      <w:pPr>
        <w:spacing w:after="80" w:before="260"/>
        <w:jc w:val="center"/>
      </w:pPr>
      <w:r>
        <w:rPr>
          <w:b/>
          <w:bCs/>
          <w:color w:val="2E74B5"/>
          <w:sz w:val="26"/>
          <w:szCs w:val="26"/>
        </w:rPr>
        <w:t xml:space="preserve">PDS-14</w:t>
      </w:r>
    </w:p>
    <w:p>
      <w:pPr>
        <w:spacing w:after="100"/>
        <w:jc w:val="center"/>
      </w:pPr>
      <w:r>
        <w:rPr>
          <w:b/>
          <w:bCs/>
          <w:color w:val="1F4E79"/>
          <w:sz w:val="48"/>
          <w:szCs w:val="48"/>
        </w:rPr>
        <w:t xml:space="preserve">Architecture Decision Records</w:t>
      </w:r>
    </w:p>
    <w:p>
      <w:pPr>
        <w:spacing w:after="240"/>
        <w:jc w:val="center"/>
      </w:pPr>
      <w:r>
        <w:rPr>
          <w:color w:val="595959"/>
          <w:sz w:val="26"/>
          <w:szCs w:val="26"/>
        </w:rPr>
        <w:t xml:space="preserve">Product Design Specification — Governance</w:t>
      </w:r>
    </w:p>
    <w:p>
      <w:pPr>
        <w:pBdr>
          <w:bottom w:val="single" w:color="1F4E79" w:sz="12"/>
        </w:pBdr>
        <w:spacing w:after="0"/>
      </w:pPr>
      <w:r>
        <w:t xml:space="preserve"/>
      </w:r>
    </w:p>
    <w:p>
      <w:pPr>
        <w:spacing w:after="40" w:before="400"/>
        <w:jc w:val="center"/>
      </w:pPr>
      <w:r>
        <w:rPr>
          <w:b/>
          <w:bCs/>
          <w:sz w:val="24"/>
          <w:szCs w:val="24"/>
        </w:rPr>
        <w:t xml:space="preserve">Version 1.0</w:t>
      </w:r>
    </w:p>
    <w:p>
      <w:pPr>
        <w:spacing w:after="40"/>
        <w:jc w:val="center"/>
      </w:pPr>
      <w:r>
        <w:rPr>
          <w:color w:val="595959"/>
          <w:sz w:val="22"/>
          <w:szCs w:val="22"/>
        </w:rPr>
        <w:t xml:space="preserve">Status: Draft for Review</w:t>
      </w:r>
    </w:p>
    <w:p>
      <w:pPr>
        <w:spacing w:after="40"/>
        <w:jc w:val="center"/>
      </w:pPr>
      <w:r>
        <w:rPr>
          <w:color w:val="595959"/>
          <w:sz w:val="22"/>
          <w:szCs w:val="22"/>
        </w:rPr>
        <w:t xml:space="preserve">13 August 2026</w:t>
      </w:r>
    </w:p>
    <w:p>
      <w:pPr>
        <w:spacing w:before="1400"/>
        <w:jc w:val="center"/>
      </w:pPr>
      <w:r>
        <w:rPr>
          <w:i/>
          <w:iCs/>
          <w:color w:val="808080"/>
          <w:sz w:val="18"/>
          <w:szCs w:val="18"/>
        </w:rPr>
        <w:t xml:space="preserve">Confidential — Trangant internal and authorized recipients only.</w:t>
      </w:r>
    </w:p>
    <w:p>
      <w:r>
        <w:br w:type="page"/>
      </w:r>
    </w:p>
    <w:p>
      <w:pPr>
        <w:pStyle w:val="Heading1"/>
        <w:spacing w:after="160" w:before="320"/>
      </w:pPr>
      <w:r>
        <w:rPr>
          <w:b/>
          <w:bCs/>
          <w:color w:val="1F4E79"/>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PDS-14</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Architecture Decision Records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The register of every structural architectural decision taken for TEAIP, with its context, the alternatives considered, and its consequences. It is the mechanism by which the frozen architecture may be changed, and the record that explains to a future engineer why the platform is shaped the way it is.</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 20 records.</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2708"/>
        <w:gridCol w:w="4874"/>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PDS-01</w:t>
            </w:r>
          </w:p>
        </w:tc>
        <w:tc>
          <w:tcPr>
            <w:tcW w:type="dxa" w:w="270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4874"/>
            <w:tcMar>
              <w:top w:type="dxa" w:w="60"/>
              <w:left w:type="dxa" w:w="100"/>
              <w:bottom w:type="dxa" w:w="60"/>
              <w:right w:type="dxa" w:w="100"/>
            </w:tcMar>
            <w:vAlign w:val="center"/>
          </w:tcPr>
          <w:p>
            <w:pPr>
              <w:spacing w:after="20" w:before="20"/>
            </w:pPr>
            <w:r>
              <w:rPr>
                <w:sz w:val="20"/>
                <w:szCs w:val="20"/>
              </w:rPr>
              <w:t xml:space="preserve">Establishes the baseline that an ADR is required to change, and the change control mechanism.</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Domain set, order and hosting; changed only by ADR.</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PDS-05</w:t>
            </w:r>
          </w:p>
        </w:tc>
        <w:tc>
          <w:tcPr>
            <w:tcW w:type="dxa" w:w="2708"/>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4874"/>
            <w:tcMar>
              <w:top w:type="dxa" w:w="60"/>
              <w:left w:type="dxa" w:w="100"/>
              <w:bottom w:type="dxa" w:w="60"/>
              <w:right w:type="dxa" w:w="100"/>
            </w:tcMar>
            <w:vAlign w:val="center"/>
          </w:tcPr>
          <w:p>
            <w:pPr>
              <w:spacing w:after="20" w:before="20"/>
            </w:pPr>
            <w:r>
              <w:rPr>
                <w:sz w:val="20"/>
                <w:szCs w:val="20"/>
              </w:rPr>
              <w:t xml:space="preserve">Object hosting and classification; changed only by ADR where structural.</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PDS-08</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Plug-in Framework</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Deviations granted to a module are recorded here.</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PDS-09</w:t>
            </w:r>
          </w:p>
        </w:tc>
        <w:tc>
          <w:tcPr>
            <w:tcW w:type="dxa" w:w="2708"/>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4874"/>
            <w:tcMar>
              <w:top w:type="dxa" w:w="60"/>
              <w:left w:type="dxa" w:w="100"/>
              <w:bottom w:type="dxa" w:w="60"/>
              <w:right w:type="dxa" w:w="100"/>
            </w:tcMar>
            <w:vAlign w:val="center"/>
          </w:tcPr>
          <w:p>
            <w:pPr>
              <w:spacing w:after="20" w:before="20"/>
            </w:pPr>
            <w:r>
              <w:rPr>
                <w:sz w:val="20"/>
                <w:szCs w:val="20"/>
              </w:rPr>
              <w:t xml:space="preserve">Exceptions to a principle are recorded here.</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All documents</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Every document names this register as the route to structural change.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444"/>
        <w:gridCol w:w="3971"/>
        <w:gridCol w:w="144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Correctness and completeness of every record</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Product Owner</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Commercial consequences of each decision</w:t>
            </w:r>
          </w:p>
        </w:tc>
        <w:tc>
          <w:tcPr>
            <w:tcW w:type="dxa" w:w="1445"/>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Security Lead</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Records affecting evidence, identity or verification</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Purpose and Process</w:t>
      </w:r>
    </w:p>
    <w:p>
      <w:pPr>
        <w:pStyle w:val="Heading2"/>
        <w:spacing w:after="120" w:before="260"/>
      </w:pPr>
      <w:r>
        <w:rPr>
          <w:b/>
          <w:bCs/>
          <w:color w:val="2E74B5"/>
          <w:sz w:val="25"/>
          <w:szCs w:val="25"/>
        </w:rPr>
        <w:t xml:space="preserve">2.1 Why the register exists</w:t>
      </w:r>
    </w:p>
    <w:p>
      <w:pPr>
        <w:spacing w:after="120" w:before="0"/>
      </w:pPr>
      <w:r>
        <w:t xml:space="preserve">The architecture is baselined. The documentation framework, the five architectural dimensions, the domain set, the domain order, the governance rules and the principle register are frozen. This register is the only route through which any of that changes.</w:t>
      </w:r>
    </w:p>
    <w:p>
      <w:pPr>
        <w:spacing w:after="120" w:before="0"/>
      </w:pPr>
      <w:r>
        <w:t xml:space="preserve">It also serves a second purpose that becomes more valuable over time. An engineer joining the project in three years will find decisions that look arbitrary — why Vehicle sits in Operations rather than Security, why a visual coordinate is not an asset attribute, why there are two objects for a person. Each of those has a reason, and a reason that is not written down is a reason that will be reversed by someone who did not know it.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Rule  </w:t>
      </w:r>
      <w:r>
        <w:rPr>
          <w:sz w:val="20"/>
          <w:szCs w:val="20"/>
        </w:rPr>
        <w:t xml:space="preserve">No structural architectural change shall be made without a record here. A change made without a record is a defect, irrespective of its technical merit.</w:t>
      </w:r>
    </w:p>
    <w:p>
      <w:pPr>
        <w:pStyle w:val="Heading2"/>
        <w:spacing w:after="120" w:before="260"/>
      </w:pPr>
      <w:r>
        <w:rPr>
          <w:b/>
          <w:bCs/>
          <w:color w:val="2E74B5"/>
          <w:sz w:val="25"/>
          <w:szCs w:val="25"/>
        </w:rPr>
        <w:t xml:space="preserve">2.2 What requires a record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Requires an ADR</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Does not require an ADR</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new business domain, or a change to the domain set or order.</w:t>
            </w:r>
          </w:p>
        </w:tc>
        <w:tc>
          <w:tcPr>
            <w:tcW w:type="dxa" w:w="4513"/>
            <w:tcMar>
              <w:top w:type="dxa" w:w="60"/>
              <w:left w:type="dxa" w:w="100"/>
              <w:bottom w:type="dxa" w:w="60"/>
              <w:right w:type="dxa" w:w="100"/>
            </w:tcMar>
            <w:vAlign w:val="center"/>
          </w:tcPr>
          <w:p>
            <w:pPr>
              <w:spacing w:after="20" w:before="20"/>
            </w:pPr>
            <w:r>
              <w:rPr>
                <w:sz w:val="20"/>
                <w:szCs w:val="20"/>
              </w:rPr>
              <w:t xml:space="preserve">A new capability within an existing subdomain.</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change to the hosting of a business object.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new attribute on an existing object, with a stated classification.</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change to a domain boundary or responsibility.</w:t>
            </w:r>
          </w:p>
        </w:tc>
        <w:tc>
          <w:tcPr>
            <w:tcW w:type="dxa" w:w="4513"/>
            <w:tcMar>
              <w:top w:type="dxa" w:w="60"/>
              <w:left w:type="dxa" w:w="100"/>
              <w:bottom w:type="dxa" w:w="60"/>
              <w:right w:type="dxa" w:w="100"/>
            </w:tcMar>
            <w:vAlign w:val="center"/>
          </w:tcPr>
          <w:p>
            <w:pPr>
              <w:spacing w:after="20" w:before="20"/>
            </w:pPr>
            <w:r>
              <w:rPr>
                <w:sz w:val="20"/>
                <w:szCs w:val="20"/>
              </w:rPr>
              <w:t xml:space="preserve">A new business rule with a test case.</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new subdomain.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correction of an error, or a clarification that does not alter structure.</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new platform service, or a new error class.</w:t>
            </w:r>
          </w:p>
        </w:tc>
        <w:tc>
          <w:tcPr>
            <w:tcW w:type="dxa" w:w="4513"/>
            <w:tcMar>
              <w:top w:type="dxa" w:w="60"/>
              <w:left w:type="dxa" w:w="100"/>
              <w:bottom w:type="dxa" w:w="60"/>
              <w:right w:type="dxa" w:w="100"/>
            </w:tcMar>
            <w:vAlign w:val="center"/>
          </w:tcPr>
          <w:p>
            <w:pPr>
              <w:spacing w:after="20" w:before="20"/>
            </w:pPr>
            <w:r>
              <w:rPr>
                <w:sz w:val="20"/>
                <w:szCs w:val="20"/>
              </w:rPr>
              <w:t xml:space="preserve">A new operation on an existing service, where additive.</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An exception to any principle in PDS-09.</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classification change resolved in PDS-05 that does not alter hosting.</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declared dependency of one module on another.</w:t>
            </w:r>
          </w:p>
        </w:tc>
        <w:tc>
          <w:tcPr>
            <w:tcW w:type="dxa" w:w="4513"/>
            <w:tcMar>
              <w:top w:type="dxa" w:w="60"/>
              <w:left w:type="dxa" w:w="100"/>
              <w:bottom w:type="dxa" w:w="60"/>
              <w:right w:type="dxa" w:w="100"/>
            </w:tcMar>
            <w:vAlign w:val="center"/>
          </w:tcPr>
          <w:p>
            <w:pPr>
              <w:spacing w:after="20" w:before="20"/>
            </w:pPr>
            <w:r>
              <w:rPr>
                <w:sz w:val="20"/>
                <w:szCs w:val="20"/>
              </w:rPr>
              <w:t xml:space="preserve">A new extension attribute declared in a module manifest.</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change to any of the five architectural dimensions.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new report, dashboard, screen or user story.</w:t>
            </w:r>
          </w:p>
        </w:tc>
      </w:tr>
    </w:tbl>
    <w:p>
      <w:pPr>
        <w:pStyle w:val="Heading2"/>
        <w:spacing w:after="120" w:before="260"/>
      </w:pPr>
      <w:r>
        <w:rPr>
          <w:b/>
          <w:bCs/>
          <w:color w:val="2E74B5"/>
          <w:sz w:val="25"/>
          <w:szCs w:val="25"/>
        </w:rPr>
        <w:t xml:space="preserve">2.3 Record lifecycle</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Proposed    raised with context, options and a recommendation</w:t>
      </w:r>
      <w:r>
        <w:rPr>
          <w:rFonts w:ascii="Consolas" w:cs="Consolas" w:eastAsia="Consolas" w:hAnsi="Consolas"/>
          <w:sz w:val="18"/>
          <w:szCs w:val="18"/>
        </w:rPr>
        <w:br/>
        <w:t xml:space="preserve">    |</w:t>
      </w:r>
      <w:r>
        <w:rPr>
          <w:rFonts w:ascii="Consolas" w:cs="Consolas" w:eastAsia="Consolas" w:hAnsi="Consolas"/>
          <w:sz w:val="18"/>
          <w:szCs w:val="18"/>
        </w:rPr>
        <w:br/>
        <w:t xml:space="preserve">    +--&gt; Rejected     recorded, with the reason. Never deleted.</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Accepted    decision taken; affected documents updated</w:t>
      </w:r>
      <w:r>
        <w:rPr>
          <w:rFonts w:ascii="Consolas" w:cs="Consolas" w:eastAsia="Consolas" w:hAnsi="Consolas"/>
          <w:sz w:val="18"/>
          <w:szCs w:val="18"/>
        </w:rPr>
        <w:br/>
        <w:t xml:space="preserve">    |</w:t>
      </w:r>
      <w:r>
        <w:rPr>
          <w:rFonts w:ascii="Consolas" w:cs="Consolas" w:eastAsia="Consolas" w:hAnsi="Consolas"/>
          <w:sz w:val="18"/>
          <w:szCs w:val="18"/>
        </w:rPr>
        <w:br/>
        <w:t xml:space="preserve">    +--&gt; Superseded by ADR-nnn    the later record names the earlier</w:t>
      </w:r>
      <w:r>
        <w:rPr>
          <w:rFonts w:ascii="Consolas" w:cs="Consolas" w:eastAsia="Consolas" w:hAnsi="Consolas"/>
          <w:sz w:val="18"/>
          <w:szCs w:val="18"/>
        </w:rPr>
        <w:br/>
        <w:t xml:space="preserve">    |</w:t>
      </w:r>
      <w:r>
        <w:rPr>
          <w:rFonts w:ascii="Consolas" w:cs="Consolas" w:eastAsia="Consolas" w:hAnsi="Consolas"/>
          <w:sz w:val="18"/>
          <w:szCs w:val="18"/>
        </w:rPr>
        <w:br/>
        <w:t xml:space="preserve">    +--&gt; Deprecated               no longer relevant; context retained</w:t>
      </w:r>
    </w:p>
    <w:p>
      <w:pPr>
        <w:pStyle w:val="ListParagraph"/>
        <w:numPr>
          <w:ilvl w:val="0"/>
          <w:numId w:val="2"/>
        </w:numPr>
        <w:spacing w:after="60"/>
      </w:pPr>
      <w:r>
        <w:t xml:space="preserve">A record is never deleted, and a record identifier is never reused. A rejected decision is as valuable as an accepted one.</w:t>
      </w:r>
    </w:p>
    <w:p>
      <w:pPr>
        <w:pStyle w:val="ListParagraph"/>
        <w:numPr>
          <w:ilvl w:val="0"/>
          <w:numId w:val="2"/>
        </w:numPr>
        <w:spacing w:after="60"/>
      </w:pPr>
      <w:r>
        <w:t xml:space="preserve">A record that supersedes another names it explicitly, and the superseded record names its successor.</w:t>
      </w:r>
    </w:p>
    <w:p>
      <w:pPr>
        <w:pStyle w:val="ListParagraph"/>
        <w:numPr>
          <w:ilvl w:val="0"/>
          <w:numId w:val="2"/>
        </w:numPr>
        <w:spacing w:after="60"/>
      </w:pPr>
      <w:r>
        <w:t xml:space="preserve">An accepted record lists the documents it affects, and those documents are updated before the record is closed.</w:t>
      </w:r>
    </w:p>
    <w:p>
      <w:pPr>
        <w:pStyle w:val="ListParagraph"/>
        <w:numPr>
          <w:ilvl w:val="0"/>
          <w:numId w:val="2"/>
        </w:numPr>
        <w:spacing w:after="60"/>
      </w:pPr>
      <w:r>
        <w:t xml:space="preserve">A record granting an exception to a principle is scoped to a named component and carries a removal date.</w:t>
      </w:r>
    </w:p>
    <w:p>
      <w:pPr>
        <w:pStyle w:val="Heading2"/>
        <w:spacing w:after="120" w:before="260"/>
      </w:pPr>
      <w:r>
        <w:rPr>
          <w:b/>
          <w:bCs/>
          <w:color w:val="2E74B5"/>
          <w:sz w:val="25"/>
          <w:szCs w:val="25"/>
        </w:rPr>
        <w:t xml:space="preserve">2.4 Record template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Content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Identifier</w:t>
            </w:r>
          </w:p>
        </w:tc>
        <w:tc>
          <w:tcPr>
            <w:tcW w:type="dxa" w:w="7040"/>
            <w:tcMar>
              <w:top w:type="dxa" w:w="60"/>
              <w:left w:type="dxa" w:w="100"/>
              <w:bottom w:type="dxa" w:w="60"/>
              <w:right w:type="dxa" w:w="100"/>
            </w:tcMar>
            <w:vAlign w:val="center"/>
          </w:tcPr>
          <w:p>
            <w:pPr>
              <w:spacing w:after="20" w:before="20"/>
            </w:pPr>
            <w:r>
              <w:rPr>
                <w:sz w:val="20"/>
                <w:szCs w:val="20"/>
              </w:rPr>
              <w:t xml:space="preserve">ADR-nnn. Permanent, never reused.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Title</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 decision stated as an action, not a topic. "Host Vehicle in DOM-OPS", not "Vehicle hosting".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Status</w:t>
            </w:r>
          </w:p>
        </w:tc>
        <w:tc>
          <w:tcPr>
            <w:tcW w:type="dxa" w:w="7040"/>
            <w:tcMar>
              <w:top w:type="dxa" w:w="60"/>
              <w:left w:type="dxa" w:w="100"/>
              <w:bottom w:type="dxa" w:w="60"/>
              <w:right w:type="dxa" w:w="100"/>
            </w:tcMar>
            <w:vAlign w:val="center"/>
          </w:tcPr>
          <w:p>
            <w:pPr>
              <w:spacing w:after="20" w:before="20"/>
            </w:pPr>
            <w:r>
              <w:rPr>
                <w:sz w:val="20"/>
                <w:szCs w:val="20"/>
              </w:rPr>
              <w:t xml:space="preserve">Proposed, Accepted, Rejected, Superseded by ADR-nnn, or Deprecated.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Date and author</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When the decision was taken and by whom.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Context</w:t>
            </w:r>
          </w:p>
        </w:tc>
        <w:tc>
          <w:tcPr>
            <w:tcW w:type="dxa" w:w="7040"/>
            <w:tcMar>
              <w:top w:type="dxa" w:w="60"/>
              <w:left w:type="dxa" w:w="100"/>
              <w:bottom w:type="dxa" w:w="60"/>
              <w:right w:type="dxa" w:w="100"/>
            </w:tcMar>
            <w:vAlign w:val="center"/>
          </w:tcPr>
          <w:p>
            <w:pPr>
              <w:spacing w:after="20" w:before="20"/>
            </w:pPr>
            <w:r>
              <w:rPr>
                <w:sz w:val="20"/>
                <w:szCs w:val="20"/>
              </w:rPr>
              <w:t xml:space="preserve">The situation that forced a decision. Written so that a reader who was not present understands the pressure.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Decision</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What was decided, in the imperative. Unambiguous enough to test compliance against.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Alternatives considered</w:t>
            </w:r>
          </w:p>
        </w:tc>
        <w:tc>
          <w:tcPr>
            <w:tcW w:type="dxa" w:w="7040"/>
            <w:tcMar>
              <w:top w:type="dxa" w:w="60"/>
              <w:left w:type="dxa" w:w="100"/>
              <w:bottom w:type="dxa" w:w="60"/>
              <w:right w:type="dxa" w:w="100"/>
            </w:tcMar>
            <w:vAlign w:val="center"/>
          </w:tcPr>
          <w:p>
            <w:pPr>
              <w:spacing w:after="20" w:before="20"/>
            </w:pPr>
            <w:r>
              <w:rPr>
                <w:sz w:val="20"/>
                <w:szCs w:val="20"/>
              </w:rPr>
              <w:t xml:space="preserve">Each option, and why it was rejected. A record with no rejected alternative is usually not a decision.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Consequences</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What follows, including the costs accepted. Consequences that are only positive indicate an incomplete analysis.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Affects</w:t>
            </w:r>
          </w:p>
        </w:tc>
        <w:tc>
          <w:tcPr>
            <w:tcW w:type="dxa" w:w="7040"/>
            <w:tcMar>
              <w:top w:type="dxa" w:w="60"/>
              <w:left w:type="dxa" w:w="100"/>
              <w:bottom w:type="dxa" w:w="60"/>
              <w:right w:type="dxa" w:w="100"/>
            </w:tcMar>
            <w:vAlign w:val="center"/>
          </w:tcPr>
          <w:p>
            <w:pPr>
              <w:spacing w:after="20" w:before="20"/>
            </w:pPr>
            <w:r>
              <w:rPr>
                <w:sz w:val="20"/>
                <w:szCs w:val="20"/>
              </w:rPr>
              <w:t xml:space="preserve">The documents and components that change as a result.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Review date</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For exceptions only. The date by which the exception is removed or renewed.</w:t>
            </w:r>
          </w:p>
        </w:tc>
      </w:tr>
    </w:tbl>
    <w:p>
      <w:r>
        <w:br w:type="page"/>
      </w:r>
    </w:p>
    <w:p>
      <w:pPr>
        <w:pStyle w:val="Heading1"/>
        <w:spacing w:after="160" w:before="320"/>
      </w:pPr>
      <w:r>
        <w:rPr>
          <w:b/>
          <w:bCs/>
          <w:color w:val="1F4E79"/>
          <w:sz w:val="30"/>
          <w:szCs w:val="30"/>
        </w:rPr>
        <w:t xml:space="preserve">3. Register Summary</w:t>
      </w:r>
    </w:p>
    <w:p>
      <w:pPr>
        <w:spacing w:after="120" w:before="0"/>
      </w:pPr>
      <w:r>
        <w:t xml:space="preserve">All 20 records. The initial set documents the decisions taken during the design of the platform, so that the frozen baseline is explained rather than merely asserted.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812"/>
        <w:gridCol w:w="4242"/>
        <w:gridCol w:w="1083"/>
        <w:gridCol w:w="2889"/>
      </w:tblGrid>
      <w:tr>
        <w:trPr>
          <w:tblHeader/>
        </w:trPr>
        <w:tc>
          <w:tcPr>
            <w:tcW w:type="dxa" w:w="81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424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Title</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c>
          <w:tcPr>
            <w:tcW w:type="dxa" w:w="288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Affects</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ADR-001</w:t>
            </w:r>
          </w:p>
        </w:tc>
        <w:tc>
          <w:tcPr>
            <w:tcW w:type="dxa" w:w="4242"/>
            <w:tcMar>
              <w:top w:type="dxa" w:w="60"/>
              <w:left w:type="dxa" w:w="100"/>
              <w:bottom w:type="dxa" w:w="60"/>
              <w:right w:type="dxa" w:w="100"/>
            </w:tcMar>
            <w:vAlign w:val="center"/>
          </w:tcPr>
          <w:p>
            <w:pPr>
              <w:spacing w:after="20" w:before="20"/>
            </w:pPr>
            <w:r>
              <w:rPr>
                <w:sz w:val="20"/>
                <w:szCs w:val="20"/>
              </w:rPr>
              <w:t xml:space="preserve">Position TEAIP as an Enterprise Asset Intelligence Platform, not an Asset Tracking System</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PDS-01, PDS-06, CRS</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ADR-002</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Treat Odoo as an optional integration, not an alternative architecture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PDS-01 section 3.3, PDS-03 section 11.3, PDS-05 OI-08</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ADR-003</w:t>
            </w:r>
          </w:p>
        </w:tc>
        <w:tc>
          <w:tcPr>
            <w:tcW w:type="dxa" w:w="4242"/>
            <w:tcMar>
              <w:top w:type="dxa" w:w="60"/>
              <w:left w:type="dxa" w:w="100"/>
              <w:bottom w:type="dxa" w:w="60"/>
              <w:right w:type="dxa" w:w="100"/>
            </w:tcMar>
            <w:vAlign w:val="center"/>
          </w:tcPr>
          <w:p>
            <w:pPr>
              <w:spacing w:after="20" w:before="20"/>
            </w:pPr>
            <w:r>
              <w:rPr>
                <w:sz w:val="20"/>
                <w:szCs w:val="20"/>
              </w:rPr>
              <w:t xml:space="preserve">Structure the platform along five architectural dimensions</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PDS-01 section 4, all documents</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ADR-004</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Document DOM-IAM last and treat it as cross-cutting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PDS-04 sections 4.2 and 6</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ADR-005</w:t>
            </w:r>
          </w:p>
        </w:tc>
        <w:tc>
          <w:tcPr>
            <w:tcW w:type="dxa" w:w="4242"/>
            <w:tcMar>
              <w:top w:type="dxa" w:w="60"/>
              <w:left w:type="dxa" w:w="100"/>
              <w:bottom w:type="dxa" w:w="60"/>
              <w:right w:type="dxa" w:w="100"/>
            </w:tcMar>
            <w:vAlign w:val="center"/>
          </w:tcPr>
          <w:p>
            <w:pPr>
              <w:spacing w:after="20" w:before="20"/>
            </w:pPr>
            <w:r>
              <w:rPr>
                <w:sz w:val="20"/>
                <w:szCs w:val="20"/>
              </w:rPr>
              <w:t xml:space="preserve">Add subdomain SD-PLT-CAP with a capability registry, validation service and metadata service</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PDS-03 sections 5.13 to 5.15, PDS-05 SBO-018 and SBO-019, PDS-07</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ADR-006</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Host Vehicle in DOM-OPS rather than DOM-SEC</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PDS-04 section 10.2, PDS-05 OI-01</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ADR-007</w:t>
            </w:r>
          </w:p>
        </w:tc>
        <w:tc>
          <w:tcPr>
            <w:tcW w:type="dxa" w:w="4242"/>
            <w:tcMar>
              <w:top w:type="dxa" w:w="60"/>
              <w:left w:type="dxa" w:w="100"/>
              <w:bottom w:type="dxa" w:w="60"/>
              <w:right w:type="dxa" w:w="100"/>
            </w:tcMar>
            <w:vAlign w:val="center"/>
          </w:tcPr>
          <w:p>
            <w:pPr>
              <w:spacing w:after="20" w:before="20"/>
            </w:pPr>
            <w:r>
              <w:rPr>
                <w:sz w:val="20"/>
                <w:szCs w:val="20"/>
              </w:rPr>
              <w:t xml:space="preserve">Host the visual position of an asset in DOM-INT as a separate object</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PDS-05 OI-04, SBO-086</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ADR-008</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Separate custody from ownership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OI-05, SBO-049</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ADR-009</w:t>
            </w:r>
          </w:p>
        </w:tc>
        <w:tc>
          <w:tcPr>
            <w:tcW w:type="dxa" w:w="4242"/>
            <w:tcMar>
              <w:top w:type="dxa" w:w="60"/>
              <w:left w:type="dxa" w:w="100"/>
              <w:bottom w:type="dxa" w:w="60"/>
              <w:right w:type="dxa" w:w="100"/>
            </w:tcMar>
            <w:vAlign w:val="center"/>
          </w:tcPr>
          <w:p>
            <w:pPr>
              <w:spacing w:after="20" w:before="20"/>
            </w:pPr>
            <w:r>
              <w:rPr>
                <w:sz w:val="20"/>
                <w:szCs w:val="20"/>
              </w:rPr>
              <w:t xml:space="preserve">Model asset relationships as typed rather than parent and child</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PDS-05 OI-06, SBO-050</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ADR-010</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Keep Employee and Contractor as separate objects; introduce no Party abstraction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OI-07</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ADR-011</w:t>
            </w:r>
          </w:p>
        </w:tc>
        <w:tc>
          <w:tcPr>
            <w:tcW w:type="dxa" w:w="4242"/>
            <w:tcMar>
              <w:top w:type="dxa" w:w="60"/>
              <w:left w:type="dxa" w:w="100"/>
              <w:bottom w:type="dxa" w:w="60"/>
              <w:right w:type="dxa" w:w="100"/>
            </w:tcMar>
            <w:vAlign w:val="center"/>
          </w:tcPr>
          <w:p>
            <w:pPr>
              <w:spacing w:after="20" w:before="20"/>
            </w:pPr>
            <w:r>
              <w:rPr>
                <w:sz w:val="20"/>
                <w:szCs w:val="20"/>
              </w:rPr>
              <w:t xml:space="preserve">Separate User from Employee, with an optional association</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PDS-05 OI-03, SBO-024, SBO-092</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ADR-012</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Make Verification Result a first-class object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SBO-069, BR-133 to BR-136</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ADR-013</w:t>
            </w:r>
          </w:p>
        </w:tc>
        <w:tc>
          <w:tcPr>
            <w:tcW w:type="dxa" w:w="4242"/>
            <w:tcMar>
              <w:top w:type="dxa" w:w="60"/>
              <w:left w:type="dxa" w:w="100"/>
              <w:bottom w:type="dxa" w:w="60"/>
              <w:right w:type="dxa" w:w="100"/>
            </w:tcMar>
            <w:vAlign w:val="center"/>
          </w:tcPr>
          <w:p>
            <w:pPr>
              <w:spacing w:after="20" w:before="20"/>
            </w:pPr>
            <w:r>
              <w:rPr>
                <w:sz w:val="20"/>
                <w:szCs w:val="20"/>
              </w:rPr>
              <w:t xml:space="preserve">Host Permit in DOM-SEC and Loading Order in DOM-OPS</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PDS-04 section 4.4, PDS-05 SBO-064 and SBO-057</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ADR-014</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Host Inventory Session in DOM-OPS and make Inventory Count Line a first-class object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OI-09, SBO-059 and SBO-060</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ADR-015</w:t>
            </w:r>
          </w:p>
        </w:tc>
        <w:tc>
          <w:tcPr>
            <w:tcW w:type="dxa" w:w="4242"/>
            <w:tcMar>
              <w:top w:type="dxa" w:w="60"/>
              <w:left w:type="dxa" w:w="100"/>
              <w:bottom w:type="dxa" w:w="60"/>
              <w:right w:type="dxa" w:w="100"/>
            </w:tcMar>
            <w:vAlign w:val="center"/>
          </w:tcPr>
          <w:p>
            <w:pPr>
              <w:spacing w:after="20" w:before="20"/>
            </w:pPr>
            <w:r>
              <w:rPr>
                <w:sz w:val="20"/>
                <w:szCs w:val="20"/>
              </w:rPr>
              <w:t xml:space="preserve">Use one Discrepancy Record object across receiving, picking, loading and inventory</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PDS-05 OI-10, SBO-062, BR-107</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ADR-016</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Keep Report Definition, Dashboard Definition and Search Index in DOM-PLT as Platform Configuration Objects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PDS-05 OI-02</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ADR-017</w:t>
            </w:r>
          </w:p>
        </w:tc>
        <w:tc>
          <w:tcPr>
            <w:tcW w:type="dxa" w:w="4242"/>
            <w:tcMar>
              <w:top w:type="dxa" w:w="60"/>
              <w:left w:type="dxa" w:w="100"/>
              <w:bottom w:type="dxa" w:w="60"/>
              <w:right w:type="dxa" w:w="100"/>
            </w:tcMar>
            <w:vAlign w:val="center"/>
          </w:tcPr>
          <w:p>
            <w:pPr>
              <w:spacing w:after="20" w:before="20"/>
            </w:pPr>
            <w:r>
              <w:rPr>
                <w:sz w:val="20"/>
                <w:szCs w:val="20"/>
              </w:rPr>
              <w:t xml:space="preserve">Scope capability state per tenant, with variation expressed through Validation Profile</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PDS-05 OI-12, PDS-07 PS-013</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ADR-018</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Maintain the specification as separate documents with a generated compendium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All documents</w:t>
            </w:r>
          </w:p>
        </w:tc>
      </w:tr>
      <w:tr>
        <w:trPr>
          <w:cantSplit/>
        </w:trPr>
        <w:tc>
          <w:tcPr>
            <w:tcW w:type="dxa" w:w="812"/>
            <w:tcMar>
              <w:top w:type="dxa" w:w="60"/>
              <w:left w:type="dxa" w:w="100"/>
              <w:bottom w:type="dxa" w:w="60"/>
              <w:right w:type="dxa" w:w="100"/>
            </w:tcMar>
            <w:vAlign w:val="center"/>
          </w:tcPr>
          <w:p>
            <w:pPr>
              <w:spacing w:after="20" w:before="20"/>
            </w:pPr>
            <w:r>
              <w:rPr>
                <w:sz w:val="20"/>
                <w:szCs w:val="20"/>
              </w:rPr>
              <w:t xml:space="preserve">ADR-019</w:t>
            </w:r>
          </w:p>
        </w:tc>
        <w:tc>
          <w:tcPr>
            <w:tcW w:type="dxa" w:w="4242"/>
            <w:tcMar>
              <w:top w:type="dxa" w:w="60"/>
              <w:left w:type="dxa" w:w="100"/>
              <w:bottom w:type="dxa" w:w="60"/>
              <w:right w:type="dxa" w:w="100"/>
            </w:tcMar>
            <w:vAlign w:val="center"/>
          </w:tcPr>
          <w:p>
            <w:pPr>
              <w:spacing w:after="20" w:before="20"/>
            </w:pPr>
            <w:r>
              <w:rPr>
                <w:sz w:val="20"/>
                <w:szCs w:val="20"/>
              </w:rPr>
              <w:t xml:space="preserve">Generate the specification from a machine-readable architecture source</w:t>
            </w:r>
          </w:p>
        </w:tc>
        <w:tc>
          <w:tcPr>
            <w:tcW w:type="dxa" w:w="1083"/>
            <w:tcMar>
              <w:top w:type="dxa" w:w="60"/>
              <w:left w:type="dxa" w:w="100"/>
              <w:bottom w:type="dxa" w:w="60"/>
              <w:right w:type="dxa" w:w="100"/>
            </w:tcMar>
            <w:vAlign w:val="center"/>
          </w:tcPr>
          <w:p>
            <w:pPr>
              <w:spacing w:after="20" w:before="20"/>
            </w:pPr>
            <w:r>
              <w:rPr>
                <w:sz w:val="20"/>
                <w:szCs w:val="20"/>
              </w:rPr>
              <w:t xml:space="preserve">Accepted</w:t>
            </w:r>
          </w:p>
        </w:tc>
        <w:tc>
          <w:tcPr>
            <w:tcW w:type="dxa" w:w="2889"/>
            <w:tcMar>
              <w:top w:type="dxa" w:w="60"/>
              <w:left w:type="dxa" w:w="100"/>
              <w:bottom w:type="dxa" w:w="60"/>
              <w:right w:type="dxa" w:w="100"/>
            </w:tcMar>
            <w:vAlign w:val="center"/>
          </w:tcPr>
          <w:p>
            <w:pPr>
              <w:spacing w:after="20" w:before="20"/>
            </w:pPr>
            <w:r>
              <w:rPr>
                <w:sz w:val="20"/>
                <w:szCs w:val="20"/>
              </w:rPr>
              <w:t xml:space="preserve">PDS-02, PDS-04, PDS-05, PDS-06, PDS-07</w:t>
            </w:r>
          </w:p>
        </w:tc>
      </w:tr>
      <w:tr>
        <w:trPr>
          <w:cantSplit/>
        </w:trPr>
        <w:tc>
          <w:tcPr>
            <w:tcW w:type="dxa" w:w="812"/>
            <w:shd w:fill="F2F2F2" w:color="auto" w:val="clear"/>
            <w:tcMar>
              <w:top w:type="dxa" w:w="60"/>
              <w:left w:type="dxa" w:w="100"/>
              <w:bottom w:type="dxa" w:w="60"/>
              <w:right w:type="dxa" w:w="100"/>
            </w:tcMar>
            <w:vAlign w:val="center"/>
          </w:tcPr>
          <w:p>
            <w:pPr>
              <w:spacing w:after="20" w:before="20"/>
            </w:pPr>
            <w:r>
              <w:rPr>
                <w:sz w:val="20"/>
                <w:szCs w:val="20"/>
              </w:rPr>
              <w:t xml:space="preserve">ADR-020</w:t>
            </w:r>
          </w:p>
        </w:tc>
        <w:tc>
          <w:tcPr>
            <w:tcW w:type="dxa" w:w="4242"/>
            <w:shd w:fill="F2F2F2" w:color="auto" w:val="clear"/>
            <w:tcMar>
              <w:top w:type="dxa" w:w="60"/>
              <w:left w:type="dxa" w:w="100"/>
              <w:bottom w:type="dxa" w:w="60"/>
              <w:right w:type="dxa" w:w="100"/>
            </w:tcMar>
            <w:vAlign w:val="center"/>
          </w:tcPr>
          <w:p>
            <w:pPr>
              <w:spacing w:after="20" w:before="20"/>
            </w:pPr>
            <w:r>
              <w:rPr>
                <w:sz w:val="20"/>
                <w:szCs w:val="20"/>
              </w:rPr>
              <w:t xml:space="preserve">Adopt SBOM as the platform term, and US English as the house standard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Accepted</w:t>
            </w:r>
          </w:p>
        </w:tc>
        <w:tc>
          <w:tcPr>
            <w:tcW w:type="dxa" w:w="2889"/>
            <w:shd w:fill="F2F2F2" w:color="auto" w:val="clear"/>
            <w:tcMar>
              <w:top w:type="dxa" w:w="60"/>
              <w:left w:type="dxa" w:w="100"/>
              <w:bottom w:type="dxa" w:w="60"/>
              <w:right w:type="dxa" w:w="100"/>
            </w:tcMar>
            <w:vAlign w:val="center"/>
          </w:tcPr>
          <w:p>
            <w:pPr>
              <w:spacing w:after="20" w:before="20"/>
            </w:pPr>
            <w:r>
              <w:rPr>
                <w:sz w:val="20"/>
                <w:szCs w:val="20"/>
              </w:rPr>
              <w:t xml:space="preserve">All documents, PDS-06</w:t>
            </w:r>
          </w:p>
        </w:tc>
      </w:tr>
    </w:tbl>
    <w:p>
      <w:r>
        <w:br w:type="page"/>
      </w:r>
    </w:p>
    <w:p>
      <w:pPr>
        <w:pStyle w:val="Heading1"/>
        <w:spacing w:after="160" w:before="320"/>
      </w:pPr>
      <w:r>
        <w:rPr>
          <w:b/>
          <w:bCs/>
          <w:color w:val="1F4E79"/>
          <w:sz w:val="30"/>
          <w:szCs w:val="30"/>
        </w:rPr>
        <w:t xml:space="preserve">4. Records</w:t>
      </w:r>
    </w:p>
    <w:p>
      <w:pPr>
        <w:spacing w:after="120" w:before="0"/>
      </w:pPr>
      <w:r>
        <w:t xml:space="preserve"/>
      </w:r>
    </w:p>
    <w:p>
      <w:pPr>
        <w:pStyle w:val="Heading2"/>
        <w:spacing w:after="120" w:before="260"/>
      </w:pPr>
      <w:r>
        <w:rPr>
          <w:b/>
          <w:bCs/>
          <w:color w:val="2E74B5"/>
          <w:sz w:val="25"/>
          <w:szCs w:val="25"/>
        </w:rPr>
        <w:t xml:space="preserve">ADR-001 — Position TEAIP as an Enterprise Asset Intelligence Platform, not an Asset Tracking System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PDS-01, PDS-06, CRS</w:t>
            </w:r>
          </w:p>
        </w:tc>
      </w:tr>
    </w:tbl>
    <w:p>
      <w:pPr>
        <w:pStyle w:val="Heading3"/>
        <w:spacing w:after="100" w:before="200"/>
      </w:pPr>
      <w:r>
        <w:rPr>
          <w:b/>
          <w:bCs/>
          <w:color w:val="404040"/>
          <w:sz w:val="22"/>
          <w:szCs w:val="22"/>
        </w:rPr>
        <w:t xml:space="preserve">Context</w:t>
      </w:r>
    </w:p>
    <w:p>
      <w:pPr>
        <w:spacing w:after="120" w:before="0"/>
      </w:pPr>
      <w:r>
        <w:t xml:space="preserve">The asset tracking category is crowded and largely commoditized. Competing within it forces price-led selling against products with substantially the same feature list, and it understates what the platform does.</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Position TEAIP above traditional asset management by combining operational asset management with physical security, warehouse loading verification and visual asset intelligence. Two capabilities carry the differentiation: Vehicle &amp; Loading Verification, and Visual Asset Intelligence.</w:t>
      </w:r>
    </w:p>
    <w:p>
      <w:pPr>
        <w:pStyle w:val="Heading3"/>
        <w:spacing w:after="100" w:before="200"/>
      </w:pPr>
      <w:r>
        <w:rPr>
          <w:b/>
          <w:bCs/>
          <w:color w:val="404040"/>
          <w:sz w:val="22"/>
          <w:szCs w:val="22"/>
        </w:rPr>
        <w:t xml:space="preserve">Alternatives considered</w:t>
      </w:r>
    </w:p>
    <w:p>
      <w:pPr>
        <w:spacing w:after="120" w:before="0"/>
      </w:pPr>
      <w:r>
        <w:t xml:space="preserve">Compete as an asset tracking system on features and price — rejected, because the category is commoditized. Position as a security product — rejected, because the asset lifecycle foundation is genuine value and most buyers enter through it.</w:t>
      </w:r>
    </w:p>
    <w:p>
      <w:pPr>
        <w:pStyle w:val="Heading3"/>
        <w:spacing w:after="100" w:before="200"/>
      </w:pPr>
      <w:r>
        <w:rPr>
          <w:b/>
          <w:bCs/>
          <w:color w:val="404040"/>
          <w:sz w:val="22"/>
          <w:szCs w:val="22"/>
        </w:rPr>
        <w:t xml:space="preserve">Consequences</w:t>
      </w:r>
    </w:p>
    <w:p>
      <w:pPr>
        <w:spacing w:after="120" w:before="0"/>
      </w:pPr>
      <w:r>
        <w:t xml:space="preserve">Marketing, packaging and the CRS all lead with the two differentiators. The term "Asset Tracking System" is deprecated platform-wide (PDS-06 section 8).</w:t>
      </w:r>
    </w:p>
    <w:p>
      <w:r>
        <w:br w:type="page"/>
      </w:r>
    </w:p>
    <w:p>
      <w:pPr>
        <w:pStyle w:val="Heading2"/>
        <w:spacing w:after="120" w:before="260"/>
      </w:pPr>
      <w:r>
        <w:rPr>
          <w:b/>
          <w:bCs/>
          <w:color w:val="2E74B5"/>
          <w:sz w:val="25"/>
          <w:szCs w:val="25"/>
        </w:rPr>
        <w:t xml:space="preserve">ADR-002 — Treat Odoo as an optional integration, not an alternative architecture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PDS-01 section 3.3, PDS-03 section 11.3, PDS-05 OI-08</w:t>
            </w:r>
          </w:p>
        </w:tc>
      </w:tr>
    </w:tbl>
    <w:p>
      <w:pPr>
        <w:pStyle w:val="Heading3"/>
        <w:spacing w:after="100" w:before="200"/>
      </w:pPr>
      <w:r>
        <w:rPr>
          <w:b/>
          <w:bCs/>
          <w:color w:val="404040"/>
          <w:sz w:val="22"/>
          <w:szCs w:val="22"/>
        </w:rPr>
        <w:t xml:space="preserve">Context</w:t>
      </w:r>
    </w:p>
    <w:p>
      <w:pPr>
        <w:spacing w:after="120" w:before="0"/>
      </w:pPr>
      <w:r>
        <w:t xml:space="preserve">An Odoo-based architecture was considered as a way to obtain ERP functionality without building it. Presenting it as a competing option would have split the product into two products with two roadmaps.</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TEAIP is a custom proprietary platform. Odoo is consumed through the Integration Framework as one external system of record among several, for customers who already operate it or want a lower-cost route to finance-side functionality. All asset intelligence capability remains Trangant intellectual property.</w:t>
      </w:r>
    </w:p>
    <w:p>
      <w:pPr>
        <w:pStyle w:val="Heading3"/>
        <w:spacing w:after="100" w:before="200"/>
      </w:pPr>
      <w:r>
        <w:rPr>
          <w:b/>
          <w:bCs/>
          <w:color w:val="404040"/>
          <w:sz w:val="22"/>
          <w:szCs w:val="22"/>
        </w:rPr>
        <w:t xml:space="preserve">Alternatives considered</w:t>
      </w:r>
    </w:p>
    <w:p>
      <w:pPr>
        <w:spacing w:after="120" w:before="0"/>
      </w:pPr>
      <w:r>
        <w:t xml:space="preserve">Build the platform on Odoo — rejected, because the differentiating capability would then sit inside a third-party product. Present Odoo as Option 2 — rejected, because two architectures cannot both be specified, sold and supported.</w:t>
      </w:r>
    </w:p>
    <w:p>
      <w:pPr>
        <w:pStyle w:val="Heading3"/>
        <w:spacing w:after="100" w:before="200"/>
      </w:pPr>
      <w:r>
        <w:rPr>
          <w:b/>
          <w:bCs/>
          <w:color w:val="404040"/>
          <w:sz w:val="22"/>
          <w:szCs w:val="22"/>
        </w:rPr>
        <w:t xml:space="preserve">Consequences</w:t>
      </w:r>
    </w:p>
    <w:p>
      <w:pPr>
        <w:spacing w:after="120" w:before="0"/>
      </w:pPr>
      <w:r>
        <w:t xml:space="preserve">The Core Platform never depends on an external ERP (BR-013). Five objects carry a capability-dependent external reference attribute. No object is mandatory-dependent on an ERP.</w:t>
      </w:r>
    </w:p>
    <w:p>
      <w:r>
        <w:br w:type="page"/>
      </w:r>
    </w:p>
    <w:p>
      <w:pPr>
        <w:pStyle w:val="Heading2"/>
        <w:spacing w:after="120" w:before="260"/>
      </w:pPr>
      <w:r>
        <w:rPr>
          <w:b/>
          <w:bCs/>
          <w:color w:val="2E74B5"/>
          <w:sz w:val="25"/>
          <w:szCs w:val="25"/>
        </w:rPr>
        <w:t xml:space="preserve">ADR-003 — Structure the platform along five architectural dimensions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PDS-01 section 4, all documents</w:t>
            </w:r>
          </w:p>
        </w:tc>
      </w:tr>
    </w:tbl>
    <w:p>
      <w:pPr>
        <w:pStyle w:val="Heading3"/>
        <w:spacing w:after="100" w:before="200"/>
      </w:pPr>
      <w:r>
        <w:rPr>
          <w:b/>
          <w:bCs/>
          <w:color w:val="404040"/>
          <w:sz w:val="22"/>
          <w:szCs w:val="22"/>
        </w:rPr>
        <w:t xml:space="preserve">Context</w:t>
      </w:r>
    </w:p>
    <w:p>
      <w:pPr>
        <w:spacing w:after="120" w:before="0"/>
      </w:pPr>
      <w:r>
        <w:t xml:space="preserve">In many enterprise systems, entities, modules, services and processes are mixed together, so no single artifact can be trusted as authoritative and boundary disputes are settled by negotiation rather than by reading the specification.</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Separate five dimensions, each answering one question and producing one authoritative deliverable: Capabilities (PDS-02), Domains (PDS-04), Business Objects (PDS-05), Services (PDS-07), Processes (CRS).</w:t>
      </w:r>
    </w:p>
    <w:p>
      <w:pPr>
        <w:pStyle w:val="Heading3"/>
        <w:spacing w:after="100" w:before="200"/>
      </w:pPr>
      <w:r>
        <w:rPr>
          <w:b/>
          <w:bCs/>
          <w:color w:val="404040"/>
          <w:sz w:val="22"/>
          <w:szCs w:val="22"/>
        </w:rPr>
        <w:t xml:space="preserve">Alternatives considered</w:t>
      </w:r>
    </w:p>
    <w:p>
      <w:pPr>
        <w:spacing w:after="120" w:before="0"/>
      </w:pPr>
      <w:r>
        <w:t xml:space="preserve">A single combined design document — rejected, because it cannot be frozen or approved in parts. Domain-driven design with aggregates only — rejected, because it does not give a commercial capability view for licensing.</w:t>
      </w:r>
    </w:p>
    <w:p>
      <w:pPr>
        <w:pStyle w:val="Heading3"/>
        <w:spacing w:after="100" w:before="200"/>
      </w:pPr>
      <w:r>
        <w:rPr>
          <w:b/>
          <w:bCs/>
          <w:color w:val="404040"/>
          <w:sz w:val="22"/>
          <w:szCs w:val="22"/>
        </w:rPr>
        <w:t xml:space="preserve">Consequences</w:t>
      </w:r>
    </w:p>
    <w:p>
      <w:pPr>
        <w:spacing w:after="120" w:before="0"/>
      </w:pPr>
      <w:r>
        <w:t xml:space="preserve">Every downstream artifact cites a dimension. A capability belongs to exactly one subdomain; an object is hosted by exactly one domain. The separation is what makes GS-001 traceability possible.</w:t>
      </w:r>
    </w:p>
    <w:p>
      <w:r>
        <w:br w:type="page"/>
      </w:r>
    </w:p>
    <w:p>
      <w:pPr>
        <w:pStyle w:val="Heading2"/>
        <w:spacing w:after="120" w:before="260"/>
      </w:pPr>
      <w:r>
        <w:rPr>
          <w:b/>
          <w:bCs/>
          <w:color w:val="2E74B5"/>
          <w:sz w:val="25"/>
          <w:szCs w:val="25"/>
        </w:rPr>
        <w:t xml:space="preserve">ADR-004 — Document DOM-IAM last and treat it as cross-cutting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PDS-04 sections 4.2 and 6</w:t>
            </w:r>
          </w:p>
        </w:tc>
      </w:tr>
    </w:tbl>
    <w:p>
      <w:pPr>
        <w:pStyle w:val="Heading3"/>
        <w:spacing w:after="100" w:before="200"/>
      </w:pPr>
      <w:r>
        <w:rPr>
          <w:b/>
          <w:bCs/>
          <w:color w:val="404040"/>
          <w:sz w:val="22"/>
          <w:szCs w:val="22"/>
        </w:rPr>
        <w:t xml:space="preserve">Context</w:t>
      </w:r>
    </w:p>
    <w:p>
      <w:pPr>
        <w:spacing w:after="120" w:before="0"/>
      </w:pPr>
      <w:r>
        <w:t xml:space="preserve">The initial domain order placed Identity &amp; Access second, following the convention of technical architectures. But the business architecture is documented before the technical stack, and identity does not define the business.</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Order the domains PLT, ENT, LOC, AST, OPS, SEC, INT, IAM. Document DOM-IAM last, and represent it as a cross-cutting domain applying to every other domain rather than as the final link of a linear chain. DOM-IAM depends only on DOM-PLT and DOM-ENT.</w:t>
      </w:r>
    </w:p>
    <w:p>
      <w:pPr>
        <w:pStyle w:val="Heading3"/>
        <w:spacing w:after="100" w:before="200"/>
      </w:pPr>
      <w:r>
        <w:rPr>
          <w:b/>
          <w:bCs/>
          <w:color w:val="404040"/>
          <w:sz w:val="22"/>
          <w:szCs w:val="22"/>
        </w:rPr>
        <w:t xml:space="preserve">Alternatives considered</w:t>
      </w:r>
    </w:p>
    <w:p>
      <w:pPr>
        <w:spacing w:after="120" w:before="0"/>
      </w:pPr>
      <w:r>
        <w:t xml:space="preserve">Place IAM second in dependency order — rejected, because it inverts the business reasoning of the documentation sequence. Place IAM last in a linear chain — rejected, because it falsely implies DOM-INT precedes it in dependency.</w:t>
      </w:r>
    </w:p>
    <w:p>
      <w:pPr>
        <w:pStyle w:val="Heading3"/>
        <w:spacing w:after="100" w:before="200"/>
      </w:pPr>
      <w:r>
        <w:rPr>
          <w:b/>
          <w:bCs/>
          <w:color w:val="404040"/>
          <w:sz w:val="22"/>
          <w:szCs w:val="22"/>
        </w:rPr>
        <w:t xml:space="preserve">Consequences</w:t>
      </w:r>
    </w:p>
    <w:p>
      <w:pPr>
        <w:spacing w:after="120" w:before="0"/>
      </w:pPr>
      <w:r>
        <w:t xml:space="preserve">The CRS reads naturally: enterprise, locations, assets, operations, security, analytics, then who may access what. The dependency matrix shows DOM-PLT depending on nothing, including not on DOM-IAM.</w:t>
      </w:r>
    </w:p>
    <w:p>
      <w:r>
        <w:br w:type="page"/>
      </w:r>
    </w:p>
    <w:p>
      <w:pPr>
        <w:pStyle w:val="Heading2"/>
        <w:spacing w:after="120" w:before="260"/>
      </w:pPr>
      <w:r>
        <w:rPr>
          <w:b/>
          <w:bCs/>
          <w:color w:val="2E74B5"/>
          <w:sz w:val="25"/>
          <w:szCs w:val="25"/>
        </w:rPr>
        <w:t xml:space="preserve">ADR-005 — Add subdomain SD-PLT-CAP with a capability registry, validation service and metadata service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PDS-03 sections 5.13 to 5.15, PDS-05 SBO-018 and SBO-019, PDS-07</w:t>
            </w:r>
          </w:p>
        </w:tc>
      </w:tr>
    </w:tbl>
    <w:p>
      <w:pPr>
        <w:pStyle w:val="Heading3"/>
        <w:spacing w:after="100" w:before="200"/>
      </w:pPr>
      <w:r>
        <w:rPr>
          <w:b/>
          <w:bCs/>
          <w:color w:val="404040"/>
          <w:sz w:val="22"/>
          <w:szCs w:val="22"/>
        </w:rPr>
        <w:t xml:space="preserve">Context</w:t>
      </w:r>
    </w:p>
    <w:p>
      <w:pPr>
        <w:spacing w:after="120" w:before="0"/>
      </w:pPr>
      <w:r>
        <w:t xml:space="preserve">EP-001 Progressive Adoption and EP-002 Capability-Driven Validation require the effective mandatory field set to be resolved from enabled capabilities. No platform component existed to do that.</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Add subdomain SD-PLT-CAP to DOM-PLT, hosting Capability Registration and Validation Profile, and add three services: PS-013 Capability Registry, PS-014 Validation Service, PS-015 Metadata Service.</w:t>
      </w:r>
    </w:p>
    <w:p>
      <w:pPr>
        <w:pStyle w:val="Heading3"/>
        <w:spacing w:after="100" w:before="200"/>
      </w:pPr>
      <w:r>
        <w:rPr>
          <w:b/>
          <w:bCs/>
          <w:color w:val="404040"/>
          <w:sz w:val="22"/>
          <w:szCs w:val="22"/>
        </w:rPr>
        <w:t xml:space="preserve">Alternatives considered</w:t>
      </w:r>
    </w:p>
    <w:p>
      <w:pPr>
        <w:spacing w:after="120" w:before="0"/>
      </w:pPr>
      <w:r>
        <w:t xml:space="preserve">Let each module implement progressive behavior itself — rejected, because it violates AP-002 and would produce as many behaviors as modules. Express obligations in the database schema — rejected, because a customer-specific mandatory field would then require a migration.</w:t>
      </w:r>
    </w:p>
    <w:p>
      <w:pPr>
        <w:pStyle w:val="Heading3"/>
        <w:spacing w:after="100" w:before="200"/>
      </w:pPr>
      <w:r>
        <w:rPr>
          <w:b/>
          <w:bCs/>
          <w:color w:val="404040"/>
          <w:sz w:val="22"/>
          <w:szCs w:val="22"/>
        </w:rPr>
        <w:t xml:space="preserve">Consequences</w:t>
      </w:r>
    </w:p>
    <w:p>
      <w:pPr>
        <w:spacing w:after="120" w:before="0"/>
      </w:pPr>
      <w:r>
        <w:t xml:space="preserve">Only Required attributes are non-nullable in the physical model. Interface and API resolve obligations from the same call, so they cannot disagree. Enabling a capability adds structure without migration.</w:t>
      </w:r>
    </w:p>
    <w:p>
      <w:r>
        <w:br w:type="page"/>
      </w:r>
    </w:p>
    <w:p>
      <w:pPr>
        <w:pStyle w:val="Heading2"/>
        <w:spacing w:after="120" w:before="260"/>
      </w:pPr>
      <w:r>
        <w:rPr>
          <w:b/>
          <w:bCs/>
          <w:color w:val="2E74B5"/>
          <w:sz w:val="25"/>
          <w:szCs w:val="25"/>
        </w:rPr>
        <w:t xml:space="preserve">ADR-006 — Host Vehicle in DOM-OPS rather than DOM-SEC</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PDS-04 section 10.2, PDS-05 OI-01</w:t>
            </w:r>
          </w:p>
        </w:tc>
      </w:tr>
    </w:tbl>
    <w:p>
      <w:pPr>
        <w:pStyle w:val="Heading3"/>
        <w:spacing w:after="100" w:before="200"/>
      </w:pPr>
      <w:r>
        <w:rPr>
          <w:b/>
          <w:bCs/>
          <w:color w:val="404040"/>
          <w:sz w:val="22"/>
          <w:szCs w:val="22"/>
        </w:rPr>
        <w:t xml:space="preserve">Context</w:t>
      </w:r>
    </w:p>
    <w:p>
      <w:pPr>
        <w:spacing w:after="120" w:before="0"/>
      </w:pPr>
      <w:r>
        <w:t xml:space="preserve">A vehicle is registered, scheduled and loaded as an operational actor, and is also verified at a boundary as a security subject. Both domains have a claim.</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Host Vehicle in DOM-OPS. Vehicle Verification contributes Last Gate, Current Permit, Entry Time, Exit Time and Risk Score as namespaced extensions.</w:t>
      </w:r>
    </w:p>
    <w:p>
      <w:pPr>
        <w:pStyle w:val="Heading3"/>
        <w:spacing w:after="100" w:before="200"/>
      </w:pPr>
      <w:r>
        <w:rPr>
          <w:b/>
          <w:bCs/>
          <w:color w:val="404040"/>
          <w:sz w:val="22"/>
          <w:szCs w:val="22"/>
        </w:rPr>
        <w:t xml:space="preserve">Alternatives considered</w:t>
      </w:r>
    </w:p>
    <w:p>
      <w:pPr>
        <w:spacing w:after="120" w:before="0"/>
      </w:pPr>
      <w:r>
        <w:t xml:space="preserve">Host Vehicle in DOM-SEC — rejected, because DOM-OPS would then depend on a later domain, breaking the acyclic dependency order, and because a customer running only Smart Warehouse must be able to register vehicles with no security capability licensed.</w:t>
      </w:r>
    </w:p>
    <w:p>
      <w:pPr>
        <w:pStyle w:val="Heading3"/>
        <w:spacing w:after="100" w:before="200"/>
      </w:pPr>
      <w:r>
        <w:rPr>
          <w:b/>
          <w:bCs/>
          <w:color w:val="404040"/>
          <w:sz w:val="22"/>
          <w:szCs w:val="22"/>
        </w:rPr>
        <w:t xml:space="preserve">Consequences</w:t>
      </w:r>
    </w:p>
    <w:p>
      <w:pPr>
        <w:spacing w:after="120" w:before="0"/>
      </w:pPr>
      <w:r>
        <w:t xml:space="preserve">Security verifies vehicles; it does not define them. Recorded as OI-01 in PDS-04 and resolved explicitly in PDS-05 rather than by default.</w:t>
      </w:r>
    </w:p>
    <w:p>
      <w:r>
        <w:br w:type="page"/>
      </w:r>
    </w:p>
    <w:p>
      <w:pPr>
        <w:pStyle w:val="Heading2"/>
        <w:spacing w:after="120" w:before="260"/>
      </w:pPr>
      <w:r>
        <w:rPr>
          <w:b/>
          <w:bCs/>
          <w:color w:val="2E74B5"/>
          <w:sz w:val="25"/>
          <w:szCs w:val="25"/>
        </w:rPr>
        <w:t xml:space="preserve">ADR-007 — Host the visual position of an asset in DOM-INT as a separate object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OI-04, SBO-086</w:t>
            </w:r>
          </w:p>
        </w:tc>
      </w:tr>
    </w:tbl>
    <w:p>
      <w:pPr>
        <w:pStyle w:val="Heading3"/>
        <w:spacing w:after="100" w:before="200"/>
      </w:pPr>
      <w:r>
        <w:rPr>
          <w:b/>
          <w:bCs/>
          <w:color w:val="404040"/>
          <w:sz w:val="22"/>
          <w:szCs w:val="22"/>
        </w:rPr>
        <w:t xml:space="preserve">Context</w:t>
      </w:r>
    </w:p>
    <w:p>
      <w:pPr>
        <w:spacing w:after="120" w:before="0"/>
      </w:pPr>
      <w:r>
        <w:t xml:space="preserve">An asset has a logical location (building, room, zone, warehouse) and, where Visual Asset Intelligence is licensed, a visual coordinate on a floor plan. Holding both on Asset would place capability-dependent structure on the most consumed object in the platform.</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Keep logical location as Asset attributes. Model the visual coordinate as Asset Position, hosted by DOM-INT, carrying position source, confidence and history.</w:t>
      </w:r>
    </w:p>
    <w:p>
      <w:pPr>
        <w:pStyle w:val="Heading3"/>
        <w:spacing w:after="100" w:before="200"/>
      </w:pPr>
      <w:r>
        <w:rPr>
          <w:b/>
          <w:bCs/>
          <w:color w:val="404040"/>
          <w:sz w:val="22"/>
          <w:szCs w:val="22"/>
        </w:rPr>
        <w:t xml:space="preserve">Alternatives considered</w:t>
      </w:r>
    </w:p>
    <w:p>
      <w:pPr>
        <w:spacing w:after="120" w:before="0"/>
      </w:pPr>
      <w:r>
        <w:t xml:space="preserve">Hold X and Y on Asset — rejected, because every consumer would have to reason about a floor plan that may not exist, and because position history is a visualization concern. Hold position in DOM-LOC — rejected, because the spatial frame belongs to DOM-LOC but the position of a specific asset does not.</w:t>
      </w:r>
    </w:p>
    <w:p>
      <w:pPr>
        <w:pStyle w:val="Heading3"/>
        <w:spacing w:after="100" w:before="200"/>
      </w:pPr>
      <w:r>
        <w:rPr>
          <w:b/>
          <w:bCs/>
          <w:color w:val="404040"/>
          <w:sz w:val="22"/>
          <w:szCs w:val="22"/>
        </w:rPr>
        <w:t xml:space="preserve">Consequences</w:t>
      </w:r>
    </w:p>
    <w:p>
      <w:pPr>
        <w:spacing w:after="120" w:before="0"/>
      </w:pPr>
      <w:r>
        <w:t xml:space="preserve">DOM-AST stays free of capability-dependent structure. Position history becomes the basis of movement replay. Superseding a floor plan invalidates rather than deletes positions.</w:t>
      </w:r>
    </w:p>
    <w:p>
      <w:r>
        <w:br w:type="page"/>
      </w:r>
    </w:p>
    <w:p>
      <w:pPr>
        <w:pStyle w:val="Heading2"/>
        <w:spacing w:after="120" w:before="260"/>
      </w:pPr>
      <w:r>
        <w:rPr>
          <w:b/>
          <w:bCs/>
          <w:color w:val="2E74B5"/>
          <w:sz w:val="25"/>
          <w:szCs w:val="25"/>
        </w:rPr>
        <w:t xml:space="preserve">ADR-008 — Separate custody from ownership</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OI-05, SBO-049</w:t>
            </w:r>
          </w:p>
        </w:tc>
      </w:tr>
    </w:tbl>
    <w:p>
      <w:pPr>
        <w:pStyle w:val="Heading3"/>
        <w:spacing w:after="100" w:before="200"/>
      </w:pPr>
      <w:r>
        <w:rPr>
          <w:b/>
          <w:bCs/>
          <w:color w:val="404040"/>
          <w:sz w:val="22"/>
          <w:szCs w:val="22"/>
        </w:rPr>
        <w:t xml:space="preserve">Context</w:t>
      </w:r>
    </w:p>
    <w:p>
      <w:pPr>
        <w:spacing w:after="120" w:before="0"/>
      </w:pPr>
      <w:r>
        <w:t xml:space="preserve">Asset accountability has two distinct aspects: which part of the organization owns the asset, and who is currently holding it. Conflating them loses the custody chain, which is evidentiary in a loss investigation.</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Model ownership as Asset attributes Owning Organization and Owning Department, stable over time. Model custody as the object Custody Assignment, with from and to timestamps, assigning actor, reason and acknowledgment, at most one active per asset.</w:t>
      </w:r>
    </w:p>
    <w:p>
      <w:pPr>
        <w:pStyle w:val="Heading3"/>
        <w:spacing w:after="100" w:before="200"/>
      </w:pPr>
      <w:r>
        <w:rPr>
          <w:b/>
          <w:bCs/>
          <w:color w:val="404040"/>
          <w:sz w:val="22"/>
          <w:szCs w:val="22"/>
        </w:rPr>
        <w:t xml:space="preserve">Alternatives considered</w:t>
      </w:r>
    </w:p>
    <w:p>
      <w:pPr>
        <w:spacing w:after="120" w:before="0"/>
      </w:pPr>
      <w:r>
        <w:t xml:space="preserve">Hold both as asset attributes — rejected, because the custody chain would be lost. Hold custody as an audit-only concept — rejected, because custody must be queryable, reportable and acknowledgeable.</w:t>
      </w:r>
    </w:p>
    <w:p>
      <w:pPr>
        <w:pStyle w:val="Heading3"/>
        <w:spacing w:after="100" w:before="200"/>
      </w:pPr>
      <w:r>
        <w:rPr>
          <w:b/>
          <w:bCs/>
          <w:color w:val="404040"/>
          <w:sz w:val="22"/>
          <w:szCs w:val="22"/>
        </w:rPr>
        <w:t xml:space="preserve">Consequences</w:t>
      </w:r>
    </w:p>
    <w:p>
      <w:pPr>
        <w:spacing w:after="120" w:before="0"/>
      </w:pPr>
      <w:r>
        <w:t xml:space="preserve">The Asset attribute Current Custodian becomes a derived convenience rather than the record. Custody chains are immutable and continuous.</w:t>
      </w:r>
    </w:p>
    <w:p>
      <w:r>
        <w:br w:type="page"/>
      </w:r>
    </w:p>
    <w:p>
      <w:pPr>
        <w:pStyle w:val="Heading2"/>
        <w:spacing w:after="120" w:before="260"/>
      </w:pPr>
      <w:r>
        <w:rPr>
          <w:b/>
          <w:bCs/>
          <w:color w:val="2E74B5"/>
          <w:sz w:val="25"/>
          <w:szCs w:val="25"/>
        </w:rPr>
        <w:t xml:space="preserve">ADR-009 — Model asset relationships as typed rather than parent and child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OI-06, SBO-050</w:t>
            </w:r>
          </w:p>
        </w:tc>
      </w:tr>
    </w:tbl>
    <w:p>
      <w:pPr>
        <w:pStyle w:val="Heading3"/>
        <w:spacing w:after="100" w:before="200"/>
      </w:pPr>
      <w:r>
        <w:rPr>
          <w:b/>
          <w:bCs/>
          <w:color w:val="404040"/>
          <w:sz w:val="22"/>
          <w:szCs w:val="22"/>
        </w:rPr>
        <w:t xml:space="preserve">Context</w:t>
      </w:r>
    </w:p>
    <w:p>
      <w:pPr>
        <w:spacing w:after="120" w:before="0"/>
      </w:pPr>
      <w:r>
        <w:t xml:space="preserve">The initial model held only a parent and child relationship. Real installations need containment, connection, mounting, backup, accessory and spare relationships, and asking for a schema change for each is not sustainable.</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Model Asset Relationship with an explicit Relationship Type carrying seven initial values: Contains, Connected To, Mounted On, Backup For, Accessory Of, Spare For, Replaces. New types are added as lookup values, never as schema.</w:t>
      </w:r>
    </w:p>
    <w:p>
      <w:pPr>
        <w:pStyle w:val="Heading3"/>
        <w:spacing w:after="100" w:before="200"/>
      </w:pPr>
      <w:r>
        <w:rPr>
          <w:b/>
          <w:bCs/>
          <w:color w:val="404040"/>
          <w:sz w:val="22"/>
          <w:szCs w:val="22"/>
        </w:rPr>
        <w:t xml:space="preserve">Alternatives considered</w:t>
      </w:r>
    </w:p>
    <w:p>
      <w:pPr>
        <w:spacing w:after="120" w:before="0"/>
      </w:pPr>
      <w:r>
        <w:t xml:space="preserve">Keep parent and child only — rejected, as insufficient. Model each relationship kind as its own object — rejected, as it multiplies objects for no gain.</w:t>
      </w:r>
    </w:p>
    <w:p>
      <w:pPr>
        <w:pStyle w:val="Heading3"/>
        <w:spacing w:after="100" w:before="200"/>
      </w:pPr>
      <w:r>
        <w:rPr>
          <w:b/>
          <w:bCs/>
          <w:color w:val="404040"/>
          <w:sz w:val="22"/>
          <w:szCs w:val="22"/>
        </w:rPr>
        <w:t xml:space="preserve">Consequences</w:t>
      </w:r>
    </w:p>
    <w:p>
      <w:pPr>
        <w:spacing w:after="120" w:before="0"/>
      </w:pPr>
      <w:r>
        <w:t xml:space="preserve">The Contains type must remain acyclic. The Asset attribute Parent Asset is retained as a denormalized convenience so that common queries do not require traversal.</w:t>
      </w:r>
    </w:p>
    <w:p>
      <w:r>
        <w:br w:type="page"/>
      </w:r>
    </w:p>
    <w:p>
      <w:pPr>
        <w:pStyle w:val="Heading2"/>
        <w:spacing w:after="120" w:before="260"/>
      </w:pPr>
      <w:r>
        <w:rPr>
          <w:b/>
          <w:bCs/>
          <w:color w:val="2E74B5"/>
          <w:sz w:val="25"/>
          <w:szCs w:val="25"/>
        </w:rPr>
        <w:t xml:space="preserve">ADR-010 — Keep Employee and Contractor as separate objects; introduce no Party abstraction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OI-07</w:t>
            </w:r>
          </w:p>
        </w:tc>
      </w:tr>
    </w:tbl>
    <w:p>
      <w:pPr>
        <w:pStyle w:val="Heading3"/>
        <w:spacing w:after="100" w:before="200"/>
      </w:pPr>
      <w:r>
        <w:rPr>
          <w:b/>
          <w:bCs/>
          <w:color w:val="404040"/>
          <w:sz w:val="22"/>
          <w:szCs w:val="22"/>
        </w:rPr>
        <w:t xml:space="preserve">Context</w:t>
      </w:r>
    </w:p>
    <w:p>
      <w:pPr>
        <w:spacing w:after="120" w:before="0"/>
      </w:pPr>
      <w:r>
        <w:t xml:space="preserve">Employee, Contractor, Driver and User are all person-like. A generic Party abstraction was considered to unify them.</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Keep them as separate objects with distinct rules, lifecycles and integrations. Introduce no Party abstraction in Release 1.</w:t>
      </w:r>
    </w:p>
    <w:p>
      <w:pPr>
        <w:pStyle w:val="Heading3"/>
        <w:spacing w:after="100" w:before="200"/>
      </w:pPr>
      <w:r>
        <w:rPr>
          <w:b/>
          <w:bCs/>
          <w:color w:val="404040"/>
          <w:sz w:val="22"/>
          <w:szCs w:val="22"/>
        </w:rPr>
        <w:t xml:space="preserve">Alternatives considered</w:t>
      </w:r>
    </w:p>
    <w:p>
      <w:pPr>
        <w:spacing w:after="120" w:before="0"/>
      </w:pPr>
      <w:r>
        <w:t xml:space="preserve">Introduce Party now — rejected, because it adds indirection to the most frequently traversed relationships in the platform for no Release 1 benefit, and because TEAIP is an enterprise operational platform rather than a CRM or citizen platform.</w:t>
      </w:r>
    </w:p>
    <w:p>
      <w:pPr>
        <w:pStyle w:val="Heading3"/>
        <w:spacing w:after="100" w:before="200"/>
      </w:pPr>
      <w:r>
        <w:rPr>
          <w:b/>
          <w:bCs/>
          <w:color w:val="404040"/>
          <w:sz w:val="22"/>
          <w:szCs w:val="22"/>
        </w:rPr>
        <w:t xml:space="preserve">Consequences</w:t>
      </w:r>
    </w:p>
    <w:p>
      <w:pPr>
        <w:spacing w:after="120" w:before="0"/>
      </w:pPr>
      <w:r>
        <w:t xml:space="preserve">Re-evaluate by a future ADR if Visitor Management, Supplier Contacts or External Inspectors are introduced, at which point four or more person-like objects would exist and the abstraction would pay for itself.</w:t>
      </w:r>
    </w:p>
    <w:p>
      <w:r>
        <w:br w:type="page"/>
      </w:r>
    </w:p>
    <w:p>
      <w:pPr>
        <w:pStyle w:val="Heading2"/>
        <w:spacing w:after="120" w:before="260"/>
      </w:pPr>
      <w:r>
        <w:rPr>
          <w:b/>
          <w:bCs/>
          <w:color w:val="2E74B5"/>
          <w:sz w:val="25"/>
          <w:szCs w:val="25"/>
        </w:rPr>
        <w:t xml:space="preserve">ADR-011 — Separate User from Employee, with an optional association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OI-03, SBO-024, SBO-092</w:t>
            </w:r>
          </w:p>
        </w:tc>
      </w:tr>
    </w:tbl>
    <w:p>
      <w:pPr>
        <w:pStyle w:val="Heading3"/>
        <w:spacing w:after="100" w:before="200"/>
      </w:pPr>
      <w:r>
        <w:rPr>
          <w:b/>
          <w:bCs/>
          <w:color w:val="404040"/>
          <w:sz w:val="22"/>
          <w:szCs w:val="22"/>
        </w:rPr>
        <w:t xml:space="preserve">Context</w:t>
      </w:r>
    </w:p>
    <w:p>
      <w:pPr>
        <w:spacing w:after="120" w:before="0"/>
      </w:pPr>
      <w:r>
        <w:t xml:space="preserve">A warehouse worker may be a valid custodian and never sign in. An integration service account has no employment relationship. Treating a user account as an attribute of an employee would make both cases awkward.</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Host User in DOM-IAM and Employee in DOM-ENT. The association is zero-or-one in both directions and never mandatory. Linked Employee and Linked Contractor on a user are mutually exclusive.</w:t>
      </w:r>
    </w:p>
    <w:p>
      <w:pPr>
        <w:pStyle w:val="Heading3"/>
        <w:spacing w:after="100" w:before="200"/>
      </w:pPr>
      <w:r>
        <w:rPr>
          <w:b/>
          <w:bCs/>
          <w:color w:val="404040"/>
          <w:sz w:val="22"/>
          <w:szCs w:val="22"/>
        </w:rPr>
        <w:t xml:space="preserve">Alternatives considered</w:t>
      </w:r>
    </w:p>
    <w:p>
      <w:pPr>
        <w:spacing w:after="120" w:before="0"/>
      </w:pPr>
      <w:r>
        <w:t xml:space="preserve">One combined person-and-account object — rejected, because it forces an account on every custodian and an employment record on every service account.</w:t>
      </w:r>
    </w:p>
    <w:p>
      <w:pPr>
        <w:pStyle w:val="Heading3"/>
        <w:spacing w:after="100" w:before="200"/>
      </w:pPr>
      <w:r>
        <w:rPr>
          <w:b/>
          <w:bCs/>
          <w:color w:val="404040"/>
          <w:sz w:val="22"/>
          <w:szCs w:val="22"/>
        </w:rPr>
        <w:t xml:space="preserve">Consequences</w:t>
      </w:r>
    </w:p>
    <w:p>
      <w:pPr>
        <w:spacing w:after="120" w:before="0"/>
      </w:pPr>
      <w:r>
        <w:t xml:space="preserve">Absence of a user account never prevents an employee from being a custodian or an approver. An access assignment derived from a contractor expires no later than the contractor validity date.</w:t>
      </w:r>
    </w:p>
    <w:p>
      <w:r>
        <w:br w:type="page"/>
      </w:r>
    </w:p>
    <w:p>
      <w:pPr>
        <w:pStyle w:val="Heading2"/>
        <w:spacing w:after="120" w:before="260"/>
      </w:pPr>
      <w:r>
        <w:rPr>
          <w:b/>
          <w:bCs/>
          <w:color w:val="2E74B5"/>
          <w:sz w:val="25"/>
          <w:szCs w:val="25"/>
        </w:rPr>
        <w:t xml:space="preserve">ADR-012 — Make Verification Result a first-class object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SBO-069, BR-133 to BR-136</w:t>
            </w:r>
          </w:p>
        </w:tc>
      </w:tr>
    </w:tbl>
    <w:p>
      <w:pPr>
        <w:pStyle w:val="Heading3"/>
        <w:spacing w:after="100" w:before="200"/>
      </w:pPr>
      <w:r>
        <w:rPr>
          <w:b/>
          <w:bCs/>
          <w:color w:val="404040"/>
          <w:sz w:val="22"/>
          <w:szCs w:val="22"/>
        </w:rPr>
        <w:t xml:space="preserve">Context</w:t>
      </w:r>
    </w:p>
    <w:p>
      <w:pPr>
        <w:spacing w:after="120" w:before="0"/>
      </w:pPr>
      <w:r>
        <w:t xml:space="preserve">A verification decision could have been held as a set of columns on Gate Event. But a disputed decision must be auditable, reproducible and re-evaluable independently of the event that produced it.</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Model Verification Result as its own object, snapshotting the expected and observed sets at decision time, recording a deterministic decision basis, and marking whether the decision is reproducible from stored evidence alone.</w:t>
      </w:r>
    </w:p>
    <w:p>
      <w:pPr>
        <w:pStyle w:val="Heading3"/>
        <w:spacing w:after="100" w:before="200"/>
      </w:pPr>
      <w:r>
        <w:rPr>
          <w:b/>
          <w:bCs/>
          <w:color w:val="404040"/>
          <w:sz w:val="22"/>
          <w:szCs w:val="22"/>
        </w:rPr>
        <w:t xml:space="preserve">Alternatives considered</w:t>
      </w:r>
    </w:p>
    <w:p>
      <w:pPr>
        <w:spacing w:after="120" w:before="0"/>
      </w:pPr>
      <w:r>
        <w:t xml:space="preserve">Columns on Gate Event — rejected, because a decision and an observation have different lifecycles and different evidentiary weight. Recompute a decision on demand — rejected, because rules and tolerances change and a historical decision must remain interpretable.</w:t>
      </w:r>
    </w:p>
    <w:p>
      <w:pPr>
        <w:pStyle w:val="Heading3"/>
        <w:spacing w:after="100" w:before="200"/>
      </w:pPr>
      <w:r>
        <w:rPr>
          <w:b/>
          <w:bCs/>
          <w:color w:val="404040"/>
          <w:sz w:val="22"/>
          <w:szCs w:val="22"/>
        </w:rPr>
        <w:t xml:space="preserve">Consequences</w:t>
      </w:r>
    </w:p>
    <w:p>
      <w:pPr>
        <w:spacing w:after="120" w:before="0"/>
      </w:pPr>
      <w:r>
        <w:t xml:space="preserve">An override is recorded alongside the original decision and never replaces it. Where verification cannot complete the outcome is Inconclusive and never defaults to Pass.</w:t>
      </w:r>
    </w:p>
    <w:p>
      <w:r>
        <w:br w:type="page"/>
      </w:r>
    </w:p>
    <w:p>
      <w:pPr>
        <w:pStyle w:val="Heading2"/>
        <w:spacing w:after="120" w:before="260"/>
      </w:pPr>
      <w:r>
        <w:rPr>
          <w:b/>
          <w:bCs/>
          <w:color w:val="2E74B5"/>
          <w:sz w:val="25"/>
          <w:szCs w:val="25"/>
        </w:rPr>
        <w:t xml:space="preserve">ADR-013 — Host Permit in DOM-SEC and Loading Order in DOM-OPS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PDS-04 section 4.4, PDS-05 SBO-064 and SBO-057</w:t>
            </w:r>
          </w:p>
        </w:tc>
      </w:tr>
    </w:tbl>
    <w:p>
      <w:pPr>
        <w:pStyle w:val="Heading3"/>
        <w:spacing w:after="100" w:before="200"/>
      </w:pPr>
      <w:r>
        <w:rPr>
          <w:b/>
          <w:bCs/>
          <w:color w:val="404040"/>
          <w:sz w:val="22"/>
          <w:szCs w:val="22"/>
        </w:rPr>
        <w:t xml:space="preserve">Context</w:t>
      </w:r>
    </w:p>
    <w:p>
      <w:pPr>
        <w:spacing w:after="120" w:before="0"/>
      </w:pPr>
      <w:r>
        <w:t xml:space="preserve">A permit and a loading order both describe the contents of a vehicle load. Holding them in one domain, or as one object, was considered.</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Host Permit in DOM-SEC as an authorization instrument, and Loading Order in DOM-OPS as an operational document. A loading order states what is planned; a permit states what is allowed.</w:t>
      </w:r>
    </w:p>
    <w:p>
      <w:pPr>
        <w:pStyle w:val="Heading3"/>
        <w:spacing w:after="100" w:before="200"/>
      </w:pPr>
      <w:r>
        <w:rPr>
          <w:b/>
          <w:bCs/>
          <w:color w:val="404040"/>
          <w:sz w:val="22"/>
          <w:szCs w:val="22"/>
        </w:rPr>
        <w:t xml:space="preserve">Alternatives considered</w:t>
      </w:r>
    </w:p>
    <w:p>
      <w:pPr>
        <w:spacing w:after="120" w:before="0"/>
      </w:pPr>
      <w:r>
        <w:t xml:space="preserve">One object — rejected, because authorization and execution have different approvers, different immutability and different evidentiary standing. Both in DOM-OPS — rejected, because authorization is a security responsibility.</w:t>
      </w:r>
    </w:p>
    <w:p>
      <w:pPr>
        <w:pStyle w:val="Heading3"/>
        <w:spacing w:after="100" w:before="200"/>
      </w:pPr>
      <w:r>
        <w:rPr>
          <w:b/>
          <w:bCs/>
          <w:color w:val="404040"/>
          <w:sz w:val="22"/>
          <w:szCs w:val="22"/>
        </w:rPr>
        <w:t xml:space="preserve">Consequences</w:t>
      </w:r>
    </w:p>
    <w:p>
      <w:pPr>
        <w:spacing w:after="120" w:before="0"/>
      </w:pPr>
      <w:r>
        <w:t xml:space="preserve">The loading verification comparison is a DOM-SEC capability that reads DOM-OPS data. Operations executes; security adjudicates. This is the clearest illustration of GR-002 in the platform.</w:t>
      </w:r>
    </w:p>
    <w:p>
      <w:r>
        <w:br w:type="page"/>
      </w:r>
    </w:p>
    <w:p>
      <w:pPr>
        <w:pStyle w:val="Heading2"/>
        <w:spacing w:after="120" w:before="260"/>
      </w:pPr>
      <w:r>
        <w:rPr>
          <w:b/>
          <w:bCs/>
          <w:color w:val="2E74B5"/>
          <w:sz w:val="25"/>
          <w:szCs w:val="25"/>
        </w:rPr>
        <w:t xml:space="preserve">ADR-014 — Host Inventory Session in DOM-OPS and make Inventory Count Line a first-class object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OI-09, SBO-059 and SBO-060</w:t>
            </w:r>
          </w:p>
        </w:tc>
      </w:tr>
    </w:tbl>
    <w:p>
      <w:pPr>
        <w:pStyle w:val="Heading3"/>
        <w:spacing w:after="100" w:before="200"/>
      </w:pPr>
      <w:r>
        <w:rPr>
          <w:b/>
          <w:bCs/>
          <w:color w:val="404040"/>
          <w:sz w:val="22"/>
          <w:szCs w:val="22"/>
        </w:rPr>
        <w:t xml:space="preserve">Context</w:t>
      </w:r>
    </w:p>
    <w:p>
      <w:pPr>
        <w:spacing w:after="120" w:before="0"/>
      </w:pPr>
      <w:r>
        <w:t xml:space="preserve">Counting observes assets, so DOM-AST had a claim on the session. And a count line could have been a child collection of the session.</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Host Inventory Session in DOM-OPS, because counting is an operation performed on assets while DOM-AST holds the asset and its state. Make Inventory Count Line a first-class object with its own operator, device, read source, outcome and resolution.</w:t>
      </w:r>
    </w:p>
    <w:p>
      <w:pPr>
        <w:pStyle w:val="Heading3"/>
        <w:spacing w:after="100" w:before="200"/>
      </w:pPr>
      <w:r>
        <w:rPr>
          <w:b/>
          <w:bCs/>
          <w:color w:val="404040"/>
          <w:sz w:val="22"/>
          <w:szCs w:val="22"/>
        </w:rPr>
        <w:t xml:space="preserve">Alternatives considered</w:t>
      </w:r>
    </w:p>
    <w:p>
      <w:pPr>
        <w:spacing w:after="120" w:before="0"/>
      </w:pPr>
      <w:r>
        <w:t xml:space="preserve">Host the session in DOM-AST — rejected, because it would put an operational document in a master data domain. Embed count lines in the session — rejected, because each line must be individually immutable and individually addressable in an investigation.</w:t>
      </w:r>
    </w:p>
    <w:p>
      <w:pPr>
        <w:pStyle w:val="Heading3"/>
        <w:spacing w:after="100" w:before="200"/>
      </w:pPr>
      <w:r>
        <w:rPr>
          <w:b/>
          <w:bCs/>
          <w:color w:val="404040"/>
          <w:sz w:val="22"/>
          <w:szCs w:val="22"/>
        </w:rPr>
        <w:t xml:space="preserve">Consequences</w:t>
      </w:r>
    </w:p>
    <w:p>
      <w:pPr>
        <w:spacing w:after="120" w:before="0"/>
      </w:pPr>
      <w:r>
        <w:t xml:space="preserve">Count lines are the highest-volume object in the platform; an annual inventory of two million assets produces at least two million lines. They require their own retention and archival strategy.</w:t>
      </w:r>
    </w:p>
    <w:p>
      <w:r>
        <w:br w:type="page"/>
      </w:r>
    </w:p>
    <w:p>
      <w:pPr>
        <w:pStyle w:val="Heading2"/>
        <w:spacing w:after="120" w:before="260"/>
      </w:pPr>
      <w:r>
        <w:rPr>
          <w:b/>
          <w:bCs/>
          <w:color w:val="2E74B5"/>
          <w:sz w:val="25"/>
          <w:szCs w:val="25"/>
        </w:rPr>
        <w:t xml:space="preserve">ADR-015 — Use one Discrepancy Record object across receiving, picking, loading and inventory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OI-10, SBO-062, BR-107</w:t>
            </w:r>
          </w:p>
        </w:tc>
      </w:tr>
    </w:tbl>
    <w:p>
      <w:pPr>
        <w:pStyle w:val="Heading3"/>
        <w:spacing w:after="100" w:before="200"/>
      </w:pPr>
      <w:r>
        <w:rPr>
          <w:b/>
          <w:bCs/>
          <w:color w:val="404040"/>
          <w:sz w:val="22"/>
          <w:szCs w:val="22"/>
        </w:rPr>
        <w:t xml:space="preserve">Context</w:t>
      </w:r>
    </w:p>
    <w:p>
      <w:pPr>
        <w:spacing w:after="120" w:before="0"/>
      </w:pPr>
      <w:r>
        <w:t xml:space="preserve">Discrepancies arise in four different operations. Four objects, or one, were both plausible.</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One object hosted by DOM-OPS, distinguished by Discrepancy Type, with asymmetric severity: excess or unlisted items are an Alarm, shortfall is an Alert.</w:t>
      </w:r>
    </w:p>
    <w:p>
      <w:pPr>
        <w:pStyle w:val="Heading3"/>
        <w:spacing w:after="100" w:before="200"/>
      </w:pPr>
      <w:r>
        <w:rPr>
          <w:b/>
          <w:bCs/>
          <w:color w:val="404040"/>
          <w:sz w:val="22"/>
          <w:szCs w:val="22"/>
        </w:rPr>
        <w:t xml:space="preserve">Alternatives considered</w:t>
      </w:r>
    </w:p>
    <w:p>
      <w:pPr>
        <w:spacing w:after="120" w:before="0"/>
      </w:pPr>
      <w:r>
        <w:t xml:space="preserve">Four objects — rejected, because it would duplicate the escalation logic and make shrinkage reporting require a union across four objects.</w:t>
      </w:r>
    </w:p>
    <w:p>
      <w:pPr>
        <w:pStyle w:val="Heading3"/>
        <w:spacing w:after="100" w:before="200"/>
      </w:pPr>
      <w:r>
        <w:rPr>
          <w:b/>
          <w:bCs/>
          <w:color w:val="404040"/>
          <w:sz w:val="22"/>
          <w:szCs w:val="22"/>
        </w:rPr>
        <w:t xml:space="preserve">Consequences</w:t>
      </w:r>
    </w:p>
    <w:p>
      <w:pPr>
        <w:spacing w:after="120" w:before="0"/>
      </w:pPr>
      <w:r>
        <w:t xml:space="preserve">Where severity is Alarm the discrepancy escalates to an Incident in DOM-SEC. Operations detects; security adjudicates.</w:t>
      </w:r>
    </w:p>
    <w:p>
      <w:r>
        <w:br w:type="page"/>
      </w:r>
    </w:p>
    <w:p>
      <w:pPr>
        <w:pStyle w:val="Heading2"/>
        <w:spacing w:after="120" w:before="260"/>
      </w:pPr>
      <w:r>
        <w:rPr>
          <w:b/>
          <w:bCs/>
          <w:color w:val="2E74B5"/>
          <w:sz w:val="25"/>
          <w:szCs w:val="25"/>
        </w:rPr>
        <w:t xml:space="preserve">ADR-016 — Keep Report Definition, Dashboard Definition and Search Index in DOM-PLT as Platform Configuration Objects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OI-02</w:t>
            </w:r>
          </w:p>
        </w:tc>
      </w:tr>
    </w:tbl>
    <w:p>
      <w:pPr>
        <w:pStyle w:val="Heading3"/>
        <w:spacing w:after="100" w:before="200"/>
      </w:pPr>
      <w:r>
        <w:rPr>
          <w:b/>
          <w:bCs/>
          <w:color w:val="404040"/>
          <w:sz w:val="22"/>
          <w:szCs w:val="22"/>
        </w:rPr>
        <w:t xml:space="preserve">Context</w:t>
      </w:r>
    </w:p>
    <w:p>
      <w:pPr>
        <w:spacing w:after="120" w:before="0"/>
      </w:pPr>
      <w:r>
        <w:t xml:space="preserve">These three describe platform behavior rather than business ownership, but they were initially listed among the shared business objects of DOM-PLT without distinction.</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Retain them in DOM-PLT and classify them as Platform Configuration Objects, excluded from business reporting dimensions and from the business object count used for licensing. DOM-INT hosts the analytical constructs above them: KPI Definition, Metric Snapshot, Insight, Saved View.</w:t>
      </w:r>
    </w:p>
    <w:p>
      <w:pPr>
        <w:pStyle w:val="Heading3"/>
        <w:spacing w:after="100" w:before="200"/>
      </w:pPr>
      <w:r>
        <w:rPr>
          <w:b/>
          <w:bCs/>
          <w:color w:val="404040"/>
          <w:sz w:val="22"/>
          <w:szCs w:val="22"/>
        </w:rPr>
        <w:t xml:space="preserve">Alternatives considered</w:t>
      </w:r>
    </w:p>
    <w:p>
      <w:pPr>
        <w:spacing w:after="120" w:before="0"/>
      </w:pPr>
      <w:r>
        <w:t xml:space="preserve">Move them to DOM-INT — rejected, because the reporting engine is a platform service and its definitions are platform configuration. Remove them from the object catalog — rejected, because they need identity, audit and versioning.</w:t>
      </w:r>
    </w:p>
    <w:p>
      <w:pPr>
        <w:pStyle w:val="Heading3"/>
        <w:spacing w:after="100" w:before="200"/>
      </w:pPr>
      <w:r>
        <w:rPr>
          <w:b/>
          <w:bCs/>
          <w:color w:val="404040"/>
          <w:sz w:val="22"/>
          <w:szCs w:val="22"/>
        </w:rPr>
        <w:t xml:space="preserve">Consequences</w:t>
      </w:r>
    </w:p>
    <w:p>
      <w:pPr>
        <w:spacing w:after="120" w:before="0"/>
      </w:pPr>
      <w:r>
        <w:t xml:space="preserve">A clean boundary: the engine and its definitions are platform; the analytical meaning built on them is business.</w:t>
      </w:r>
    </w:p>
    <w:p>
      <w:r>
        <w:br w:type="page"/>
      </w:r>
    </w:p>
    <w:p>
      <w:pPr>
        <w:pStyle w:val="Heading2"/>
        <w:spacing w:after="120" w:before="260"/>
      </w:pPr>
      <w:r>
        <w:rPr>
          <w:b/>
          <w:bCs/>
          <w:color w:val="2E74B5"/>
          <w:sz w:val="25"/>
          <w:szCs w:val="25"/>
        </w:rPr>
        <w:t xml:space="preserve">ADR-017 — Scope capability state per tenant, with variation expressed through Validation Profile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PDS-05 OI-12, PDS-07 PS-013</w:t>
            </w:r>
          </w:p>
        </w:tc>
      </w:tr>
    </w:tbl>
    <w:p>
      <w:pPr>
        <w:pStyle w:val="Heading3"/>
        <w:spacing w:after="100" w:before="200"/>
      </w:pPr>
      <w:r>
        <w:rPr>
          <w:b/>
          <w:bCs/>
          <w:color w:val="404040"/>
          <w:sz w:val="22"/>
          <w:szCs w:val="22"/>
        </w:rPr>
        <w:t xml:space="preserve">Context</w:t>
      </w:r>
    </w:p>
    <w:p>
      <w:pPr>
        <w:spacing w:after="120" w:before="0"/>
      </w:pPr>
      <w:r>
        <w:t xml:space="preserve">A customer may have two organizations where only one uses RFID. Capability state could have been scoped per tenant, per organization or per site.</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Scope Capability Registration per tenant, because licensing is a commercial relationship with a tenant. Express operational variation below that level through Validation Profile, which is scoped to tenant, object type and attribute with an optional condition.</w:t>
      </w:r>
    </w:p>
    <w:p>
      <w:pPr>
        <w:pStyle w:val="Heading3"/>
        <w:spacing w:after="100" w:before="200"/>
      </w:pPr>
      <w:r>
        <w:rPr>
          <w:b/>
          <w:bCs/>
          <w:color w:val="404040"/>
          <w:sz w:val="22"/>
          <w:szCs w:val="22"/>
        </w:rPr>
        <w:t xml:space="preserve">Alternatives considered</w:t>
      </w:r>
    </w:p>
    <w:p>
      <w:pPr>
        <w:spacing w:after="120" w:before="0"/>
      </w:pPr>
      <w:r>
        <w:t xml:space="preserve">Scope capability state to the location hierarchy — rejected, because it distributes licensing authority across operational data and makes entitlement unanswerable.</w:t>
      </w:r>
    </w:p>
    <w:p>
      <w:pPr>
        <w:pStyle w:val="Heading3"/>
        <w:spacing w:after="100" w:before="200"/>
      </w:pPr>
      <w:r>
        <w:rPr>
          <w:b/>
          <w:bCs/>
          <w:color w:val="404040"/>
          <w:sz w:val="22"/>
          <w:szCs w:val="22"/>
        </w:rPr>
        <w:t xml:space="preserve">Consequences</w:t>
      </w:r>
    </w:p>
    <w:p>
      <w:pPr>
        <w:spacing w:after="120" w:before="0"/>
      </w:pPr>
      <w:r>
        <w:t xml:space="preserve">One authority for licensing and one authority for obligation. A generation token on the enabled capability set makes caches invalidate deterministically.</w:t>
      </w:r>
    </w:p>
    <w:p>
      <w:r>
        <w:br w:type="page"/>
      </w:r>
    </w:p>
    <w:p>
      <w:pPr>
        <w:pStyle w:val="Heading2"/>
        <w:spacing w:after="120" w:before="260"/>
      </w:pPr>
      <w:r>
        <w:rPr>
          <w:b/>
          <w:bCs/>
          <w:color w:val="2E74B5"/>
          <w:sz w:val="25"/>
          <w:szCs w:val="25"/>
        </w:rPr>
        <w:t xml:space="preserve">ADR-018 — Maintain the specification as separate documents with a generated compendium</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All documents</w:t>
            </w:r>
          </w:p>
        </w:tc>
      </w:tr>
    </w:tbl>
    <w:p>
      <w:pPr>
        <w:pStyle w:val="Heading3"/>
        <w:spacing w:after="100" w:before="200"/>
      </w:pPr>
      <w:r>
        <w:rPr>
          <w:b/>
          <w:bCs/>
          <w:color w:val="404040"/>
          <w:sz w:val="22"/>
          <w:szCs w:val="22"/>
        </w:rPr>
        <w:t xml:space="preserve">Context</w:t>
      </w:r>
    </w:p>
    <w:p>
      <w:pPr>
        <w:spacing w:after="120" w:before="0"/>
      </w:pPr>
      <w:r>
        <w:t xml:space="preserve">The specification set exceeds four hundred pages and will exceed two thousand with the CRS. A single combined document was considered for readability and for ingestion by AI tools.</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Maintain PDS-01 to PDS-14 as separate documents, each with its own version, approval and freeze state. Additionally generate a single-file Markdown compendium of the whole set for AI ingestion and full-text search.</w:t>
      </w:r>
    </w:p>
    <w:p>
      <w:pPr>
        <w:pStyle w:val="Heading3"/>
        <w:spacing w:after="100" w:before="200"/>
      </w:pPr>
      <w:r>
        <w:rPr>
          <w:b/>
          <w:bCs/>
          <w:color w:val="404040"/>
          <w:sz w:val="22"/>
          <w:szCs w:val="22"/>
        </w:rPr>
        <w:t xml:space="preserve">Alternatives considered</w:t>
      </w:r>
    </w:p>
    <w:p>
      <w:pPr>
        <w:spacing w:after="120" w:before="0"/>
      </w:pPr>
      <w:r>
        <w:t xml:space="preserve">One combined document — rejected, because it cannot be frozen or approved in parts, would force full re-approval for any single change, and would never be reviewed properly at that length. Documents only, with no combined artifact — rejected, because single-file ingestion is genuinely useful.</w:t>
      </w:r>
    </w:p>
    <w:p>
      <w:pPr>
        <w:pStyle w:val="Heading3"/>
        <w:spacing w:after="100" w:before="200"/>
      </w:pPr>
      <w:r>
        <w:rPr>
          <w:b/>
          <w:bCs/>
          <w:color w:val="404040"/>
          <w:sz w:val="22"/>
          <w:szCs w:val="22"/>
        </w:rPr>
        <w:t xml:space="preserve">Consequences</w:t>
      </w:r>
    </w:p>
    <w:p>
      <w:pPr>
        <w:spacing w:after="120" w:before="0"/>
      </w:pPr>
      <w:r>
        <w:t xml:space="preserve">The compendium is generated and never hand-edited, so it cannot drift from the documents. Citations are by document and section, which remain stable.</w:t>
      </w:r>
    </w:p>
    <w:p>
      <w:r>
        <w:br w:type="page"/>
      </w:r>
    </w:p>
    <w:p>
      <w:pPr>
        <w:pStyle w:val="Heading2"/>
        <w:spacing w:after="120" w:before="260"/>
      </w:pPr>
      <w:r>
        <w:rPr>
          <w:b/>
          <w:bCs/>
          <w:color w:val="2E74B5"/>
          <w:sz w:val="25"/>
          <w:szCs w:val="25"/>
        </w:rPr>
        <w:t xml:space="preserve">ADR-019 — Generate the specification from a machine-readable architecture source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PDS-02, PDS-04, PDS-05, PDS-06, PDS-07</w:t>
            </w:r>
          </w:p>
        </w:tc>
      </w:tr>
    </w:tbl>
    <w:p>
      <w:pPr>
        <w:pStyle w:val="Heading3"/>
        <w:spacing w:after="100" w:before="200"/>
      </w:pPr>
      <w:r>
        <w:rPr>
          <w:b/>
          <w:bCs/>
          <w:color w:val="404040"/>
          <w:sz w:val="22"/>
          <w:szCs w:val="22"/>
        </w:rPr>
        <w:t xml:space="preserve">Context</w:t>
      </w:r>
    </w:p>
    <w:p>
      <w:pPr>
        <w:spacing w:after="120" w:before="0"/>
      </w:pPr>
      <w:r>
        <w:t xml:space="preserve">PDS-02, PDS-04, PDS-05, PDS-06 and PDS-07 all restate the same domains, subdomains, capabilities, objects and rules. Hand-authoring each guarantees divergence.</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Hold the architecture in machine-readable source files and generate the documents from them. Add an executable verifier enforcing GR-001 to GR-004, dependency acyclicity, event closure, object closure and rules closure.</w:t>
      </w:r>
    </w:p>
    <w:p>
      <w:pPr>
        <w:pStyle w:val="Heading3"/>
        <w:spacing w:after="100" w:before="200"/>
      </w:pPr>
      <w:r>
        <w:rPr>
          <w:b/>
          <w:bCs/>
          <w:color w:val="404040"/>
          <w:sz w:val="22"/>
          <w:szCs w:val="22"/>
        </w:rPr>
        <w:t xml:space="preserve">Alternatives considered</w:t>
      </w:r>
    </w:p>
    <w:p>
      <w:pPr>
        <w:spacing w:after="120" w:before="0"/>
      </w:pPr>
      <w:r>
        <w:t xml:space="preserve">Hand-author each document — rejected, because the identifiers and counts would diverge within one revision cycle.</w:t>
      </w:r>
    </w:p>
    <w:p>
      <w:pPr>
        <w:pStyle w:val="Heading3"/>
        <w:spacing w:after="100" w:before="200"/>
      </w:pPr>
      <w:r>
        <w:rPr>
          <w:b/>
          <w:bCs/>
          <w:color w:val="404040"/>
          <w:sz w:val="22"/>
          <w:szCs w:val="22"/>
        </w:rPr>
        <w:t xml:space="preserve">Consequences</w:t>
      </w:r>
    </w:p>
    <w:p>
      <w:pPr>
        <w:spacing w:after="120" w:before="0"/>
      </w:pPr>
      <w:r>
        <w:t xml:space="preserve">Capability identifiers in PDS-02 and PDS-04 are identical by construction. The verifier found and forced the correction of thirty-nine inconsistencies before first issue. Any future edit re-runs the verifier.</w:t>
      </w:r>
    </w:p>
    <w:p>
      <w:r>
        <w:br w:type="page"/>
      </w:r>
    </w:p>
    <w:p>
      <w:pPr>
        <w:pStyle w:val="Heading2"/>
        <w:spacing w:after="120" w:before="260"/>
      </w:pPr>
      <w:r>
        <w:rPr>
          <w:b/>
          <w:bCs/>
          <w:color w:val="2E74B5"/>
          <w:sz w:val="25"/>
          <w:szCs w:val="25"/>
        </w:rPr>
        <w:t xml:space="preserve">ADR-020 — Adopt SBOM as the platform term, and US English as the house standard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7221"/>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Field</w:t>
            </w:r>
          </w:p>
        </w:tc>
        <w:tc>
          <w:tcPr>
            <w:tcW w:type="dxa" w:w="722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Status</w:t>
            </w:r>
          </w:p>
        </w:tc>
        <w:tc>
          <w:tcPr>
            <w:tcW w:type="dxa" w:w="7221"/>
            <w:tcMar>
              <w:top w:type="dxa" w:w="60"/>
              <w:left w:type="dxa" w:w="100"/>
              <w:bottom w:type="dxa" w:w="60"/>
              <w:right w:type="dxa" w:w="100"/>
            </w:tcMar>
            <w:vAlign w:val="center"/>
          </w:tcPr>
          <w:p>
            <w:pPr>
              <w:spacing w:after="20" w:before="20"/>
            </w:pPr>
            <w:r>
              <w:rPr>
                <w:sz w:val="20"/>
                <w:szCs w:val="20"/>
              </w:rPr>
              <w:t xml:space="preserve">Accepted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Date</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Author</w:t>
            </w:r>
          </w:p>
        </w:tc>
        <w:tc>
          <w:tcPr>
            <w:tcW w:type="dxa" w:w="7221"/>
            <w:tcMar>
              <w:top w:type="dxa" w:w="60"/>
              <w:left w:type="dxa" w:w="100"/>
              <w:bottom w:type="dxa" w:w="60"/>
              <w:right w:type="dxa" w:w="100"/>
            </w:tcMar>
            <w:vAlign w:val="center"/>
          </w:tcPr>
          <w:p>
            <w:pPr>
              <w:spacing w:after="20" w:before="20"/>
            </w:pPr>
            <w:r>
              <w:rPr>
                <w:sz w:val="20"/>
                <w:szCs w:val="20"/>
              </w:rPr>
              <w:t xml:space="preserve">Product Architecture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Affects</w:t>
            </w:r>
          </w:p>
        </w:tc>
        <w:tc>
          <w:tcPr>
            <w:tcW w:type="dxa" w:w="7221"/>
            <w:shd w:fill="F2F2F2" w:color="auto" w:val="clear"/>
            <w:tcMar>
              <w:top w:type="dxa" w:w="60"/>
              <w:left w:type="dxa" w:w="100"/>
              <w:bottom w:type="dxa" w:w="60"/>
              <w:right w:type="dxa" w:w="100"/>
            </w:tcMar>
            <w:vAlign w:val="center"/>
          </w:tcPr>
          <w:p>
            <w:pPr>
              <w:spacing w:after="20" w:before="20"/>
            </w:pPr>
            <w:r>
              <w:rPr>
                <w:sz w:val="20"/>
                <w:szCs w:val="20"/>
              </w:rPr>
              <w:t xml:space="preserve">All documents, PDS-06</w:t>
            </w:r>
          </w:p>
        </w:tc>
      </w:tr>
    </w:tbl>
    <w:p>
      <w:pPr>
        <w:pStyle w:val="Heading3"/>
        <w:spacing w:after="100" w:before="200"/>
      </w:pPr>
      <w:r>
        <w:rPr>
          <w:b/>
          <w:bCs/>
          <w:color w:val="404040"/>
          <w:sz w:val="22"/>
          <w:szCs w:val="22"/>
        </w:rPr>
        <w:t xml:space="preserve">Context</w:t>
      </w:r>
    </w:p>
    <w:p>
      <w:pPr>
        <w:spacing w:after="120" w:before="0"/>
      </w:pPr>
      <w:r>
        <w:t xml:space="preserve">CBOM is more common in external enterprise architecture literature. British and US spelling were both in use across early drafts.</w:t>
      </w:r>
    </w:p>
    <w:p>
      <w:pPr>
        <w:pStyle w:val="Heading3"/>
        <w:spacing w:after="100" w:before="200"/>
      </w:pPr>
      <w:r>
        <w:rPr>
          <w:b/>
          <w:bCs/>
          <w:color w:val="404040"/>
          <w:sz w:val="22"/>
          <w:szCs w:val="22"/>
        </w:rPr>
        <w:t xml:space="preserve">Decision</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Decision  </w:t>
      </w:r>
      <w:r>
        <w:rPr>
          <w:sz w:val="20"/>
          <w:szCs w:val="20"/>
        </w:rPr>
        <w:t xml:space="preserve">Adopt SBOM — Shared Business Object Model — as the platform term. Adopt US English spelling throughout the specification set, the interface and the code.</w:t>
      </w:r>
    </w:p>
    <w:p>
      <w:pPr>
        <w:pStyle w:val="Heading3"/>
        <w:spacing w:after="100" w:before="200"/>
      </w:pPr>
      <w:r>
        <w:rPr>
          <w:b/>
          <w:bCs/>
          <w:color w:val="404040"/>
          <w:sz w:val="22"/>
          <w:szCs w:val="22"/>
        </w:rPr>
        <w:t xml:space="preserve">Alternatives considered</w:t>
      </w:r>
    </w:p>
    <w:p>
      <w:pPr>
        <w:spacing w:after="120" w:before="0"/>
      </w:pPr>
      <w:r>
        <w:t xml:space="preserve">Adopt CBOM to follow external convention — rejected, because SBOM is more intuitive and consistency within Trangant is worth more than following external usage. Allow either spelling — rejected, because a specification set with two spellings of "authorize" is not searchable.</w:t>
      </w:r>
    </w:p>
    <w:p>
      <w:pPr>
        <w:pStyle w:val="Heading3"/>
        <w:spacing w:after="100" w:before="200"/>
      </w:pPr>
      <w:r>
        <w:rPr>
          <w:b/>
          <w:bCs/>
          <w:color w:val="404040"/>
          <w:sz w:val="22"/>
          <w:szCs w:val="22"/>
        </w:rPr>
        <w:t xml:space="preserve">Consequences</w:t>
      </w:r>
    </w:p>
    <w:p>
      <w:pPr>
        <w:spacing w:after="120" w:before="0"/>
      </w:pPr>
      <w:r>
        <w:t xml:space="preserve">A spelling normalizer is applied to every generator before build. CBOM and British spellings are deprecated in PDS-06 section 8.</w:t>
      </w:r>
    </w:p>
    <w:p>
      <w:r>
        <w:br w:type="page"/>
      </w:r>
    </w:p>
    <w:p>
      <w:pPr>
        <w:pStyle w:val="Heading1"/>
        <w:spacing w:after="160" w:before="320"/>
      </w:pPr>
      <w:r>
        <w:rPr>
          <w:b/>
          <w:bCs/>
          <w:color w:val="1F4E79"/>
          <w:sz w:val="30"/>
          <w:szCs w:val="30"/>
        </w:rPr>
        <w:t xml:space="preserve">5. Open Exceptions</w:t>
      </w:r>
    </w:p>
    <w:p>
      <w:pPr>
        <w:spacing w:after="120" w:before="0"/>
      </w:pPr>
      <w:r>
        <w:t xml:space="preserve">An exception to a principle in PDS-09 is recorded here, scoped and time-bounded. An expired exception is a release blocker.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1444"/>
        <w:gridCol w:w="1625"/>
        <w:gridCol w:w="3069"/>
        <w:gridCol w:w="1264"/>
        <w:gridCol w:w="902"/>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Principle</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Scope</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Justification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Review date</w:t>
            </w:r>
          </w:p>
        </w:tc>
        <w:tc>
          <w:tcPr>
            <w:tcW w:type="dxa" w:w="90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3069"/>
            <w:tcMar>
              <w:top w:type="dxa" w:w="60"/>
              <w:left w:type="dxa" w:w="100"/>
              <w:bottom w:type="dxa" w:w="60"/>
              <w:right w:type="dxa" w:w="100"/>
            </w:tcMar>
            <w:vAlign w:val="center"/>
          </w:tcPr>
          <w:p>
            <w:pPr>
              <w:spacing w:after="20" w:before="20"/>
            </w:pPr>
            <w:r>
              <w:rPr>
                <w:sz w:val="20"/>
                <w:szCs w:val="20"/>
              </w:rPr>
              <w:t xml:space="preserve">No exceptions are open at first issue.</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902"/>
            <w:tcMar>
              <w:top w:type="dxa" w:w="60"/>
              <w:left w:type="dxa" w:w="100"/>
              <w:bottom w:type="dxa" w:w="60"/>
              <w:right w:type="dxa" w:w="100"/>
            </w:tcMar>
            <w:vAlign w:val="center"/>
          </w:tcPr>
          <w:p>
            <w:pPr>
              <w:spacing w:after="20" w:before="20"/>
            </w:pPr>
            <w:r>
              <w:rPr>
                <w:sz w:val="20"/>
                <w:szCs w:val="20"/>
              </w:rPr>
              <w:t xml:space="preserve">—</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No permanent exception  </w:t>
      </w:r>
      <w:r>
        <w:rPr>
          <w:sz w:val="20"/>
          <w:szCs w:val="20"/>
        </w:rPr>
        <w:t xml:space="preserve">There is no mechanism to grant a permanent exception. An exception that cannot be removed is evidence that the principle is wrong, and the principle is then changed by a record in this register rather than quietly ignored.</w:t>
      </w:r>
    </w:p>
    <w:p>
      <w:r>
        <w:br w:type="page"/>
      </w:r>
    </w:p>
    <w:p>
      <w:pPr>
        <w:pStyle w:val="Heading1"/>
        <w:spacing w:after="160" w:before="320"/>
      </w:pPr>
      <w:r>
        <w:rPr>
          <w:b/>
          <w:bCs/>
          <w:color w:val="1F4E79"/>
          <w:sz w:val="30"/>
          <w:szCs w:val="30"/>
        </w:rPr>
        <w:t xml:space="preserve">6. Open Items and Their Disposition</w:t>
      </w:r>
    </w:p>
    <w:p>
      <w:pPr>
        <w:spacing w:after="120" w:before="0"/>
      </w:pPr>
      <w:r>
        <w:t xml:space="preserve">Open items raised during design are resolved in the document that owns the decision, and are recorded as an ADR where the resolution is structural.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3971"/>
        <w:gridCol w:w="2527"/>
        <w:gridCol w:w="1806"/>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Open item</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Resolved in</w:t>
            </w:r>
          </w:p>
        </w:tc>
        <w:tc>
          <w:tcPr>
            <w:tcW w:type="dxa" w:w="180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ADR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OI-01</w:t>
            </w:r>
          </w:p>
        </w:tc>
        <w:tc>
          <w:tcPr>
            <w:tcW w:type="dxa" w:w="3971"/>
            <w:tcMar>
              <w:top w:type="dxa" w:w="60"/>
              <w:left w:type="dxa" w:w="100"/>
              <w:bottom w:type="dxa" w:w="60"/>
              <w:right w:type="dxa" w:w="100"/>
            </w:tcMar>
            <w:vAlign w:val="center"/>
          </w:tcPr>
          <w:p>
            <w:pPr>
              <w:spacing w:after="20" w:before="20"/>
            </w:pPr>
            <w:r>
              <w:rPr>
                <w:sz w:val="20"/>
                <w:szCs w:val="20"/>
              </w:rPr>
              <w:t xml:space="preserve">Hosting of Vehicle.</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ADR-006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Classification of Search Index, Dashboard Definition and Report Definition.</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ADR-016</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OI-03</w:t>
            </w:r>
          </w:p>
        </w:tc>
        <w:tc>
          <w:tcPr>
            <w:tcW w:type="dxa" w:w="3971"/>
            <w:tcMar>
              <w:top w:type="dxa" w:w="60"/>
              <w:left w:type="dxa" w:w="100"/>
              <w:bottom w:type="dxa" w:w="60"/>
              <w:right w:type="dxa" w:w="100"/>
            </w:tcMar>
            <w:vAlign w:val="center"/>
          </w:tcPr>
          <w:p>
            <w:pPr>
              <w:spacing w:after="20" w:before="20"/>
            </w:pPr>
            <w:r>
              <w:rPr>
                <w:sz w:val="20"/>
                <w:szCs w:val="20"/>
              </w:rPr>
              <w:t xml:space="preserve">Optionality of Employee to User and Contractor to User.</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ADR-011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Separation of logical location from visual position.</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ADR-007</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OI-05</w:t>
            </w:r>
          </w:p>
        </w:tc>
        <w:tc>
          <w:tcPr>
            <w:tcW w:type="dxa" w:w="3971"/>
            <w:tcMar>
              <w:top w:type="dxa" w:w="60"/>
              <w:left w:type="dxa" w:w="100"/>
              <w:bottom w:type="dxa" w:w="60"/>
              <w:right w:type="dxa" w:w="100"/>
            </w:tcMar>
            <w:vAlign w:val="center"/>
          </w:tcPr>
          <w:p>
            <w:pPr>
              <w:spacing w:after="20" w:before="20"/>
            </w:pPr>
            <w:r>
              <w:rPr>
                <w:sz w:val="20"/>
                <w:szCs w:val="20"/>
              </w:rPr>
              <w:t xml:space="preserve">Separation of custody from ownership.</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ADR-008</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OI-06</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Typed asset relationships.</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ADR-009</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OI-07</w:t>
            </w:r>
          </w:p>
        </w:tc>
        <w:tc>
          <w:tcPr>
            <w:tcW w:type="dxa" w:w="3971"/>
            <w:tcMar>
              <w:top w:type="dxa" w:w="60"/>
              <w:left w:type="dxa" w:w="100"/>
              <w:bottom w:type="dxa" w:w="60"/>
              <w:right w:type="dxa" w:w="100"/>
            </w:tcMar>
            <w:vAlign w:val="center"/>
          </w:tcPr>
          <w:p>
            <w:pPr>
              <w:spacing w:after="20" w:before="20"/>
            </w:pPr>
            <w:r>
              <w:rPr>
                <w:sz w:val="20"/>
                <w:szCs w:val="20"/>
              </w:rPr>
              <w:t xml:space="preserve">Whether a Party abstraction is required.</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ADR-010</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OI-08</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Odoo integration boundary and field-level mapping.</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Object level in PDS-05; field level deferred</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ADR-002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OI-09</w:t>
            </w:r>
          </w:p>
        </w:tc>
        <w:tc>
          <w:tcPr>
            <w:tcW w:type="dxa" w:w="3971"/>
            <w:tcMar>
              <w:top w:type="dxa" w:w="60"/>
              <w:left w:type="dxa" w:w="100"/>
              <w:bottom w:type="dxa" w:w="60"/>
              <w:right w:type="dxa" w:w="100"/>
            </w:tcMar>
            <w:vAlign w:val="center"/>
          </w:tcPr>
          <w:p>
            <w:pPr>
              <w:spacing w:after="20" w:before="20"/>
            </w:pPr>
            <w:r>
              <w:rPr>
                <w:sz w:val="20"/>
                <w:szCs w:val="20"/>
              </w:rPr>
              <w:t xml:space="preserve">Whether Inventory Count Line is a first-class object.</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ADR-014</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OI-10</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Whether Discrepancy Record is shared or duplicated.</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ADR-015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OI-11</w:t>
            </w:r>
          </w:p>
        </w:tc>
        <w:tc>
          <w:tcPr>
            <w:tcW w:type="dxa" w:w="3971"/>
            <w:tcMar>
              <w:top w:type="dxa" w:w="60"/>
              <w:left w:type="dxa" w:w="100"/>
              <w:bottom w:type="dxa" w:w="60"/>
              <w:right w:type="dxa" w:w="100"/>
            </w:tcMar>
            <w:vAlign w:val="center"/>
          </w:tcPr>
          <w:p>
            <w:pPr>
              <w:spacing w:after="20" w:before="20"/>
            </w:pPr>
            <w:r>
              <w:rPr>
                <w:sz w:val="20"/>
                <w:szCs w:val="20"/>
              </w:rPr>
              <w:t xml:space="preserve">Whether Access Assignment is a distinct object.</w:t>
            </w:r>
          </w:p>
        </w:tc>
        <w:tc>
          <w:tcPr>
            <w:tcW w:type="dxa" w:w="2527"/>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tcMar>
              <w:top w:type="dxa" w:w="60"/>
              <w:left w:type="dxa" w:w="100"/>
              <w:bottom w:type="dxa" w:w="60"/>
              <w:right w:type="dxa" w:w="100"/>
            </w:tcMar>
            <w:vAlign w:val="center"/>
          </w:tcPr>
          <w:p>
            <w:pPr>
              <w:spacing w:after="20" w:before="20"/>
            </w:pPr>
            <w:r>
              <w:rPr>
                <w:sz w:val="20"/>
                <w:szCs w:val="20"/>
              </w:rPr>
              <w:t xml:space="preserve">No ADR required — not structural</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OI-12</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Scope of capability state.</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PDS-05 section 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ADR-017</w:t>
            </w:r>
          </w:p>
        </w:tc>
      </w:tr>
    </w:tbl>
    <w:p>
      <w:pPr>
        <w:pStyle w:val="Heading2"/>
        <w:spacing w:after="120" w:before="260"/>
      </w:pPr>
      <w:r>
        <w:rPr>
          <w:b/>
          <w:bCs/>
          <w:color w:val="2E74B5"/>
          <w:sz w:val="25"/>
          <w:szCs w:val="25"/>
        </w:rPr>
        <w:t xml:space="preserve">6.1 Deferred decisions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2347"/>
        <w:gridCol w:w="3971"/>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Decision</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Deferred to</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Reason</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Field-level ERP mapping, including Odoo</w:t>
            </w:r>
          </w:p>
        </w:tc>
        <w:tc>
          <w:tcPr>
            <w:tcW w:type="dxa" w:w="2347"/>
            <w:tcMar>
              <w:top w:type="dxa" w:w="60"/>
              <w:left w:type="dxa" w:w="100"/>
              <w:bottom w:type="dxa" w:w="60"/>
              <w:right w:type="dxa" w:w="100"/>
            </w:tcMar>
            <w:vAlign w:val="center"/>
          </w:tcPr>
          <w:p>
            <w:pPr>
              <w:spacing w:after="20" w:before="20"/>
            </w:pPr>
            <w:r>
              <w:rPr>
                <w:sz w:val="20"/>
                <w:szCs w:val="20"/>
              </w:rPr>
              <w:t xml:space="preserve">Integration specification, when an ERP engagement is in scope</w:t>
            </w:r>
          </w:p>
        </w:tc>
        <w:tc>
          <w:tcPr>
            <w:tcW w:type="dxa" w:w="3971"/>
            <w:tcMar>
              <w:top w:type="dxa" w:w="60"/>
              <w:left w:type="dxa" w:w="100"/>
              <w:bottom w:type="dxa" w:w="60"/>
              <w:right w:type="dxa" w:w="100"/>
            </w:tcMar>
            <w:vAlign w:val="center"/>
          </w:tcPr>
          <w:p>
            <w:pPr>
              <w:spacing w:after="20" w:before="20"/>
            </w:pPr>
            <w:r>
              <w:rPr>
                <w:sz w:val="20"/>
                <w:szCs w:val="20"/>
              </w:rPr>
              <w:t xml:space="preserve">The object-level boundary is decided (ADR-002). Field mapping is deployment-specific and premature to fix now.</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Introduction of a Party abstraction</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 future ADR</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Only justified once four or more person-like objects exist (ADR-010).</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Predictive analytics and theft prediction</w:t>
            </w:r>
          </w:p>
        </w:tc>
        <w:tc>
          <w:tcPr>
            <w:tcW w:type="dxa" w:w="2347"/>
            <w:tcMar>
              <w:top w:type="dxa" w:w="60"/>
              <w:left w:type="dxa" w:w="100"/>
              <w:bottom w:type="dxa" w:w="60"/>
              <w:right w:type="dxa" w:w="100"/>
            </w:tcMar>
            <w:vAlign w:val="center"/>
          </w:tcPr>
          <w:p>
            <w:pPr>
              <w:spacing w:after="20" w:before="20"/>
            </w:pPr>
            <w:r>
              <w:rPr>
                <w:sz w:val="20"/>
                <w:szCs w:val="20"/>
              </w:rPr>
              <w:t xml:space="preserve">Maturity level L4 or L5</w:t>
            </w:r>
          </w:p>
        </w:tc>
        <w:tc>
          <w:tcPr>
            <w:tcW w:type="dxa" w:w="3971"/>
            <w:tcMar>
              <w:top w:type="dxa" w:w="60"/>
              <w:left w:type="dxa" w:w="100"/>
              <w:bottom w:type="dxa" w:w="60"/>
              <w:right w:type="dxa" w:w="100"/>
            </w:tcMar>
            <w:vAlign w:val="center"/>
          </w:tcPr>
          <w:p>
            <w:pPr>
              <w:spacing w:after="20" w:before="20"/>
            </w:pPr>
            <w:r>
              <w:rPr>
                <w:sz w:val="20"/>
                <w:szCs w:val="20"/>
              </w:rPr>
              <w:t xml:space="preserve">Release 1 intelligence scope is reporting facilitation, not prediction.</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RTLS and indoor positioning</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Maturity level L4</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Asset Position is designed to accept continuous positions without change (ADR-007).</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Maintenance work orders</w:t>
            </w:r>
          </w:p>
        </w:tc>
        <w:tc>
          <w:tcPr>
            <w:tcW w:type="dxa" w:w="2347"/>
            <w:tcMar>
              <w:top w:type="dxa" w:w="60"/>
              <w:left w:type="dxa" w:w="100"/>
              <w:bottom w:type="dxa" w:w="60"/>
              <w:right w:type="dxa" w:w="100"/>
            </w:tcMar>
            <w:vAlign w:val="center"/>
          </w:tcPr>
          <w:p>
            <w:pPr>
              <w:spacing w:after="20" w:before="20"/>
            </w:pPr>
            <w:r>
              <w:rPr>
                <w:sz w:val="20"/>
                <w:szCs w:val="20"/>
              </w:rPr>
              <w:t xml:space="preserve">A future module in DOM-OPS</w:t>
            </w:r>
          </w:p>
        </w:tc>
        <w:tc>
          <w:tcPr>
            <w:tcW w:type="dxa" w:w="3971"/>
            <w:tcMar>
              <w:top w:type="dxa" w:w="60"/>
              <w:left w:type="dxa" w:w="100"/>
              <w:bottom w:type="dxa" w:w="60"/>
              <w:right w:type="dxa" w:w="100"/>
            </w:tcMar>
            <w:vAlign w:val="center"/>
          </w:tcPr>
          <w:p>
            <w:pPr>
              <w:spacing w:after="20" w:before="20"/>
            </w:pPr>
            <w:r>
              <w:rPr>
                <w:sz w:val="20"/>
                <w:szCs w:val="20"/>
              </w:rPr>
              <w:t xml:space="preserve">Explicitly outside DOM-AST responsibility. The domain assignment is already made.</w:t>
            </w:r>
          </w:p>
        </w:tc>
      </w:tr>
    </w:tbl>
    <w:p>
      <w:r>
        <w:br w:type="page"/>
      </w:r>
    </w:p>
    <w:p>
      <w:pPr>
        <w:pStyle w:val="Heading1"/>
        <w:spacing w:after="160" w:before="320"/>
      </w:pPr>
      <w:r>
        <w:rPr>
          <w:b/>
          <w:bCs/>
          <w:color w:val="1F4E79"/>
          <w:sz w:val="30"/>
          <w:szCs w:val="30"/>
        </w:rPr>
        <w:t xml:space="preserve">7. Verification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record states context, decision, alternatives and consequences.</w:t>
            </w:r>
          </w:p>
        </w:tc>
        <w:tc>
          <w:tcPr>
            <w:tcW w:type="dxa" w:w="3249"/>
            <w:tcMar>
              <w:top w:type="dxa" w:w="60"/>
              <w:left w:type="dxa" w:w="100"/>
              <w:bottom w:type="dxa" w:w="60"/>
              <w:right w:type="dxa" w:w="100"/>
            </w:tcMar>
            <w:vAlign w:val="center"/>
          </w:tcPr>
          <w:p>
            <w:pPr>
              <w:spacing w:after="20" w:before="20"/>
            </w:pPr>
            <w:r>
              <w:rPr>
                <w:sz w:val="20"/>
                <w:szCs w:val="20"/>
              </w:rPr>
              <w:t xml:space="preserve">Pass — 20 records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record names the documents it affects.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Every record states at least one rejected alternative.</w:t>
            </w:r>
          </w:p>
        </w:tc>
        <w:tc>
          <w:tcPr>
            <w:tcW w:type="dxa" w:w="3249"/>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consequence section states a cost accepted, not only benefits.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Every open item from PDS-04 has a disposition.</w:t>
            </w:r>
          </w:p>
        </w:tc>
        <w:tc>
          <w:tcPr>
            <w:tcW w:type="dxa" w:w="3249"/>
            <w:tcMar>
              <w:top w:type="dxa" w:w="60"/>
              <w:left w:type="dxa" w:w="100"/>
              <w:bottom w:type="dxa" w:w="60"/>
              <w:right w:type="dxa" w:w="100"/>
            </w:tcMar>
            <w:vAlign w:val="center"/>
          </w:tcPr>
          <w:p>
            <w:pPr>
              <w:spacing w:after="20" w:before="20"/>
            </w:pPr>
            <w:r>
              <w:rPr>
                <w:sz w:val="20"/>
                <w:szCs w:val="20"/>
              </w:rPr>
              <w:t xml:space="preserve">Pass — section 6, twelve items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structural resolution has an ADR.</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eleven of twelve open items; OI-11 is not structural</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No record has been deleted and no identifier reused.</w:t>
            </w:r>
          </w:p>
        </w:tc>
        <w:tc>
          <w:tcPr>
            <w:tcW w:type="dxa" w:w="3249"/>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exception process forbids a permanent exception.</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V-09</w:t>
            </w:r>
          </w:p>
        </w:tc>
        <w:tc>
          <w:tcPr>
            <w:tcW w:type="dxa" w:w="5055"/>
            <w:tcMar>
              <w:top w:type="dxa" w:w="60"/>
              <w:left w:type="dxa" w:w="100"/>
              <w:bottom w:type="dxa" w:w="60"/>
              <w:right w:type="dxa" w:w="100"/>
            </w:tcMar>
            <w:vAlign w:val="center"/>
          </w:tcPr>
          <w:p>
            <w:pPr>
              <w:spacing w:after="20" w:before="20"/>
            </w:pPr>
            <w:r>
              <w:rPr>
                <w:sz w:val="20"/>
                <w:szCs w:val="20"/>
              </w:rPr>
              <w:t xml:space="preserve">Deferred decisions state where they are deferred to and why.</w:t>
            </w:r>
          </w:p>
        </w:tc>
        <w:tc>
          <w:tcPr>
            <w:tcW w:type="dxa" w:w="3249"/>
            <w:tcMar>
              <w:top w:type="dxa" w:w="60"/>
              <w:left w:type="dxa" w:w="100"/>
              <w:bottom w:type="dxa" w:w="60"/>
              <w:right w:type="dxa" w:w="100"/>
            </w:tcMar>
            <w:vAlign w:val="center"/>
          </w:tcPr>
          <w:p>
            <w:pPr>
              <w:spacing w:after="20" w:before="20"/>
            </w:pPr>
            <w:r>
              <w:rPr>
                <w:sz w:val="20"/>
                <w:szCs w:val="20"/>
              </w:rPr>
              <w:t xml:space="preserve">Pass — section 6.1</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spacing w:before="100"/>
    </w:pPr>
    <w:r>
      <w:rPr>
        <w:color w:val="808080"/>
        <w:sz w:val="16"/>
        <w:szCs w:val="16"/>
      </w:rPr>
      <w:t xml:space="preserve">TEAIP — PDS-14 v1.0 — Trangant Confidential</w:t>
    </w:r>
    <w:r>
      <w:ptab w:alignment="right" w:relativeTo="margin" w:leader="none"/>
    </w: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120"/>
    </w:pPr>
    <w:r>
      <w:rPr>
        <w:color w:val="808080"/>
        <w:sz w:val="16"/>
        <w:szCs w:val="16"/>
      </w:rPr>
      <w:t xml:space="preserve">TEAIP  |  PDS-14 — Architecture Decision Records</w:t>
    </w:r>
    <w:r>
      <w:ptab w:alignment="right" w:relativeTo="margin" w:leader="none"/>
    </w:r>
    <w:r>
      <w:rPr>
        <w:color w:val="808080"/>
        <w:sz w:val="16"/>
        <w:szCs w:val="16"/>
      </w:rPr>
      <w:t xml:space="preserve">Version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PDS-14 Architecture Decision Records</dc:title>
  <dc:creator>Trangant</dc:creator>
  <dc:description>Product Design Specification — Governance</dc:description>
  <cp:lastModifiedBy>Un-named</cp:lastModifiedBy>
  <cp:revision>1</cp:revision>
  <dcterms:created xsi:type="dcterms:W3CDTF">2026-08-13T19:05:03.988Z</dcterms:created>
  <dcterms:modified xsi:type="dcterms:W3CDTF">2026-08-13T19:05:03.989Z</dcterms:modified>
</cp:coreProperties>
</file>

<file path=docProps/custom.xml><?xml version="1.0" encoding="utf-8"?>
<Properties xmlns="http://schemas.openxmlformats.org/officeDocument/2006/custom-properties" xmlns:vt="http://schemas.openxmlformats.org/officeDocument/2006/docPropsVTypes"/>
</file>