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PDS-01</w:t>
      </w:r>
    </w:p>
    <w:p>
      <w:pPr>
        <w:spacing w:after="100"/>
        <w:jc w:val="center"/>
      </w:pPr>
      <w:r>
        <w:rPr>
          <w:b/>
          <w:bCs/>
          <w:color w:val="1F4E79"/>
          <w:sz w:val="48"/>
          <w:szCs w:val="48"/>
        </w:rPr>
        <w:t xml:space="preserve">Platform Foundation &amp; Architecture</w:t>
      </w:r>
    </w:p>
    <w:p>
      <w:pPr>
        <w:spacing w:after="240"/>
        <w:jc w:val="center"/>
      </w:pPr>
      <w:r>
        <w:rPr>
          <w:color w:val="595959"/>
          <w:sz w:val="26"/>
          <w:szCs w:val="26"/>
        </w:rPr>
        <w:t xml:space="preserve">Product Design Specification</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Platform Foundation &amp; Architecture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Author</w:t>
            </w:r>
          </w:p>
        </w:tc>
        <w:tc>
          <w:tcPr>
            <w:tcW w:type="dxa" w:w="6679"/>
            <w:tcMar>
              <w:top w:type="dxa" w:w="60"/>
              <w:left w:type="dxa" w:w="100"/>
              <w:bottom w:type="dxa" w:w="60"/>
              <w:right w:type="dxa" w:w="100"/>
            </w:tcMar>
            <w:vAlign w:val="center"/>
          </w:tcPr>
          <w:p>
            <w:pPr>
              <w:spacing w:after="20" w:before="20"/>
            </w:pPr>
            <w:r>
              <w:rPr>
                <w:sz w:val="20"/>
                <w:szCs w:val="20"/>
              </w:rPr>
              <w:t xml:space="preserve">Product Architecture Team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Purpose</w:t>
            </w:r>
          </w:p>
        </w:tc>
        <w:tc>
          <w:tcPr>
            <w:tcW w:type="dxa" w:w="6679"/>
            <w:tcMar>
              <w:top w:type="dxa" w:w="60"/>
              <w:left w:type="dxa" w:w="100"/>
              <w:bottom w:type="dxa" w:w="60"/>
              <w:right w:type="dxa" w:w="100"/>
            </w:tcMar>
            <w:vAlign w:val="center"/>
          </w:tcPr>
          <w:p>
            <w:pPr>
              <w:spacing w:after="20" w:before="20"/>
            </w:pPr>
            <w:r>
              <w:rPr>
                <w:sz w:val="20"/>
                <w:szCs w:val="20"/>
              </w:rPr>
              <w:t xml:space="preserve">Establishes the architectural foundation of TEAIP: vision, design philosophy, architecture principles, engineering principles, ownership model, layering, governance rules and change control that govern every subsequent design and requirements document.</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PDS-02</w:t>
            </w:r>
          </w:p>
        </w:tc>
        <w:tc>
          <w:tcPr>
            <w:tcW w:type="dxa" w:w="3069"/>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tcMar>
              <w:top w:type="dxa" w:w="60"/>
              <w:left w:type="dxa" w:w="100"/>
              <w:bottom w:type="dxa" w:w="60"/>
              <w:right w:type="dxa" w:w="100"/>
            </w:tcMar>
            <w:vAlign w:val="center"/>
          </w:tcPr>
          <w:p>
            <w:pPr>
              <w:spacing w:after="20" w:before="20"/>
            </w:pPr>
            <w:r>
              <w:rPr>
                <w:sz w:val="20"/>
                <w:szCs w:val="20"/>
              </w:rPr>
              <w:t xml:space="preserve">Defines what the platform can do. Consumes the principles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Details the Core Platform services asserted in §7.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3069"/>
            <w:tcMar>
              <w:top w:type="dxa" w:w="60"/>
              <w:left w:type="dxa" w:w="100"/>
              <w:bottom w:type="dxa" w:w="60"/>
              <w:right w:type="dxa" w:w="100"/>
            </w:tcMar>
            <w:vAlign w:val="center"/>
          </w:tcPr>
          <w:p>
            <w:pPr>
              <w:spacing w:after="20" w:before="20"/>
            </w:pPr>
            <w:r>
              <w:rPr>
                <w:sz w:val="20"/>
                <w:szCs w:val="20"/>
              </w:rPr>
              <w:t xml:space="preserve">Business Domain Model (BDM)</w:t>
            </w:r>
          </w:p>
        </w:tc>
        <w:tc>
          <w:tcPr>
            <w:tcW w:type="dxa" w:w="4874"/>
            <w:tcMar>
              <w:top w:type="dxa" w:w="60"/>
              <w:left w:type="dxa" w:w="100"/>
              <w:bottom w:type="dxa" w:w="60"/>
              <w:right w:type="dxa" w:w="100"/>
            </w:tcMar>
            <w:vAlign w:val="center"/>
          </w:tcPr>
          <w:p>
            <w:pPr>
              <w:spacing w:after="20" w:before="20"/>
            </w:pPr>
            <w:r>
              <w:rPr>
                <w:sz w:val="20"/>
                <w:szCs w:val="20"/>
              </w:rPr>
              <w:t xml:space="preserve">Defines the domains introduced in §10 and applies GR-001 → GR-008.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every business object and inherits the data classification model in §6.4.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3069"/>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Canonical definition of every business term used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PDS-09</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Full register of AP, EP, UX, development and reporting principles summarized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PDS-14</w:t>
            </w:r>
          </w:p>
        </w:tc>
        <w:tc>
          <w:tcPr>
            <w:tcW w:type="dxa" w:w="3069"/>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4874"/>
            <w:tcMar>
              <w:top w:type="dxa" w:w="60"/>
              <w:left w:type="dxa" w:w="100"/>
              <w:bottom w:type="dxa" w:w="60"/>
              <w:right w:type="dxa" w:w="100"/>
            </w:tcMar>
            <w:vAlign w:val="center"/>
          </w:tcPr>
          <w:p>
            <w:pPr>
              <w:spacing w:after="20" w:before="20"/>
            </w:pPr>
            <w:r>
              <w:rPr>
                <w:sz w:val="20"/>
                <w:szCs w:val="20"/>
              </w:rPr>
              <w:t xml:space="preserve">Records every deviation from the baseline established in §15.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Business and commercial requirements derived from this architecture.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47"/>
        <w:gridCol w:w="1416"/>
        <w:gridCol w:w="3009"/>
        <w:gridCol w:w="1593"/>
        <w:gridCol w:w="1061"/>
      </w:tblGrid>
      <w:tr>
        <w:trPr>
          <w:tblHeader/>
        </w:trPr>
        <w:tc>
          <w:tcPr>
            <w:tcW w:type="dxa" w:w="19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00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5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Signature / Date</w:t>
            </w:r>
          </w:p>
        </w:tc>
        <w:tc>
          <w:tcPr>
            <w:tcW w:type="dxa" w:w="106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47"/>
            <w:tcMar>
              <w:top w:type="dxa" w:w="60"/>
              <w:left w:type="dxa" w:w="100"/>
              <w:bottom w:type="dxa" w:w="60"/>
              <w:right w:type="dxa" w:w="100"/>
            </w:tcMar>
            <w:vAlign w:val="center"/>
          </w:tcPr>
          <w:p>
            <w:pPr>
              <w:spacing w:after="20" w:before="20"/>
            </w:pPr>
            <w:r>
              <w:rPr>
                <w:sz w:val="20"/>
                <w:szCs w:val="20"/>
              </w:rPr>
              <w:t xml:space="preserve">Product Owner</w:t>
            </w:r>
          </w:p>
        </w:tc>
        <w:tc>
          <w:tcPr>
            <w:tcW w:type="dxa" w:w="1416"/>
            <w:tcMar>
              <w:top w:type="dxa" w:w="60"/>
              <w:left w:type="dxa" w:w="100"/>
              <w:bottom w:type="dxa" w:w="60"/>
              <w:right w:type="dxa" w:w="100"/>
            </w:tcMar>
            <w:vAlign w:val="center"/>
          </w:tcPr>
          <w:p>
            <w:pPr>
              <w:spacing w:after="20" w:before="20"/>
            </w:pPr>
            <w:r>
              <w:rPr>
                <w:sz w:val="20"/>
                <w:szCs w:val="20"/>
              </w:rPr>
              <w:t xml:space="preserve">—</w:t>
            </w:r>
          </w:p>
        </w:tc>
        <w:tc>
          <w:tcPr>
            <w:tcW w:type="dxa" w:w="3009"/>
            <w:tcMar>
              <w:top w:type="dxa" w:w="60"/>
              <w:left w:type="dxa" w:w="100"/>
              <w:bottom w:type="dxa" w:w="60"/>
              <w:right w:type="dxa" w:w="100"/>
            </w:tcMar>
            <w:vAlign w:val="center"/>
          </w:tcPr>
          <w:p>
            <w:pPr>
              <w:spacing w:after="20" w:before="20"/>
            </w:pPr>
            <w:r>
              <w:rPr>
                <w:sz w:val="20"/>
                <w:szCs w:val="20"/>
              </w:rPr>
              <w:t xml:space="preserve">Commercial fit and product scope</w:t>
            </w:r>
          </w:p>
        </w:tc>
        <w:tc>
          <w:tcPr>
            <w:tcW w:type="dxa" w:w="1593"/>
            <w:tcMar>
              <w:top w:type="dxa" w:w="60"/>
              <w:left w:type="dxa" w:w="100"/>
              <w:bottom w:type="dxa" w:w="60"/>
              <w:right w:type="dxa" w:w="100"/>
            </w:tcMar>
            <w:vAlign w:val="center"/>
          </w:tcPr>
          <w:p>
            <w:pPr>
              <w:spacing w:after="20" w:before="20"/>
            </w:pPr>
            <w:r>
              <w:rPr>
                <w:sz w:val="20"/>
                <w:szCs w:val="20"/>
              </w:rPr>
              <w:t xml:space="preserve"/>
            </w:r>
          </w:p>
        </w:tc>
        <w:tc>
          <w:tcPr>
            <w:tcW w:type="dxa" w:w="1061"/>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416"/>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009"/>
            <w:shd w:fill="F2F2F2" w:color="auto" w:val="clear"/>
            <w:tcMar>
              <w:top w:type="dxa" w:w="60"/>
              <w:left w:type="dxa" w:w="100"/>
              <w:bottom w:type="dxa" w:w="60"/>
              <w:right w:type="dxa" w:w="100"/>
            </w:tcMar>
            <w:vAlign w:val="center"/>
          </w:tcPr>
          <w:p>
            <w:pPr>
              <w:spacing w:after="20" w:before="20"/>
            </w:pPr>
            <w:r>
              <w:rPr>
                <w:sz w:val="20"/>
                <w:szCs w:val="20"/>
              </w:rPr>
              <w:t xml:space="preserve">Architectural integrity</w:t>
            </w:r>
          </w:p>
        </w:tc>
        <w:tc>
          <w:tcPr>
            <w:tcW w:type="dxa" w:w="1593"/>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1061"/>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416"/>
            <w:tcMar>
              <w:top w:type="dxa" w:w="60"/>
              <w:left w:type="dxa" w:w="100"/>
              <w:bottom w:type="dxa" w:w="60"/>
              <w:right w:type="dxa" w:w="100"/>
            </w:tcMar>
            <w:vAlign w:val="center"/>
          </w:tcPr>
          <w:p>
            <w:pPr>
              <w:spacing w:after="20" w:before="20"/>
            </w:pPr>
            <w:r>
              <w:rPr>
                <w:sz w:val="20"/>
                <w:szCs w:val="20"/>
              </w:rPr>
              <w:t xml:space="preserve">—</w:t>
            </w:r>
          </w:p>
        </w:tc>
        <w:tc>
          <w:tcPr>
            <w:tcW w:type="dxa" w:w="3009"/>
            <w:tcMar>
              <w:top w:type="dxa" w:w="60"/>
              <w:left w:type="dxa" w:w="100"/>
              <w:bottom w:type="dxa" w:w="60"/>
              <w:right w:type="dxa" w:w="100"/>
            </w:tcMar>
            <w:vAlign w:val="center"/>
          </w:tcPr>
          <w:p>
            <w:pPr>
              <w:spacing w:after="20" w:before="20"/>
            </w:pPr>
            <w:r>
              <w:rPr>
                <w:sz w:val="20"/>
                <w:szCs w:val="20"/>
              </w:rPr>
              <w:t xml:space="preserve">Implementability</w:t>
            </w:r>
          </w:p>
        </w:tc>
        <w:tc>
          <w:tcPr>
            <w:tcW w:type="dxa" w:w="1593"/>
            <w:tcMar>
              <w:top w:type="dxa" w:w="60"/>
              <w:left w:type="dxa" w:w="100"/>
              <w:bottom w:type="dxa" w:w="60"/>
              <w:right w:type="dxa" w:w="100"/>
            </w:tcMar>
            <w:vAlign w:val="center"/>
          </w:tcPr>
          <w:p>
            <w:pPr>
              <w:spacing w:after="20" w:before="20"/>
            </w:pPr>
            <w:r>
              <w:rPr>
                <w:sz w:val="20"/>
                <w:szCs w:val="20"/>
              </w:rPr>
              <w:t xml:space="preserve"/>
            </w:r>
          </w:p>
        </w:tc>
        <w:tc>
          <w:tcPr>
            <w:tcW w:type="dxa" w:w="1061"/>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416"/>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009"/>
            <w:shd w:fill="F2F2F2" w:color="auto" w:val="clear"/>
            <w:tcMar>
              <w:top w:type="dxa" w:w="60"/>
              <w:left w:type="dxa" w:w="100"/>
              <w:bottom w:type="dxa" w:w="60"/>
              <w:right w:type="dxa" w:w="100"/>
            </w:tcMar>
            <w:vAlign w:val="center"/>
          </w:tcPr>
          <w:p>
            <w:pPr>
              <w:spacing w:after="20" w:before="20"/>
            </w:pPr>
            <w:r>
              <w:rPr>
                <w:sz w:val="20"/>
                <w:szCs w:val="20"/>
              </w:rPr>
              <w:t xml:space="preserve">Testability and traceability</w:t>
            </w:r>
          </w:p>
        </w:tc>
        <w:tc>
          <w:tcPr>
            <w:tcW w:type="dxa" w:w="1593"/>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1061"/>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"Shall" denotes a mandatory requirement. "Should" denotes a strong recommendation. "May" denotes an option.</w:t>
      </w:r>
    </w:p>
    <w:p>
      <w:pPr>
        <w:pStyle w:val="ListParagraph"/>
        <w:numPr>
          <w:ilvl w:val="0"/>
          <w:numId w:val="2"/>
        </w:numPr>
        <w:spacing w:after="60"/>
      </w:pPr>
      <w:r>
        <w:t xml:space="preserve">Identifiers follow the scheme in §14.2 and are permanent once issued; retired identifiers are never reused.</w:t>
      </w:r>
    </w:p>
    <w:p>
      <w:pPr>
        <w:pStyle w:val="ListParagraph"/>
        <w:numPr>
          <w:ilvl w:val="0"/>
          <w:numId w:val="2"/>
        </w:numPr>
        <w:spacing w:after="60"/>
      </w:pPr>
      <w:r>
        <w:t xml:space="preserve">Where this document and a downstream document conflict, this document prevails until an ADR is issued in PDS-14.</w:t>
      </w:r>
    </w:p>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defines the architectural foundation of the Trangant Enterprise Asset Intelligence Platform (TEAIP). It establishes the platform vision, the design philosophy, the architecture and engineering principles, the ownership model, the layering model and the governance rules with which all subsequent design, requirements, implementation and test artifacts shall comply.</w:t>
      </w:r>
    </w:p>
    <w:p>
      <w:pPr>
        <w:spacing w:after="120" w:before="0"/>
      </w:pPr>
      <w:r>
        <w:t xml:space="preserve">It is the root document of the TEAIP specification set. Every other document in the set derives from it, and no downstream document may contradict it without an approved Architecture Decision Record.</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architectural vision and commercial positioning of the platform.</w:t>
      </w:r>
    </w:p>
    <w:p>
      <w:pPr>
        <w:pStyle w:val="ListParagraph"/>
        <w:numPr>
          <w:ilvl w:val="0"/>
          <w:numId w:val="2"/>
        </w:numPr>
        <w:spacing w:after="60"/>
      </w:pPr>
      <w:r>
        <w:t xml:space="preserve">The five architectural dimensions that structure the entire specification set.</w:t>
      </w:r>
    </w:p>
    <w:p>
      <w:pPr>
        <w:pStyle w:val="ListParagraph"/>
        <w:numPr>
          <w:ilvl w:val="0"/>
          <w:numId w:val="2"/>
        </w:numPr>
        <w:spacing w:after="60"/>
      </w:pPr>
      <w:r>
        <w:t xml:space="preserve">Architecture principles (AP-001 → AP-007) and engineering principles (EP-001 → EP-003).</w:t>
      </w:r>
    </w:p>
    <w:p>
      <w:pPr>
        <w:pStyle w:val="ListParagraph"/>
        <w:numPr>
          <w:ilvl w:val="0"/>
          <w:numId w:val="2"/>
        </w:numPr>
        <w:spacing w:after="60"/>
      </w:pPr>
      <w:r>
        <w:t xml:space="preserve">The Core Platform ownership model and the plug-in responsibility model.</w:t>
      </w:r>
    </w:p>
    <w:p>
      <w:pPr>
        <w:pStyle w:val="ListParagraph"/>
        <w:numPr>
          <w:ilvl w:val="0"/>
          <w:numId w:val="2"/>
        </w:numPr>
        <w:spacing w:after="60"/>
      </w:pPr>
      <w:r>
        <w:t xml:space="preserve">The platform layering model.</w:t>
      </w:r>
    </w:p>
    <w:p>
      <w:pPr>
        <w:pStyle w:val="ListParagraph"/>
        <w:numPr>
          <w:ilvl w:val="0"/>
          <w:numId w:val="2"/>
        </w:numPr>
        <w:spacing w:after="60"/>
      </w:pPr>
      <w:r>
        <w:t xml:space="preserve">The business domain layer, at overview level only.</w:t>
      </w:r>
    </w:p>
    <w:p>
      <w:pPr>
        <w:pStyle w:val="ListParagraph"/>
        <w:numPr>
          <w:ilvl w:val="0"/>
          <w:numId w:val="2"/>
        </w:numPr>
        <w:spacing w:after="60"/>
      </w:pPr>
      <w:r>
        <w:t xml:space="preserve">Platform governance rules (GR-001 → GR-008) and the traceability standard (GS-001).</w:t>
      </w:r>
    </w:p>
    <w:p>
      <w:pPr>
        <w:pStyle w:val="ListParagraph"/>
        <w:numPr>
          <w:ilvl w:val="0"/>
          <w:numId w:val="2"/>
        </w:numPr>
        <w:spacing w:after="60"/>
      </w:pPr>
      <w:r>
        <w:t xml:space="preserve">The platform maturity model and the architecture change-control mechanism.</w:t>
      </w:r>
    </w:p>
    <w:p>
      <w:pPr>
        <w:spacing w:after="120" w:before="0"/>
      </w:pPr>
      <w:r>
        <w:t xml:space="preserve">Out of scope:</w:t>
      </w:r>
    </w:p>
    <w:p>
      <w:pPr>
        <w:pStyle w:val="ListParagraph"/>
        <w:numPr>
          <w:ilvl w:val="0"/>
          <w:numId w:val="2"/>
        </w:numPr>
        <w:spacing w:after="60"/>
      </w:pPr>
      <w:r>
        <w:t xml:space="preserve">Detailed domain definitions — PDS-04.</w:t>
      </w:r>
    </w:p>
    <w:p>
      <w:pPr>
        <w:pStyle w:val="ListParagraph"/>
        <w:numPr>
          <w:ilvl w:val="0"/>
          <w:numId w:val="2"/>
        </w:numPr>
        <w:spacing w:after="60"/>
      </w:pPr>
      <w:r>
        <w:t xml:space="preserve">Business object attributes, relationships and lifecycles — PDS-05.</w:t>
      </w:r>
    </w:p>
    <w:p>
      <w:pPr>
        <w:pStyle w:val="ListParagraph"/>
        <w:numPr>
          <w:ilvl w:val="0"/>
          <w:numId w:val="2"/>
        </w:numPr>
        <w:spacing w:after="60"/>
      </w:pPr>
      <w:r>
        <w:t xml:space="preserve">Service contracts and API specifications — PDS-07 and the API Specifications document.</w:t>
      </w:r>
    </w:p>
    <w:p>
      <w:pPr>
        <w:pStyle w:val="ListParagraph"/>
        <w:numPr>
          <w:ilvl w:val="0"/>
          <w:numId w:val="2"/>
        </w:numPr>
        <w:spacing w:after="60"/>
      </w:pPr>
      <w:r>
        <w:t xml:space="preserve">User interface design — PDS-10.</w:t>
      </w:r>
    </w:p>
    <w:p>
      <w:pPr>
        <w:pStyle w:val="ListParagraph"/>
        <w:numPr>
          <w:ilvl w:val="0"/>
          <w:numId w:val="2"/>
        </w:numPr>
        <w:spacing w:after="60"/>
      </w:pPr>
      <w:r>
        <w:t xml:space="preserve">Technology selection, deployment topology and sizing — PDS-12 and PDS-13.</w:t>
      </w:r>
    </w:p>
    <w:p>
      <w:pPr>
        <w:pStyle w:val="ListParagraph"/>
        <w:numPr>
          <w:ilvl w:val="0"/>
          <w:numId w:val="2"/>
        </w:numPr>
        <w:spacing w:after="60"/>
      </w:pPr>
      <w:r>
        <w:t xml:space="preserve">Functional and commercial requirements — CRS.</w:t>
      </w:r>
    </w:p>
    <w:p>
      <w:pPr>
        <w:pStyle w:val="Heading2"/>
        <w:spacing w:after="120" w:before="260"/>
      </w:pPr>
      <w:r>
        <w:rPr>
          <w:b/>
          <w:bCs/>
          <w:color w:val="2E74B5"/>
          <w:sz w:val="25"/>
          <w:szCs w:val="25"/>
        </w:rPr>
        <w:t xml:space="preserve">2.3 Intended Audience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Audience</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Use of this document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Enterprise / Solution Architects</w:t>
            </w:r>
          </w:p>
        </w:tc>
        <w:tc>
          <w:tcPr>
            <w:tcW w:type="dxa" w:w="6138"/>
            <w:tcMar>
              <w:top w:type="dxa" w:w="60"/>
              <w:left w:type="dxa" w:w="100"/>
              <w:bottom w:type="dxa" w:w="60"/>
              <w:right w:type="dxa" w:w="100"/>
            </w:tcMar>
            <w:vAlign w:val="center"/>
          </w:tcPr>
          <w:p>
            <w:pPr>
              <w:spacing w:after="20" w:before="20"/>
            </w:pPr>
            <w:r>
              <w:rPr>
                <w:sz w:val="20"/>
                <w:szCs w:val="20"/>
              </w:rPr>
              <w:t xml:space="preserve">Primary reference for platform structure and boundary decisions.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Product Management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Basis for module licensing, packaging and roadmap sequencing.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Development Leads</w:t>
            </w:r>
          </w:p>
        </w:tc>
        <w:tc>
          <w:tcPr>
            <w:tcW w:type="dxa" w:w="6138"/>
            <w:tcMar>
              <w:top w:type="dxa" w:w="60"/>
              <w:left w:type="dxa" w:w="100"/>
              <w:bottom w:type="dxa" w:w="60"/>
              <w:right w:type="dxa" w:w="100"/>
            </w:tcMar>
            <w:vAlign w:val="center"/>
          </w:tcPr>
          <w:p>
            <w:pPr>
              <w:spacing w:after="20" w:before="20"/>
            </w:pPr>
            <w:r>
              <w:rPr>
                <w:sz w:val="20"/>
                <w:szCs w:val="20"/>
              </w:rPr>
              <w:t xml:space="preserve">Binding constraints on module design and inter-module communication.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QA and Test Architects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Source of architectural acceptance criteria and traceability obligations.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Implementation and Delivery Teams</w:t>
            </w:r>
          </w:p>
        </w:tc>
        <w:tc>
          <w:tcPr>
            <w:tcW w:type="dxa" w:w="6138"/>
            <w:tcMar>
              <w:top w:type="dxa" w:w="60"/>
              <w:left w:type="dxa" w:w="100"/>
              <w:bottom w:type="dxa" w:w="60"/>
              <w:right w:type="dxa" w:w="100"/>
            </w:tcMar>
            <w:vAlign w:val="center"/>
          </w:tcPr>
          <w:p>
            <w:pPr>
              <w:spacing w:after="20" w:before="20"/>
            </w:pPr>
            <w:r>
              <w:rPr>
                <w:sz w:val="20"/>
                <w:szCs w:val="20"/>
              </w:rPr>
              <w:t xml:space="preserve">Explains why customers may adopt the platform incrementally.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Prospective customers and partners (extracts)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Communicates platform maturity and extensibility.</w:t>
            </w:r>
          </w:p>
        </w:tc>
      </w:tr>
    </w:tbl>
    <w:p>
      <w:pPr>
        <w:pStyle w:val="Heading2"/>
        <w:spacing w:after="120" w:before="260"/>
      </w:pPr>
      <w:r>
        <w:rPr>
          <w:b/>
          <w:bCs/>
          <w:color w:val="2E74B5"/>
          <w:sz w:val="25"/>
          <w:szCs w:val="25"/>
        </w:rPr>
        <w:t xml:space="preserve">2.4 Terminology</w:t>
      </w:r>
    </w:p>
    <w:p>
      <w:pPr>
        <w:spacing w:after="120" w:before="0"/>
      </w:pPr>
      <w:r>
        <w:t xml:space="preserve">The following terms are used with precise meaning throughout the specification set. PDS-06 — Platform Dictionary is the canonical source; the definitions below are provided for immediate readability.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w:t>
            </w:r>
          </w:p>
        </w:tc>
        <w:tc>
          <w:tcPr>
            <w:tcW w:type="dxa" w:w="6679"/>
            <w:tcMar>
              <w:top w:type="dxa" w:w="60"/>
              <w:left w:type="dxa" w:w="100"/>
              <w:bottom w:type="dxa" w:w="60"/>
              <w:right w:type="dxa" w:w="100"/>
            </w:tcMar>
            <w:vAlign w:val="center"/>
          </w:tcPr>
          <w:p>
            <w:pPr>
              <w:spacing w:after="20" w:before="20"/>
            </w:pPr>
            <w:r>
              <w:rPr>
                <w:sz w:val="20"/>
                <w:szCs w:val="20"/>
              </w:rPr>
              <w:t xml:space="preserve">Something the business is able to do, expressed independently of implementation. Answers "what can the business do?"</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bounded area of business responsibility that owns capabilities and hosts business objects. Answers "where does this belong?"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Subdomain</w:t>
            </w:r>
          </w:p>
        </w:tc>
        <w:tc>
          <w:tcPr>
            <w:tcW w:type="dxa" w:w="6679"/>
            <w:tcMar>
              <w:top w:type="dxa" w:w="60"/>
              <w:left w:type="dxa" w:w="100"/>
              <w:bottom w:type="dxa" w:w="60"/>
              <w:right w:type="dxa" w:w="100"/>
            </w:tcMar>
            <w:vAlign w:val="center"/>
          </w:tcPr>
          <w:p>
            <w:pPr>
              <w:spacing w:after="20" w:before="20"/>
            </w:pPr>
            <w:r>
              <w:rPr>
                <w:sz w:val="20"/>
                <w:szCs w:val="20"/>
              </w:rPr>
              <w:t xml:space="preserve">A cohesive grouping of capabilities within exactly one business domain.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(SBO)</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canonical business entity defined once, hosted by exactly one domain, consumable by many.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w:t>
            </w:r>
          </w:p>
        </w:tc>
        <w:tc>
          <w:tcPr>
            <w:tcW w:type="dxa" w:w="6679"/>
            <w:tcMar>
              <w:top w:type="dxa" w:w="60"/>
              <w:left w:type="dxa" w:w="100"/>
              <w:bottom w:type="dxa" w:w="60"/>
              <w:right w:type="dxa" w:w="100"/>
            </w:tcMar>
            <w:vAlign w:val="center"/>
          </w:tcPr>
          <w:p>
            <w:pPr>
              <w:spacing w:after="20" w:before="20"/>
            </w:pPr>
            <w:r>
              <w:rPr>
                <w:sz w:val="20"/>
                <w:szCs w:val="20"/>
              </w:rPr>
              <w:t xml:space="preserve">The exclusive right and obligation of one domain to define, validate and maintain a business object.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Consumption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read or referential use of a business object by a domain that does not host it.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Platform Service</w:t>
            </w:r>
          </w:p>
        </w:tc>
        <w:tc>
          <w:tcPr>
            <w:tcW w:type="dxa" w:w="6679"/>
            <w:tcMar>
              <w:top w:type="dxa" w:w="60"/>
              <w:left w:type="dxa" w:w="100"/>
              <w:bottom w:type="dxa" w:w="60"/>
              <w:right w:type="dxa" w:w="100"/>
            </w:tcMar>
            <w:vAlign w:val="center"/>
          </w:tcPr>
          <w:p>
            <w:pPr>
              <w:spacing w:after="20" w:before="20"/>
            </w:pPr>
            <w:r>
              <w:rPr>
                <w:sz w:val="20"/>
                <w:szCs w:val="20"/>
              </w:rPr>
              <w:t xml:space="preserve">Reusable technical capability provided by the Core Platform and containing no business-specific logic.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An executable sequence that implements one or more capabilities.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Plug-in / Module</w:t>
            </w:r>
          </w:p>
        </w:tc>
        <w:tc>
          <w:tcPr>
            <w:tcW w:type="dxa" w:w="6679"/>
            <w:tcMar>
              <w:top w:type="dxa" w:w="60"/>
              <w:left w:type="dxa" w:w="100"/>
              <w:bottom w:type="dxa" w:w="60"/>
              <w:right w:type="dxa" w:w="100"/>
            </w:tcMar>
            <w:vAlign w:val="center"/>
          </w:tcPr>
          <w:p>
            <w:pPr>
              <w:spacing w:after="20" w:before="20"/>
            </w:pPr>
            <w:r>
              <w:rPr>
                <w:sz w:val="20"/>
                <w:szCs w:val="20"/>
              </w:rPr>
              <w:t xml:space="preserve">An independently licensable unit of business functionality that implements capabilities on top of the Core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Extension Attribute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An additional attribute contributed by a module to an SBO it does not host.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Capability-Dependent Field</w:t>
            </w:r>
          </w:p>
        </w:tc>
        <w:tc>
          <w:tcPr>
            <w:tcW w:type="dxa" w:w="6679"/>
            <w:tcMar>
              <w:top w:type="dxa" w:w="60"/>
              <w:left w:type="dxa" w:w="100"/>
              <w:bottom w:type="dxa" w:w="60"/>
              <w:right w:type="dxa" w:w="100"/>
            </w:tcMar>
            <w:vAlign w:val="center"/>
          </w:tcPr>
          <w:p>
            <w:pPr>
              <w:spacing w:after="20" w:before="20"/>
            </w:pPr>
            <w:r>
              <w:rPr>
                <w:sz w:val="20"/>
                <w:szCs w:val="20"/>
              </w:rPr>
              <w:t xml:space="preserve">A field whose existence or mandatory status depends on which capabilities are enabled.</w:t>
            </w:r>
          </w:p>
        </w:tc>
      </w:tr>
    </w:tbl>
    <w:p>
      <w:r>
        <w:br w:type="page"/>
      </w:r>
    </w:p>
    <w:p>
      <w:pPr>
        <w:pStyle w:val="Heading1"/>
        <w:spacing w:after="160" w:before="320"/>
      </w:pPr>
      <w:r>
        <w:rPr>
          <w:b/>
          <w:bCs/>
          <w:color w:val="1F4E79"/>
          <w:sz w:val="30"/>
          <w:szCs w:val="30"/>
        </w:rPr>
        <w:t xml:space="preserve">3. Architecture Vision</w:t>
      </w:r>
    </w:p>
    <w:p>
      <w:pPr>
        <w:pStyle w:val="Heading2"/>
        <w:spacing w:after="120" w:before="260"/>
      </w:pPr>
      <w:r>
        <w:rPr>
          <w:b/>
          <w:bCs/>
          <w:color w:val="2E74B5"/>
          <w:sz w:val="25"/>
          <w:szCs w:val="25"/>
        </w:rPr>
        <w:t xml:space="preserve">3.1 Vision Statement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Vision  </w:t>
      </w:r>
      <w:r>
        <w:rPr>
          <w:sz w:val="20"/>
          <w:szCs w:val="20"/>
        </w:rPr>
        <w:t xml:space="preserve">TEAIP shall be a modular enterprise platform for managing and securing all physical assets, inventory, vehicles, warehouses, facilities and the people who interact with them, through RFID, barcode, IoT, computer vision and applied artificial intelligence — where each customer licenses only the capabilities they need and adopts them at their own pace.</w:t>
      </w:r>
    </w:p>
    <w:p>
      <w:pPr>
        <w:spacing w:after="120" w:before="0"/>
      </w:pPr>
      <w:r>
        <w:t xml:space="preserve">TEAIP shall be implemented as an enterprise platform with a plug-in architecture. Business capabilities are delivered through independently licensable modules that share a single Core Platform. The Core Platform hosts all shared business objects and provides all reusable enterprise services. Modules implement business processes; they never redefine shared entities and never duplicate platform logic.</w:t>
      </w:r>
    </w:p>
    <w:p>
      <w:pPr>
        <w:pStyle w:val="Heading2"/>
        <w:spacing w:after="120" w:before="260"/>
      </w:pPr>
      <w:r>
        <w:rPr>
          <w:b/>
          <w:bCs/>
          <w:color w:val="2E74B5"/>
          <w:sz w:val="25"/>
          <w:szCs w:val="25"/>
        </w:rPr>
        <w:t xml:space="preserve">3.2 Product Positioning</w:t>
      </w:r>
    </w:p>
    <w:p>
      <w:pPr>
        <w:spacing w:after="120" w:before="0"/>
      </w:pPr>
      <w:r>
        <w:t xml:space="preserve">TEAIP shall not be positioned as an Asset Tracking System. That category is crowded and largely commoditised, and competing within it forces price-led selling against products with substantially the same feature list.</w:t>
      </w:r>
    </w:p>
    <w:p>
      <w:pPr>
        <w:spacing w:after="120" w:before="0"/>
      </w:pPr>
      <w:r>
        <w:t xml:space="preserve">TEAIP is positioned above traditional asset management systems by combining operational asset management with physical security, warehouse loading verification and visual asset intelligence. Two capabilities carry the differentiation: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Differentiator</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differentiates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Vehicle &amp; Loading Verification
(ANPR + RFID tunnel + permit comparison + anomaly detection)</w:t>
            </w:r>
          </w:p>
        </w:tc>
        <w:tc>
          <w:tcPr>
            <w:tcW w:type="dxa" w:w="5957"/>
            <w:tcMar>
              <w:top w:type="dxa" w:w="60"/>
              <w:left w:type="dxa" w:w="100"/>
              <w:bottom w:type="dxa" w:w="60"/>
              <w:right w:type="dxa" w:w="100"/>
            </w:tcMar>
            <w:vAlign w:val="center"/>
          </w:tcPr>
          <w:p>
            <w:pPr>
              <w:spacing w:after="20" w:before="20"/>
            </w:pPr>
            <w:r>
              <w:rPr>
                <w:sz w:val="20"/>
                <w:szCs w:val="20"/>
              </w:rPr>
              <w:t xml:space="preserve">Solves a high-value operational and security problem — unauthorized removal of goods from warehouses — that traditional asset management products do not address at all. It is verifiable, auditable and produces digital evidence.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
(live, color-coded digital building maps)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Most RFID asset systems deliver lists and reports. A live interactive view of real facilities with color-coded status, filtering, search, drill-down, inventory progress and automatic RFID-driven location updates is a decisive demonstration advantage and directly supports the "intelligence" positioning.</w:t>
            </w:r>
          </w:p>
        </w:tc>
      </w:tr>
    </w:tbl>
    <w:p>
      <w:pPr>
        <w:pStyle w:val="Heading2"/>
        <w:spacing w:after="120" w:before="260"/>
      </w:pPr>
      <w:r>
        <w:rPr>
          <w:b/>
          <w:bCs/>
          <w:color w:val="2E74B5"/>
          <w:sz w:val="25"/>
          <w:szCs w:val="25"/>
        </w:rPr>
        <w:t xml:space="preserve">3.3 Commercial Architecture — Custom Platform with Optional Odoo Integration</w:t>
      </w:r>
    </w:p>
    <w:p>
      <w:pPr>
        <w:spacing w:after="120" w:before="0"/>
      </w:pPr>
      <w:r>
        <w:t xml:space="preserve">TEAIP is a custom proprietary platform. Odoo is treated as an optional integration, not as an alternative architecture and not as a replacement for platform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Aspect</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Decision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Platform ownership</w:t>
            </w:r>
          </w:p>
        </w:tc>
        <w:tc>
          <w:tcPr>
            <w:tcW w:type="dxa" w:w="6860"/>
            <w:tcMar>
              <w:top w:type="dxa" w:w="60"/>
              <w:left w:type="dxa" w:w="100"/>
              <w:bottom w:type="dxa" w:w="60"/>
              <w:right w:type="dxa" w:w="100"/>
            </w:tcMar>
            <w:vAlign w:val="center"/>
          </w:tcPr>
          <w:p>
            <w:pPr>
              <w:spacing w:after="20" w:before="20"/>
            </w:pPr>
            <w:r>
              <w:rPr>
                <w:sz w:val="20"/>
                <w:szCs w:val="20"/>
              </w:rPr>
              <w:t xml:space="preserve">All asset intelligence capability — RFID, encoding, handheld operations, fixed readers, gate monitoring, ANPR, permit engine, loading verification, visual intelligence, analytics — is implemented in TEAIP and remains Trangant intellectual property.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Role of Odoo</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An optional external ERP integration for customers who already operate Odoo, or who want a lower-cost route to finance-side functionality: accounting, purchasing, vendors, payroll and general ledger.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Integration boundary</w:t>
            </w:r>
          </w:p>
        </w:tc>
        <w:tc>
          <w:tcPr>
            <w:tcW w:type="dxa" w:w="6860"/>
            <w:tcMar>
              <w:top w:type="dxa" w:w="60"/>
              <w:left w:type="dxa" w:w="100"/>
              <w:bottom w:type="dxa" w:w="60"/>
              <w:right w:type="dxa" w:w="100"/>
            </w:tcMar>
            <w:vAlign w:val="center"/>
          </w:tcPr>
          <w:p>
            <w:pPr>
              <w:spacing w:after="20" w:before="20"/>
            </w:pPr>
            <w:r>
              <w:rPr>
                <w:sz w:val="20"/>
                <w:szCs w:val="20"/>
              </w:rPr>
              <w:t xml:space="preserve">Odoo is consumed through the Integration Framework as an external system of record, exactly like SAP, Oracle or Dynamics. No platform module shall depend on Odoo being present.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authority</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Where Odoo is integrated, financial records remain authoritative in Odoo and physical asset identity, location and status remain authoritative in TEAIP. The mapping is defined per deployment.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 location</w:t>
            </w:r>
          </w:p>
        </w:tc>
        <w:tc>
          <w:tcPr>
            <w:tcW w:type="dxa" w:w="6860"/>
            <w:tcMar>
              <w:top w:type="dxa" w:w="60"/>
              <w:left w:type="dxa" w:w="100"/>
              <w:bottom w:type="dxa" w:w="60"/>
              <w:right w:type="dxa" w:w="100"/>
            </w:tcMar>
            <w:vAlign w:val="center"/>
          </w:tcPr>
          <w:p>
            <w:pPr>
              <w:spacing w:after="20" w:before="20"/>
            </w:pPr>
            <w:r>
              <w:rPr>
                <w:sz w:val="20"/>
                <w:szCs w:val="20"/>
              </w:rPr>
              <w:t xml:space="preserve">ERP adapter behavior is specified in PDS-11 — Integration Framework. Commercial packaging is specified in the CRS.</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Constraint  </w:t>
      </w:r>
      <w:r>
        <w:rPr>
          <w:sz w:val="20"/>
          <w:szCs w:val="20"/>
        </w:rPr>
        <w:t xml:space="preserve">The Core Platform shall never depend on an external ERP. Any capability that requires Odoo shall be delivered as a connector, and its absence shall degrade gracefully rather than block platform operation.</w:t>
      </w:r>
    </w:p>
    <w:p>
      <w:pPr>
        <w:pStyle w:val="Heading2"/>
        <w:spacing w:after="120" w:before="260"/>
      </w:pPr>
      <w:r>
        <w:rPr>
          <w:b/>
          <w:bCs/>
          <w:color w:val="2E74B5"/>
          <w:sz w:val="25"/>
          <w:szCs w:val="25"/>
        </w:rPr>
        <w:t xml:space="preserve">3.4 Architectural Goals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Goal</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Architectural response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G-01</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for every business entity.</w:t>
            </w:r>
          </w:p>
        </w:tc>
        <w:tc>
          <w:tcPr>
            <w:tcW w:type="dxa" w:w="4694"/>
            <w:tcMar>
              <w:top w:type="dxa" w:w="60"/>
              <w:left w:type="dxa" w:w="100"/>
              <w:bottom w:type="dxa" w:w="60"/>
              <w:right w:type="dxa" w:w="100"/>
            </w:tcMar>
            <w:vAlign w:val="center"/>
          </w:tcPr>
          <w:p>
            <w:pPr>
              <w:spacing w:after="20" w:before="20"/>
            </w:pPr>
            <w:r>
              <w:rPr>
                <w:sz w:val="20"/>
                <w:szCs w:val="20"/>
              </w:rPr>
              <w:t xml:space="preserve">Shared Business Object Model — AP-001.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duplicated business logic anywhere in the platform.</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Zero Duplicate Business Logic — AP-002.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G-03</w:t>
            </w:r>
          </w:p>
        </w:tc>
        <w:tc>
          <w:tcPr>
            <w:tcW w:type="dxa" w:w="3610"/>
            <w:tcMar>
              <w:top w:type="dxa" w:w="60"/>
              <w:left w:type="dxa" w:w="100"/>
              <w:bottom w:type="dxa" w:w="60"/>
              <w:right w:type="dxa" w:w="100"/>
            </w:tcMar>
            <w:vAlign w:val="center"/>
          </w:tcPr>
          <w:p>
            <w:pPr>
              <w:spacing w:after="20" w:before="20"/>
            </w:pPr>
            <w:r>
              <w:rPr>
                <w:sz w:val="20"/>
                <w:szCs w:val="20"/>
              </w:rPr>
              <w:t xml:space="preserve">Customers buy only what they need.</w:t>
            </w:r>
          </w:p>
        </w:tc>
        <w:tc>
          <w:tcPr>
            <w:tcW w:type="dxa" w:w="4694"/>
            <w:tcMar>
              <w:top w:type="dxa" w:w="60"/>
              <w:left w:type="dxa" w:w="100"/>
              <w:bottom w:type="dxa" w:w="60"/>
              <w:right w:type="dxa" w:w="100"/>
            </w:tcMar>
            <w:vAlign w:val="center"/>
          </w:tcPr>
          <w:p>
            <w:pPr>
              <w:spacing w:after="20" w:before="20"/>
            </w:pPr>
            <w:r>
              <w:rPr>
                <w:sz w:val="20"/>
                <w:szCs w:val="20"/>
              </w:rPr>
              <w:t xml:space="preserve">Plug-in architecture with capability-based licensing — AP-004.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Customers start small and grow without re-implementation.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 EP-001; Capability-Driven Validation — EP-002.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G-05</w:t>
            </w:r>
          </w:p>
        </w:tc>
        <w:tc>
          <w:tcPr>
            <w:tcW w:type="dxa" w:w="3610"/>
            <w:tcMar>
              <w:top w:type="dxa" w:w="60"/>
              <w:left w:type="dxa" w:w="100"/>
              <w:bottom w:type="dxa" w:w="60"/>
              <w:right w:type="dxa" w:w="100"/>
            </w:tcMar>
            <w:vAlign w:val="center"/>
          </w:tcPr>
          <w:p>
            <w:pPr>
              <w:spacing w:after="20" w:before="20"/>
            </w:pPr>
            <w:r>
              <w:rPr>
                <w:sz w:val="20"/>
                <w:szCs w:val="20"/>
              </w:rPr>
              <w:t xml:space="preserve">The platform absorbs new business areas without architectural change.</w:t>
            </w:r>
          </w:p>
        </w:tc>
        <w:tc>
          <w:tcPr>
            <w:tcW w:type="dxa" w:w="4694"/>
            <w:tcMar>
              <w:top w:type="dxa" w:w="60"/>
              <w:left w:type="dxa" w:w="100"/>
              <w:bottom w:type="dxa" w:w="60"/>
              <w:right w:type="dxa" w:w="100"/>
            </w:tcMar>
            <w:vAlign w:val="center"/>
          </w:tcPr>
          <w:p>
            <w:pPr>
              <w:spacing w:after="20" w:before="20"/>
            </w:pPr>
            <w:r>
              <w:rPr>
                <w:sz w:val="20"/>
                <w:szCs w:val="20"/>
              </w:rPr>
              <w:t xml:space="preserve">Business Domain Model — every new capability is assigned to an existing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Modules evolve independently.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Event-driven communication and API-first integration — AP-003, AP-005.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G-07</w:t>
            </w:r>
          </w:p>
        </w:tc>
        <w:tc>
          <w:tcPr>
            <w:tcW w:type="dxa" w:w="3610"/>
            <w:tcMar>
              <w:top w:type="dxa" w:w="60"/>
              <w:left w:type="dxa" w:w="100"/>
              <w:bottom w:type="dxa" w:w="60"/>
              <w:right w:type="dxa" w:w="100"/>
            </w:tcMar>
            <w:vAlign w:val="center"/>
          </w:tcPr>
          <w:p>
            <w:pPr>
              <w:spacing w:after="20" w:before="20"/>
            </w:pPr>
            <w:r>
              <w:rPr>
                <w:sz w:val="20"/>
                <w:szCs w:val="20"/>
              </w:rPr>
              <w:t xml:space="preserve">Every requirement is traceable and auditable.</w:t>
            </w:r>
          </w:p>
        </w:tc>
        <w:tc>
          <w:tcPr>
            <w:tcW w:type="dxa" w:w="4694"/>
            <w:tcMar>
              <w:top w:type="dxa" w:w="60"/>
              <w:left w:type="dxa" w:w="100"/>
              <w:bottom w:type="dxa" w:w="60"/>
              <w:right w:type="dxa" w:w="100"/>
            </w:tcMar>
            <w:vAlign w:val="center"/>
          </w:tcPr>
          <w:p>
            <w:pPr>
              <w:spacing w:after="20" w:before="20"/>
            </w:pPr>
            <w:r>
              <w:rPr>
                <w:sz w:val="20"/>
                <w:szCs w:val="20"/>
              </w:rPr>
              <w:t xml:space="preserve">Governance Standard GS-001 and the identifier scheme.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same platform serves 200 assets and 2,000,000 assets.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plus stateless, horizontally scalable platform services.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G-09</w:t>
            </w:r>
          </w:p>
        </w:tc>
        <w:tc>
          <w:tcPr>
            <w:tcW w:type="dxa" w:w="3610"/>
            <w:tcMar>
              <w:top w:type="dxa" w:w="60"/>
              <w:left w:type="dxa" w:w="100"/>
              <w:bottom w:type="dxa" w:w="60"/>
              <w:right w:type="dxa" w:w="100"/>
            </w:tcMar>
            <w:vAlign w:val="center"/>
          </w:tcPr>
          <w:p>
            <w:pPr>
              <w:spacing w:after="20" w:before="20"/>
            </w:pPr>
            <w:r>
              <w:rPr>
                <w:sz w:val="20"/>
                <w:szCs w:val="20"/>
              </w:rPr>
              <w:t xml:space="preserve">Architectural drift is prevented as the platform grows.</w:t>
            </w:r>
          </w:p>
        </w:tc>
        <w:tc>
          <w:tcPr>
            <w:tcW w:type="dxa" w:w="4694"/>
            <w:tcMar>
              <w:top w:type="dxa" w:w="60"/>
              <w:left w:type="dxa" w:w="100"/>
              <w:bottom w:type="dxa" w:w="60"/>
              <w:right w:type="dxa" w:w="100"/>
            </w:tcMar>
            <w:vAlign w:val="center"/>
          </w:tcPr>
          <w:p>
            <w:pPr>
              <w:spacing w:after="20" w:before="20"/>
            </w:pPr>
            <w:r>
              <w:rPr>
                <w:sz w:val="20"/>
                <w:szCs w:val="20"/>
              </w:rPr>
              <w:t xml:space="preserve">Frozen baseline plus mandatory Architecture Decision Records — §15.</w:t>
            </w:r>
          </w:p>
        </w:tc>
      </w:tr>
    </w:tbl>
    <w:p>
      <w:r>
        <w:br w:type="page"/>
      </w:r>
    </w:p>
    <w:p>
      <w:pPr>
        <w:pStyle w:val="Heading1"/>
        <w:spacing w:after="160" w:before="320"/>
      </w:pPr>
      <w:r>
        <w:rPr>
          <w:b/>
          <w:bCs/>
          <w:color w:val="1F4E79"/>
          <w:sz w:val="30"/>
          <w:szCs w:val="30"/>
        </w:rPr>
        <w:t xml:space="preserve">4. TEAIP Design Philosophy</w:t>
      </w:r>
    </w:p>
    <w:p>
      <w:pPr>
        <w:spacing w:after="120" w:before="0"/>
      </w:pPr>
      <w:r>
        <w:t xml:space="preserve">TEAIP is designed along five architectural dimensions. Each dimension answers a different question and produces a different deliverable. Keeping them separate removes the ambiguity present in many enterprise systems, where entities, modules, services and processes are mixed together and no single artifact can be trusted as authoritative.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32"/>
        <w:gridCol w:w="1805"/>
        <w:gridCol w:w="3791"/>
        <w:gridCol w:w="2798"/>
      </w:tblGrid>
      <w:tr>
        <w:trPr>
          <w:tblHeader/>
        </w:trPr>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Dimension</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 it answers</w:t>
            </w:r>
          </w:p>
        </w:tc>
        <w:tc>
          <w:tcPr>
            <w:tcW w:type="dxa" w:w="279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Authoritative deliverable</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D-1</w:t>
            </w:r>
          </w:p>
        </w:tc>
        <w:tc>
          <w:tcPr>
            <w:tcW w:type="dxa" w:w="1805"/>
            <w:tcMar>
              <w:top w:type="dxa" w:w="60"/>
              <w:left w:type="dxa" w:w="100"/>
              <w:bottom w:type="dxa" w:w="60"/>
              <w:right w:type="dxa" w:w="100"/>
            </w:tcMar>
            <w:vAlign w:val="center"/>
          </w:tcPr>
          <w:p>
            <w:pPr>
              <w:spacing w:after="20" w:before="20"/>
            </w:pPr>
            <w:r>
              <w:rPr>
                <w:sz w:val="20"/>
                <w:szCs w:val="20"/>
              </w:rPr>
              <w:t xml:space="preserve">Capabilities</w:t>
            </w:r>
          </w:p>
        </w:tc>
        <w:tc>
          <w:tcPr>
            <w:tcW w:type="dxa" w:w="3791"/>
            <w:tcMar>
              <w:top w:type="dxa" w:w="60"/>
              <w:left w:type="dxa" w:w="100"/>
              <w:bottom w:type="dxa" w:w="60"/>
              <w:right w:type="dxa" w:w="100"/>
            </w:tcMar>
            <w:vAlign w:val="center"/>
          </w:tcPr>
          <w:p>
            <w:pPr>
              <w:spacing w:after="20" w:before="20"/>
            </w:pPr>
            <w:r>
              <w:rPr>
                <w:sz w:val="20"/>
                <w:szCs w:val="20"/>
              </w:rPr>
              <w:t xml:space="preserve">What can the business do?</w:t>
            </w:r>
          </w:p>
        </w:tc>
        <w:tc>
          <w:tcPr>
            <w:tcW w:type="dxa" w:w="2798"/>
            <w:tcMar>
              <w:top w:type="dxa" w:w="60"/>
              <w:left w:type="dxa" w:w="100"/>
              <w:bottom w:type="dxa" w:w="60"/>
              <w:right w:type="dxa" w:w="100"/>
            </w:tcMar>
            <w:vAlign w:val="center"/>
          </w:tcPr>
          <w:p>
            <w:pPr>
              <w:spacing w:after="20" w:before="20"/>
            </w:pPr>
            <w:r>
              <w:rPr>
                <w:sz w:val="20"/>
                <w:szCs w:val="20"/>
              </w:rPr>
              <w:t xml:space="preserve">PDS-02 — Enterprise Capability Map</w:t>
            </w:r>
          </w:p>
        </w:tc>
      </w:tr>
      <w:tr>
        <w:trPr>
          <w:cantSplit/>
        </w:trPr>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D-2</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Domains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Where does a capability belong, and who hosts the business object?</w:t>
            </w:r>
          </w:p>
        </w:tc>
        <w:tc>
          <w:tcPr>
            <w:tcW w:type="dxa" w:w="2798"/>
            <w:shd w:fill="F2F2F2" w:color="auto" w:val="clear"/>
            <w:tcMar>
              <w:top w:type="dxa" w:w="60"/>
              <w:left w:type="dxa" w:w="100"/>
              <w:bottom w:type="dxa" w:w="60"/>
              <w:right w:type="dxa" w:w="100"/>
            </w:tcMar>
            <w:vAlign w:val="center"/>
          </w:tcPr>
          <w:p>
            <w:pPr>
              <w:spacing w:after="20" w:before="20"/>
            </w:pPr>
            <w:r>
              <w:rPr>
                <w:sz w:val="20"/>
                <w:szCs w:val="20"/>
              </w:rPr>
              <w:t xml:space="preserve">PDS-04 — Business Domain Model</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D-3</w:t>
            </w:r>
          </w:p>
        </w:tc>
        <w:tc>
          <w:tcPr>
            <w:tcW w:type="dxa" w:w="1805"/>
            <w:tcMar>
              <w:top w:type="dxa" w:w="60"/>
              <w:left w:type="dxa" w:w="100"/>
              <w:bottom w:type="dxa" w:w="60"/>
              <w:right w:type="dxa" w:w="100"/>
            </w:tcMar>
            <w:vAlign w:val="center"/>
          </w:tcPr>
          <w:p>
            <w:pPr>
              <w:spacing w:after="20" w:before="20"/>
            </w:pPr>
            <w:r>
              <w:rPr>
                <w:sz w:val="20"/>
                <w:szCs w:val="20"/>
              </w:rPr>
              <w:t xml:space="preserve">Business Objects</w:t>
            </w:r>
          </w:p>
        </w:tc>
        <w:tc>
          <w:tcPr>
            <w:tcW w:type="dxa" w:w="3791"/>
            <w:tcMar>
              <w:top w:type="dxa" w:w="60"/>
              <w:left w:type="dxa" w:w="100"/>
              <w:bottom w:type="dxa" w:w="60"/>
              <w:right w:type="dxa" w:w="100"/>
            </w:tcMar>
            <w:vAlign w:val="center"/>
          </w:tcPr>
          <w:p>
            <w:pPr>
              <w:spacing w:after="20" w:before="20"/>
            </w:pPr>
            <w:r>
              <w:rPr>
                <w:sz w:val="20"/>
                <w:szCs w:val="20"/>
              </w:rPr>
              <w:t xml:space="preserve">What business entities exist, and how are they defined?</w:t>
            </w:r>
          </w:p>
        </w:tc>
        <w:tc>
          <w:tcPr>
            <w:tcW w:type="dxa" w:w="2798"/>
            <w:tcMar>
              <w:top w:type="dxa" w:w="60"/>
              <w:left w:type="dxa" w:w="100"/>
              <w:bottom w:type="dxa" w:w="60"/>
              <w:right w:type="dxa" w:w="100"/>
            </w:tcMar>
            <w:vAlign w:val="center"/>
          </w:tcPr>
          <w:p>
            <w:pPr>
              <w:spacing w:after="20" w:before="20"/>
            </w:pPr>
            <w:r>
              <w:rPr>
                <w:sz w:val="20"/>
                <w:szCs w:val="20"/>
              </w:rPr>
              <w:t xml:space="preserve">PDS-05 — Shared Business Object Model</w:t>
            </w:r>
          </w:p>
        </w:tc>
      </w:tr>
      <w:tr>
        <w:trPr>
          <w:cantSplit/>
        </w:trPr>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D-4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Services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What reusable platform services are available?</w:t>
            </w:r>
          </w:p>
        </w:tc>
        <w:tc>
          <w:tcPr>
            <w:tcW w:type="dxa" w:w="2798"/>
            <w:shd w:fill="F2F2F2" w:color="auto" w:val="clear"/>
            <w:tcMar>
              <w:top w:type="dxa" w:w="60"/>
              <w:left w:type="dxa" w:w="100"/>
              <w:bottom w:type="dxa" w:w="60"/>
              <w:right w:type="dxa" w:w="100"/>
            </w:tcMar>
            <w:vAlign w:val="center"/>
          </w:tcPr>
          <w:p>
            <w:pPr>
              <w:spacing w:after="20" w:before="20"/>
            </w:pPr>
            <w:r>
              <w:rPr>
                <w:sz w:val="20"/>
                <w:szCs w:val="20"/>
              </w:rPr>
              <w:t xml:space="preserve">PDS-07 — Core Platform Services</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D-5</w:t>
            </w:r>
          </w:p>
        </w:tc>
        <w:tc>
          <w:tcPr>
            <w:tcW w:type="dxa" w:w="1805"/>
            <w:tcMar>
              <w:top w:type="dxa" w:w="60"/>
              <w:left w:type="dxa" w:w="100"/>
              <w:bottom w:type="dxa" w:w="60"/>
              <w:right w:type="dxa" w:w="100"/>
            </w:tcMar>
            <w:vAlign w:val="center"/>
          </w:tcPr>
          <w:p>
            <w:pPr>
              <w:spacing w:after="20" w:before="20"/>
            </w:pPr>
            <w:r>
              <w:rPr>
                <w:sz w:val="20"/>
                <w:szCs w:val="20"/>
              </w:rPr>
              <w:t xml:space="preserve">Processes</w:t>
            </w:r>
          </w:p>
        </w:tc>
        <w:tc>
          <w:tcPr>
            <w:tcW w:type="dxa" w:w="3791"/>
            <w:tcMar>
              <w:top w:type="dxa" w:w="60"/>
              <w:left w:type="dxa" w:w="100"/>
              <w:bottom w:type="dxa" w:w="60"/>
              <w:right w:type="dxa" w:w="100"/>
            </w:tcMar>
            <w:vAlign w:val="center"/>
          </w:tcPr>
          <w:p>
            <w:pPr>
              <w:spacing w:after="20" w:before="20"/>
            </w:pPr>
            <w:r>
              <w:rPr>
                <w:sz w:val="20"/>
                <w:szCs w:val="20"/>
              </w:rPr>
              <w:t xml:space="preserve">How is work actually executed?</w:t>
            </w:r>
          </w:p>
        </w:tc>
        <w:tc>
          <w:tcPr>
            <w:tcW w:type="dxa" w:w="2798"/>
            <w:tcMar>
              <w:top w:type="dxa" w:w="60"/>
              <w:left w:type="dxa" w:w="100"/>
              <w:bottom w:type="dxa" w:w="60"/>
              <w:right w:type="dxa" w:w="100"/>
            </w:tcMar>
            <w:vAlign w:val="center"/>
          </w:tcPr>
          <w:p>
            <w:pPr>
              <w:spacing w:after="20" w:before="20"/>
            </w:pPr>
            <w:r>
              <w:rPr>
                <w:sz w:val="20"/>
                <w:szCs w:val="20"/>
              </w:rPr>
              <w:t xml:space="preserve">CRS and the Business Process Model (BPMN)</w:t>
            </w:r>
          </w:p>
        </w:tc>
      </w:tr>
    </w:tbl>
    <w:p>
      <w:pPr>
        <w:pStyle w:val="Heading2"/>
        <w:spacing w:after="120" w:before="260"/>
      </w:pPr>
      <w:r>
        <w:rPr>
          <w:b/>
          <w:bCs/>
          <w:color w:val="2E74B5"/>
          <w:sz w:val="25"/>
          <w:szCs w:val="25"/>
        </w:rPr>
        <w:t xml:space="preserve">4.1 The critical distinction — domains own capabilities, not processes</w:t>
      </w:r>
    </w:p>
    <w:p>
      <w:pPr>
        <w:spacing w:after="120" w:before="0"/>
      </w:pPr>
      <w:r>
        <w:t xml:space="preserve">A business domain does not "own" a business object in the sense of owning the processes that act on it. A domain owns capabilities and hosts business objects.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Business Capabilities        what the business can do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Domains            where the capability belongs; hosts the objects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Shared Business Objects     the canonical entities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Platform Services           reusable technical capability</w:t>
      </w:r>
    </w:p>
    <w:p>
      <w:pPr>
        <w:spacing w:after="120" w:before="0"/>
      </w:pPr>
      <w:r>
        <w:t xml:space="preserve">Worked example. The Asset Management domain does not own "Asset" as a process boundary. It hosts the Asset business object and owns the capabilities Register Asset, Assign Asset, Transfer Asset, Dispose Asset and Inventory Asset. Those capabilities manipulate the Asset object. A different domain — Operational Logistics — owns Receiving and Loading capabilities, which also manipulate the Asset object, without hosting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Consequence  </w:t>
      </w:r>
      <w:r>
        <w:rPr>
          <w:sz w:val="20"/>
          <w:szCs w:val="20"/>
        </w:rPr>
        <w:t xml:space="preserve">Two domains may legitimately act on the same business object. Exactly one may define it. This is the substance of GR-001 and GR-002 and it is the rule that keeps the platform coherent as modules multiply.</w:t>
      </w:r>
    </w:p>
    <w:p>
      <w:pPr>
        <w:pStyle w:val="Heading2"/>
        <w:spacing w:after="120" w:before="260"/>
      </w:pPr>
      <w:r>
        <w:rPr>
          <w:b/>
          <w:bCs/>
          <w:color w:val="2E74B5"/>
          <w:sz w:val="25"/>
          <w:szCs w:val="25"/>
        </w:rPr>
        <w:t xml:space="preserve">4.2 How the dimensions constrain each other</w:t>
      </w:r>
    </w:p>
    <w:p>
      <w:pPr>
        <w:pStyle w:val="ListParagraph"/>
        <w:numPr>
          <w:ilvl w:val="0"/>
          <w:numId w:val="3"/>
        </w:numPr>
        <w:spacing w:after="60"/>
      </w:pPr>
      <w:r>
        <w:t xml:space="preserve">A capability declared in PDS-02 shall be assigned to exactly one subdomain in PDS-04.</w:t>
      </w:r>
    </w:p>
    <w:p>
      <w:pPr>
        <w:pStyle w:val="ListParagraph"/>
        <w:numPr>
          <w:ilvl w:val="0"/>
          <w:numId w:val="3"/>
        </w:numPr>
        <w:spacing w:after="60"/>
      </w:pPr>
      <w:r>
        <w:t xml:space="preserve">A business object defined in PDS-05 shall declare exactly one hosting domain from PDS-04.</w:t>
      </w:r>
    </w:p>
    <w:p>
      <w:pPr>
        <w:pStyle w:val="ListParagraph"/>
        <w:numPr>
          <w:ilvl w:val="0"/>
          <w:numId w:val="3"/>
        </w:numPr>
        <w:spacing w:after="60"/>
      </w:pPr>
      <w:r>
        <w:t xml:space="preserve">A business process specified in the CRS shall implement one or more capabilities from PDS-02.</w:t>
      </w:r>
    </w:p>
    <w:p>
      <w:pPr>
        <w:pStyle w:val="ListParagraph"/>
        <w:numPr>
          <w:ilvl w:val="0"/>
          <w:numId w:val="3"/>
        </w:numPr>
        <w:spacing w:after="60"/>
      </w:pPr>
      <w:r>
        <w:t xml:space="preserve">A platform service in PDS-07 shall contain no business logic and shall be consumable by every domain.</w:t>
      </w:r>
    </w:p>
    <w:p>
      <w:pPr>
        <w:pStyle w:val="ListParagraph"/>
        <w:numPr>
          <w:ilvl w:val="0"/>
          <w:numId w:val="3"/>
        </w:numPr>
        <w:spacing w:after="60"/>
      </w:pPr>
      <w:r>
        <w:t xml:space="preserve">A screen, API, user story or test case shall trace to a functional requirement, which shall trace to a capability.</w:t>
      </w:r>
    </w:p>
    <w:p>
      <w:r>
        <w:br w:type="page"/>
      </w:r>
    </w:p>
    <w:p>
      <w:pPr>
        <w:pStyle w:val="Heading1"/>
        <w:spacing w:after="160" w:before="320"/>
      </w:pPr>
      <w:r>
        <w:rPr>
          <w:b/>
          <w:bCs/>
          <w:color w:val="1F4E79"/>
          <w:sz w:val="30"/>
          <w:szCs w:val="30"/>
        </w:rPr>
        <w:t xml:space="preserve">5. Architecture Principles</w:t>
      </w:r>
    </w:p>
    <w:p>
      <w:pPr>
        <w:spacing w:after="120" w:before="0"/>
      </w:pPr>
      <w:r>
        <w:t xml:space="preserve">These principles are binding. They are restated in full in PDS-09 — Engineering Principles, together with the UX, development and reporting principles.</w:t>
      </w:r>
    </w:p>
    <w:p>
      <w:pPr>
        <w:pStyle w:val="Heading2"/>
        <w:spacing w:after="120" w:before="260"/>
      </w:pPr>
      <w:r>
        <w:rPr>
          <w:b/>
          <w:bCs/>
          <w:color w:val="2E74B5"/>
          <w:sz w:val="25"/>
          <w:szCs w:val="25"/>
        </w:rPr>
        <w:t xml:space="preserve">5.1 AP-001 — Shared Business Object Model (SBOM)</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spacing w:after="120" w:before="0"/>
      </w:pPr>
      <w:r>
        <w:t xml:space="preserve">Rationale. The single most common cause of failure in modular enterprise products is the same entity existing in several modules with divergent definitions, validation and identity. Once that occurs, reporting becomes unreliable, integration becomes bespoke per module, and the product can no longer be sold as a platform.</w:t>
      </w:r>
    </w:p>
    <w:p>
      <w:pPr>
        <w:spacing w:after="120" w:before="0"/>
      </w:pPr>
      <w:r>
        <w:t xml:space="preserve">Implications:</w:t>
      </w:r>
    </w:p>
    <w:p>
      <w:pPr>
        <w:pStyle w:val="ListParagraph"/>
        <w:numPr>
          <w:ilvl w:val="0"/>
          <w:numId w:val="2"/>
        </w:numPr>
        <w:spacing w:after="60"/>
      </w:pPr>
      <w:r>
        <w:t xml:space="preserve">Asset, Vehicle, Building, Employee, Permit and every other shared entity are Core Platform entities, not module entities.</w:t>
      </w:r>
    </w:p>
    <w:p>
      <w:pPr>
        <w:pStyle w:val="ListParagraph"/>
        <w:numPr>
          <w:ilvl w:val="0"/>
          <w:numId w:val="2"/>
        </w:numPr>
        <w:spacing w:after="60"/>
      </w:pPr>
      <w:r>
        <w:t xml:space="preserve">A module that needs additional attributes on a shared entity contributes an extension, which is namespaced to that module.</w:t>
      </w:r>
    </w:p>
    <w:p>
      <w:pPr>
        <w:pStyle w:val="ListParagraph"/>
        <w:numPr>
          <w:ilvl w:val="0"/>
          <w:numId w:val="2"/>
        </w:numPr>
        <w:spacing w:after="60"/>
      </w:pPr>
      <w:r>
        <w:t xml:space="preserve">Two modules that need the same concept shall use the same object. If they genuinely need different concepts, PDS-05 shall define two objects with distinct names.</w:t>
      </w:r>
    </w:p>
    <w:p>
      <w:pPr>
        <w:pStyle w:val="ListParagraph"/>
        <w:numPr>
          <w:ilvl w:val="0"/>
          <w:numId w:val="2"/>
        </w:numPr>
        <w:spacing w:after="60"/>
      </w:pPr>
      <w:r>
        <w:t xml:space="preserve">The term SBOM (Shared Business Object Model) is the adopted terminology. CBOM shall not be used.</w:t>
      </w:r>
    </w:p>
    <w:p>
      <w:pPr>
        <w:pStyle w:val="Heading2"/>
        <w:spacing w:after="120" w:before="260"/>
      </w:pPr>
      <w:r>
        <w:rPr>
          <w:b/>
          <w:bCs/>
          <w:color w:val="2E74B5"/>
          <w:sz w:val="25"/>
          <w:szCs w:val="25"/>
        </w:rPr>
        <w:t xml:space="preserve">5.2 AP-002 — Zero Duplicate Business Logic</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AP-002  </w:t>
      </w:r>
      <w:r>
        <w:rPr>
          <w:sz w:val="20"/>
          <w:szCs w:val="20"/>
        </w:rPr>
        <w:t xml:space="preserve">Any business capability required by two or more modules shall be implemented once as a reusable Core Platform Service. Plug-ins shall consume these services through published interfaces instead of implementing their own versions.</w:t>
      </w:r>
    </w:p>
    <w:p>
      <w:pPr>
        <w:spacing w:after="120" w:before="0"/>
      </w:pPr>
      <w:r>
        <w:t xml:space="preserve">Approval routing, notification, audit writing, document handling, search, numbering and reporting are therefore never re-implemented inside a module.</w:t>
      </w:r>
    </w:p>
    <w:p>
      <w:pPr>
        <w:pStyle w:val="Heading2"/>
        <w:spacing w:after="120" w:before="260"/>
      </w:pPr>
      <w:r>
        <w:rPr>
          <w:b/>
          <w:bCs/>
          <w:color w:val="2E74B5"/>
          <w:sz w:val="25"/>
          <w:szCs w:val="25"/>
        </w:rPr>
        <w:t xml:space="preserve">5.3 AP-003 — API-First Integration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AP-003  </w:t>
      </w:r>
      <w:r>
        <w:rPr>
          <w:sz w:val="20"/>
          <w:szCs w:val="20"/>
        </w:rPr>
        <w:t xml:space="preserve">Every business object and every platform service shall expose its behavior through a versioned API before any user interface consumes it. No functionality shall exist that is reachable only through the user interface.</w:t>
      </w:r>
    </w:p>
    <w:p>
      <w:pPr>
        <w:spacing w:after="120" w:before="0"/>
      </w:pPr>
      <w:r>
        <w:t xml:space="preserve">Implications: the user interface is a client of the same APIs offered to customers and partners; every capability is automatable; no hidden endpoints; API versioning is mandatory and breaking changes require a new version.</w:t>
      </w:r>
    </w:p>
    <w:p>
      <w:pPr>
        <w:pStyle w:val="Heading2"/>
        <w:spacing w:after="120" w:before="260"/>
      </w:pPr>
      <w:r>
        <w:rPr>
          <w:b/>
          <w:bCs/>
          <w:color w:val="2E74B5"/>
          <w:sz w:val="25"/>
          <w:szCs w:val="25"/>
        </w:rPr>
        <w:t xml:space="preserve">5.4 AP-004 — Plug-in First Design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plug-in's internal implementation.</w:t>
      </w:r>
    </w:p>
    <w:p>
      <w:pPr>
        <w:spacing w:after="120" w:before="0"/>
      </w:pPr>
      <w:r>
        <w:t xml:space="preserve">This principle is what makes capability-based licensing possible. A customer who licenses only Asset Lifecycle receives a coherent, fully operational product; a customer who later adds Vehicle &amp; Loading Verification receives new capability without migration.</w:t>
      </w:r>
    </w:p>
    <w:p>
      <w:pPr>
        <w:pStyle w:val="Heading2"/>
        <w:spacing w:after="120" w:before="260"/>
      </w:pPr>
      <w:r>
        <w:rPr>
          <w:b/>
          <w:bCs/>
          <w:color w:val="2E74B5"/>
          <w:sz w:val="25"/>
          <w:szCs w:val="25"/>
        </w:rPr>
        <w:t xml:space="preserve">5.5 AP-005 — Event-Driven Communication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AP-005  </w:t>
      </w:r>
      <w:r>
        <w:rPr>
          <w:sz w:val="20"/>
          <w:szCs w:val="20"/>
        </w:rPr>
        <w:t xml:space="preserve">Modules shall communicate through published domain events and public APIs only. No module shall read or write another module's data store directly.</w:t>
      </w:r>
    </w:p>
    <w:p>
      <w:pPr>
        <w:spacing w:after="120" w:before="0"/>
      </w:pPr>
      <w:r>
        <w:t xml:space="preserve">Every domain publishes a defined event catalog, specified per domain in PDS-04 §8. Consumers subscribe; producers remain unaware of consumers. This is what allows Business Intelligence to observe the entire platform without any other domain depending on it.</w:t>
      </w:r>
    </w:p>
    <w:p>
      <w:pPr>
        <w:pStyle w:val="Heading2"/>
        <w:spacing w:after="120" w:before="260"/>
      </w:pPr>
      <w:r>
        <w:rPr>
          <w:b/>
          <w:bCs/>
          <w:color w:val="2E74B5"/>
          <w:sz w:val="25"/>
          <w:szCs w:val="25"/>
        </w:rPr>
        <w:t xml:space="preserve">5.6 AP-006 — Configuration over Customization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AP-006  </w:t>
      </w:r>
      <w:r>
        <w:rPr>
          <w:sz w:val="20"/>
          <w:szCs w:val="20"/>
        </w:rPr>
        <w:t xml:space="preserve">Customer-specific behavior shall be achieved through configuration, metadata and extension attributes. Source-code branches per customer are prohibited.</w:t>
      </w:r>
    </w:p>
    <w:p>
      <w:pPr>
        <w:spacing w:after="120" w:before="0"/>
      </w:pPr>
      <w:r>
        <w:t xml:space="preserve">Lookups, numbering schemes, statuses, workflows, validation profiles, report definitions, dashboards, legends and field visibility shall all be configurable data rather than code.</w:t>
      </w:r>
    </w:p>
    <w:p>
      <w:pPr>
        <w:pStyle w:val="Heading2"/>
        <w:spacing w:after="120" w:before="260"/>
      </w:pPr>
      <w:r>
        <w:rPr>
          <w:b/>
          <w:bCs/>
          <w:color w:val="2E74B5"/>
          <w:sz w:val="25"/>
          <w:szCs w:val="25"/>
        </w:rPr>
        <w:t xml:space="preserve">5.7 AP-007 — Loose Coupling and High Cohesion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AP-007  </w:t>
      </w:r>
      <w:r>
        <w:rPr>
          <w:sz w:val="20"/>
          <w:szCs w:val="20"/>
        </w:rPr>
        <w:t xml:space="preserve">Each domain and module shall have a single, clearly stated responsibility, and dependencies between them shall be explicit, directional and documented.</w:t>
      </w:r>
    </w:p>
    <w:p>
      <w:pPr>
        <w:spacing w:after="120" w:before="0"/>
      </w:pPr>
      <w:r>
        <w:t xml:space="preserve">Cyclic dependencies between domains are prohibited. The dependency direction is fixed by the domain order in §10.</w:t>
      </w:r>
    </w:p>
    <w:p>
      <w:pPr>
        <w:pStyle w:val="Heading2"/>
        <w:spacing w:after="120" w:before="260"/>
      </w:pPr>
      <w:r>
        <w:rPr>
          <w:b/>
          <w:bCs/>
          <w:color w:val="2E74B5"/>
          <w:sz w:val="25"/>
          <w:szCs w:val="25"/>
        </w:rPr>
        <w:t xml:space="preserve">5.8 Principle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708"/>
        <w:gridCol w:w="3610"/>
        <w:gridCol w:w="1805"/>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consequence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in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AP-001</w:t>
            </w:r>
          </w:p>
        </w:tc>
        <w:tc>
          <w:tcPr>
            <w:tcW w:type="dxa" w:w="270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per entity</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Zero Duplicate Business Logic</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Shared capability becomes a platform service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PDS-07</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AP-003</w:t>
            </w:r>
          </w:p>
        </w:tc>
        <w:tc>
          <w:tcPr>
            <w:tcW w:type="dxa" w:w="2708"/>
            <w:tcMar>
              <w:top w:type="dxa" w:w="60"/>
              <w:left w:type="dxa" w:w="100"/>
              <w:bottom w:type="dxa" w:w="60"/>
              <w:right w:type="dxa" w:w="100"/>
            </w:tcMar>
            <w:vAlign w:val="center"/>
          </w:tcPr>
          <w:p>
            <w:pPr>
              <w:spacing w:after="20" w:before="20"/>
            </w:pPr>
            <w:r>
              <w:rPr>
                <w:sz w:val="20"/>
                <w:szCs w:val="20"/>
              </w:rPr>
              <w:t xml:space="preserve">API-First Integration</w:t>
            </w:r>
          </w:p>
        </w:tc>
        <w:tc>
          <w:tcPr>
            <w:tcW w:type="dxa" w:w="3610"/>
            <w:tcMar>
              <w:top w:type="dxa" w:w="60"/>
              <w:left w:type="dxa" w:w="100"/>
              <w:bottom w:type="dxa" w:w="60"/>
              <w:right w:type="dxa" w:w="100"/>
            </w:tcMar>
            <w:vAlign w:val="center"/>
          </w:tcPr>
          <w:p>
            <w:pPr>
              <w:spacing w:after="20" w:before="20"/>
            </w:pPr>
            <w:r>
              <w:rPr>
                <w:sz w:val="20"/>
                <w:szCs w:val="20"/>
              </w:rPr>
              <w:t xml:space="preserve">Every capability is automatable</w:t>
            </w:r>
          </w:p>
        </w:tc>
        <w:tc>
          <w:tcPr>
            <w:tcW w:type="dxa" w:w="1805"/>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Plug-in First Design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Capability-based licensing is possible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AP-005</w:t>
            </w:r>
          </w:p>
        </w:tc>
        <w:tc>
          <w:tcPr>
            <w:tcW w:type="dxa" w:w="2708"/>
            <w:tcMar>
              <w:top w:type="dxa" w:w="60"/>
              <w:left w:type="dxa" w:w="100"/>
              <w:bottom w:type="dxa" w:w="60"/>
              <w:right w:type="dxa" w:w="100"/>
            </w:tcMar>
            <w:vAlign w:val="center"/>
          </w:tcPr>
          <w:p>
            <w:pPr>
              <w:spacing w:after="20" w:before="20"/>
            </w:pPr>
            <w:r>
              <w:rPr>
                <w:sz w:val="20"/>
                <w:szCs w:val="20"/>
              </w:rPr>
              <w:t xml:space="preserve">Event-Driven Communication</w:t>
            </w:r>
          </w:p>
        </w:tc>
        <w:tc>
          <w:tcPr>
            <w:tcW w:type="dxa" w:w="3610"/>
            <w:tcMar>
              <w:top w:type="dxa" w:w="60"/>
              <w:left w:type="dxa" w:w="100"/>
              <w:bottom w:type="dxa" w:w="60"/>
              <w:right w:type="dxa" w:w="100"/>
            </w:tcMar>
            <w:vAlign w:val="center"/>
          </w:tcPr>
          <w:p>
            <w:pPr>
              <w:spacing w:after="20" w:before="20"/>
            </w:pPr>
            <w:r>
              <w:rPr>
                <w:sz w:val="20"/>
                <w:szCs w:val="20"/>
              </w:rPr>
              <w:t xml:space="preserve">No direct cross-module data access</w:t>
            </w:r>
          </w:p>
        </w:tc>
        <w:tc>
          <w:tcPr>
            <w:tcW w:type="dxa" w:w="1805"/>
            <w:tcMar>
              <w:top w:type="dxa" w:w="60"/>
              <w:left w:type="dxa" w:w="100"/>
              <w:bottom w:type="dxa" w:w="60"/>
              <w:right w:type="dxa" w:w="100"/>
            </w:tcMar>
            <w:vAlign w:val="center"/>
          </w:tcPr>
          <w:p>
            <w:pPr>
              <w:spacing w:after="20" w:before="20"/>
            </w:pPr>
            <w:r>
              <w:rPr>
                <w:sz w:val="20"/>
                <w:szCs w:val="20"/>
              </w:rPr>
              <w:t xml:space="preserve">PDS-04 §8</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AP-006</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Configuration over Customization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per-customer code branches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PDS-07, PDS-10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AP-007</w:t>
            </w:r>
          </w:p>
        </w:tc>
        <w:tc>
          <w:tcPr>
            <w:tcW w:type="dxa" w:w="2708"/>
            <w:tcMar>
              <w:top w:type="dxa" w:w="60"/>
              <w:left w:type="dxa" w:w="100"/>
              <w:bottom w:type="dxa" w:w="60"/>
              <w:right w:type="dxa" w:w="100"/>
            </w:tcMar>
            <w:vAlign w:val="center"/>
          </w:tcPr>
          <w:p>
            <w:pPr>
              <w:spacing w:after="20" w:before="20"/>
            </w:pPr>
            <w:r>
              <w:rPr>
                <w:sz w:val="20"/>
                <w:szCs w:val="20"/>
              </w:rPr>
              <w:t xml:space="preserve">Loose Coupling / High Cohesion</w:t>
            </w:r>
          </w:p>
        </w:tc>
        <w:tc>
          <w:tcPr>
            <w:tcW w:type="dxa" w:w="3610"/>
            <w:tcMar>
              <w:top w:type="dxa" w:w="60"/>
              <w:left w:type="dxa" w:w="100"/>
              <w:bottom w:type="dxa" w:w="60"/>
              <w:right w:type="dxa" w:w="100"/>
            </w:tcMar>
            <w:vAlign w:val="center"/>
          </w:tcPr>
          <w:p>
            <w:pPr>
              <w:spacing w:after="20" w:before="20"/>
            </w:pPr>
            <w:r>
              <w:rPr>
                <w:sz w:val="20"/>
                <w:szCs w:val="20"/>
              </w:rPr>
              <w:t xml:space="preserve">Acyclic, explicit dependencies</w:t>
            </w:r>
          </w:p>
        </w:tc>
        <w:tc>
          <w:tcPr>
            <w:tcW w:type="dxa" w:w="1805"/>
            <w:tcMar>
              <w:top w:type="dxa" w:w="60"/>
              <w:left w:type="dxa" w:w="100"/>
              <w:bottom w:type="dxa" w:w="60"/>
              <w:right w:type="dxa" w:w="100"/>
            </w:tcMar>
            <w:vAlign w:val="center"/>
          </w:tcPr>
          <w:p>
            <w:pPr>
              <w:spacing w:after="20" w:before="20"/>
            </w:pPr>
            <w:r>
              <w:rPr>
                <w:sz w:val="20"/>
                <w:szCs w:val="20"/>
              </w:rPr>
              <w:t xml:space="preserve">PDS-04 §6</w:t>
            </w:r>
          </w:p>
        </w:tc>
      </w:tr>
    </w:tbl>
    <w:p>
      <w:r>
        <w:br w:type="page"/>
      </w:r>
    </w:p>
    <w:p>
      <w:pPr>
        <w:pStyle w:val="Heading1"/>
        <w:spacing w:after="160" w:before="320"/>
      </w:pPr>
      <w:r>
        <w:rPr>
          <w:b/>
          <w:bCs/>
          <w:color w:val="1F4E79"/>
          <w:sz w:val="30"/>
          <w:szCs w:val="30"/>
        </w:rPr>
        <w:t xml:space="preserve">6. Progressive Adoption and Capability-Driven Behavior</w:t>
      </w:r>
    </w:p>
    <w:p>
      <w:pPr>
        <w:spacing w:after="120" w:before="0"/>
      </w:pPr>
      <w:r>
        <w:t xml:space="preserve">One of the largest causes of enterprise software failure is that vendors require customers to adopt a complete data model from day one. Implementation then stalls in data collection, the first productive use of the system is months away, and small and mid-sized customers are excluded entirely.</w:t>
      </w:r>
    </w:p>
    <w:p>
      <w:pPr>
        <w:spacing w:after="120" w:before="0"/>
      </w:pPr>
      <w:r>
        <w:t xml:space="preserve">TEAIP shall do the opposite. The following three principles are core platform philosophy, not merely business rules, and they are among the platform's primary competitive advantages.</w:t>
      </w:r>
    </w:p>
    <w:p>
      <w:pPr>
        <w:pStyle w:val="Heading2"/>
        <w:spacing w:after="120" w:before="260"/>
      </w:pPr>
      <w:r>
        <w:rPr>
          <w:b/>
          <w:bCs/>
          <w:color w:val="2E74B5"/>
          <w:sz w:val="25"/>
          <w:szCs w:val="25"/>
        </w:rPr>
        <w:t xml:space="preserve">6.1 EP-001 — Progressive Adoption Principle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EP-001  </w:t>
      </w:r>
      <w:r>
        <w:rPr>
          <w:sz w:val="20"/>
          <w:szCs w:val="20"/>
        </w:rPr>
        <w:t xml:space="preserve">Every business object shall support progressive enrichment. The platform shall allow organizations to start with the minimum mandatory information required to operate, and to enrich the data model over time without requiring redesign or data migration.</w:t>
      </w:r>
    </w:p>
    <w:p>
      <w:pPr>
        <w:spacing w:after="120" w:before="0"/>
      </w:pPr>
      <w:r>
        <w:t xml:space="preserve">The platform shall not require a full hierarchy before a customer can operate. Instead of demanding that a warehouse be defined as campus, site, building, floor, area, aisle, rack, shelf and bin, the platform requires only a warehouse name and code. Every further level is optional and may be introduced later.</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Day 1     Warehouse  =  Name + Code               operational</w:t>
      </w:r>
      <w:r>
        <w:rPr>
          <w:rFonts w:ascii="Consolas" w:cs="Consolas" w:eastAsia="Consolas" w:hAnsi="Consolas"/>
          <w:sz w:val="18"/>
          <w:szCs w:val="18"/>
        </w:rPr>
        <w:br/>
        <w:t xml:space="preserve">   |</w:t>
      </w:r>
      <w:r>
        <w:rPr>
          <w:rFonts w:ascii="Consolas" w:cs="Consolas" w:eastAsia="Consolas" w:hAnsi="Consolas"/>
          <w:sz w:val="18"/>
          <w:szCs w:val="18"/>
        </w:rPr>
        <w:br/>
        <w:t xml:space="preserve">   +--- later ---&gt; enable Warehouse Areas         nothing breaks</w:t>
      </w:r>
      <w:r>
        <w:rPr>
          <w:rFonts w:ascii="Consolas" w:cs="Consolas" w:eastAsia="Consolas" w:hAnsi="Consolas"/>
          <w:sz w:val="18"/>
          <w:szCs w:val="18"/>
        </w:rPr>
        <w:br/>
        <w:t xml:space="preserve">   +--- later ---&gt; enable Storage Locations       nothing breaks</w:t>
      </w:r>
      <w:r>
        <w:rPr>
          <w:rFonts w:ascii="Consolas" w:cs="Consolas" w:eastAsia="Consolas" w:hAnsi="Consolas"/>
          <w:sz w:val="18"/>
          <w:szCs w:val="18"/>
        </w:rPr>
        <w:br/>
        <w:t xml:space="preserve">   +--- later ---&gt; enable Bins                    nothing breaks</w:t>
      </w:r>
      <w:r>
        <w:rPr>
          <w:rFonts w:ascii="Consolas" w:cs="Consolas" w:eastAsia="Consolas" w:hAnsi="Consolas"/>
          <w:sz w:val="18"/>
          <w:szCs w:val="18"/>
        </w:rPr>
        <w:br/>
        <w:t xml:space="preserve">   +--- later ---&gt; enable RFID Zones              nothing breaks</w:t>
      </w:r>
      <w:r>
        <w:rPr>
          <w:rFonts w:ascii="Consolas" w:cs="Consolas" w:eastAsia="Consolas" w:hAnsi="Consolas"/>
          <w:sz w:val="18"/>
          <w:szCs w:val="18"/>
        </w:rPr>
        <w:br/>
        <w:t xml:space="preserve">   +--- later ---&gt; enable Indoor Maps             nothing breaks</w:t>
      </w:r>
    </w:p>
    <w:p>
      <w:pPr>
        <w:spacing w:after="120" w:before="0"/>
      </w:pPr>
      <w:r>
        <w:t xml:space="preserve">This principle applies to every business object without exception.</w:t>
      </w:r>
    </w:p>
    <w:p>
      <w:pPr>
        <w:pStyle w:val="Heading3"/>
        <w:spacing w:after="100" w:before="200"/>
      </w:pPr>
      <w:r>
        <w:rPr>
          <w:b/>
          <w:bCs/>
          <w:color w:val="404040"/>
          <w:sz w:val="22"/>
          <w:szCs w:val="22"/>
        </w:rPr>
        <w:t xml:space="preserve">6.1.1 Minimum viable object definitions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347"/>
        <w:gridCol w:w="5054"/>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Minimum mandatory data</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Examples of progressive enrichment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Warehouse</w:t>
            </w:r>
          </w:p>
        </w:tc>
        <w:tc>
          <w:tcPr>
            <w:tcW w:type="dxa" w:w="2347"/>
            <w:tcMar>
              <w:top w:type="dxa" w:w="60"/>
              <w:left w:type="dxa" w:w="100"/>
              <w:bottom w:type="dxa" w:w="60"/>
              <w:right w:type="dxa" w:w="100"/>
            </w:tcMar>
            <w:vAlign w:val="center"/>
          </w:tcPr>
          <w:p>
            <w:pPr>
              <w:spacing w:after="20" w:before="20"/>
            </w:pPr>
            <w:r>
              <w:rPr>
                <w:sz w:val="20"/>
                <w:szCs w:val="20"/>
              </w:rPr>
              <w:t xml:space="preserve">Name, Code</w:t>
            </w:r>
          </w:p>
        </w:tc>
        <w:tc>
          <w:tcPr>
            <w:tcW w:type="dxa" w:w="5054"/>
            <w:tcMar>
              <w:top w:type="dxa" w:w="60"/>
              <w:left w:type="dxa" w:w="100"/>
              <w:bottom w:type="dxa" w:w="60"/>
              <w:right w:type="dxa" w:w="100"/>
            </w:tcMar>
            <w:vAlign w:val="center"/>
          </w:tcPr>
          <w:p>
            <w:pPr>
              <w:spacing w:after="20" w:before="20"/>
            </w:pPr>
            <w:r>
              <w:rPr>
                <w:sz w:val="20"/>
                <w:szCs w:val="20"/>
              </w:rPr>
              <w:t xml:space="preserve">Areas, storage locations, bins, RFID zones, indoor maps, dock and bay definitions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RFID tag, barcode, warranty, photographs, supplier, purchase details, depreciation, coordinates, custom attributes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Building</w:t>
            </w:r>
          </w:p>
        </w:tc>
        <w:tc>
          <w:tcPr>
            <w:tcW w:type="dxa" w:w="2347"/>
            <w:tcMar>
              <w:top w:type="dxa" w:w="60"/>
              <w:left w:type="dxa" w:w="100"/>
              <w:bottom w:type="dxa" w:w="60"/>
              <w:right w:type="dxa" w:w="100"/>
            </w:tcMar>
            <w:vAlign w:val="center"/>
          </w:tcPr>
          <w:p>
            <w:pPr>
              <w:spacing w:after="20" w:before="20"/>
            </w:pPr>
            <w:r>
              <w:rPr>
                <w:sz w:val="20"/>
                <w:szCs w:val="20"/>
              </w:rPr>
              <w:t xml:space="preserve">Name</w:t>
            </w:r>
          </w:p>
        </w:tc>
        <w:tc>
          <w:tcPr>
            <w:tcW w:type="dxa" w:w="5054"/>
            <w:tcMar>
              <w:top w:type="dxa" w:w="60"/>
              <w:left w:type="dxa" w:w="100"/>
              <w:bottom w:type="dxa" w:w="60"/>
              <w:right w:type="dxa" w:w="100"/>
            </w:tcMar>
            <w:vAlign w:val="center"/>
          </w:tcPr>
          <w:p>
            <w:pPr>
              <w:spacing w:after="20" w:before="20"/>
            </w:pPr>
            <w:r>
              <w:rPr>
                <w:sz w:val="20"/>
                <w:szCs w:val="20"/>
              </w:rPr>
              <w:t xml:space="preserve">Site, campus, floors, rooms, zones, floor plans, coordinates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Department, manager, job title, cost center, badge, linked user account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Plate Number</w:t>
            </w:r>
          </w:p>
        </w:tc>
        <w:tc>
          <w:tcPr>
            <w:tcW w:type="dxa" w:w="5054"/>
            <w:tcMar>
              <w:top w:type="dxa" w:w="60"/>
              <w:left w:type="dxa" w:w="100"/>
              <w:bottom w:type="dxa" w:w="60"/>
              <w:right w:type="dxa" w:w="100"/>
            </w:tcMar>
            <w:vAlign w:val="center"/>
          </w:tcPr>
          <w:p>
            <w:pPr>
              <w:spacing w:after="20" w:before="20"/>
            </w:pPr>
            <w:r>
              <w:rPr>
                <w:sz w:val="20"/>
                <w:szCs w:val="20"/>
              </w:rPr>
              <w:t xml:space="preserve">Type, owner, contractor, driver, permits, RFID tag, entry/exit history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Permit Number, Status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Type, validity window, authorized item list, approvals, linked shipment, evidence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Organization</w:t>
            </w:r>
          </w:p>
        </w:tc>
        <w:tc>
          <w:tcPr>
            <w:tcW w:type="dxa" w:w="2347"/>
            <w:tcMar>
              <w:top w:type="dxa" w:w="60"/>
              <w:left w:type="dxa" w:w="100"/>
              <w:bottom w:type="dxa" w:w="60"/>
              <w:right w:type="dxa" w:w="100"/>
            </w:tcMar>
            <w:vAlign w:val="center"/>
          </w:tcPr>
          <w:p>
            <w:pPr>
              <w:spacing w:after="20" w:before="20"/>
            </w:pPr>
            <w:r>
              <w:rPr>
                <w:sz w:val="20"/>
                <w:szCs w:val="20"/>
              </w:rPr>
              <w:t xml:space="preserve">Name</w:t>
            </w:r>
          </w:p>
        </w:tc>
        <w:tc>
          <w:tcPr>
            <w:tcW w:type="dxa" w:w="5054"/>
            <w:tcMar>
              <w:top w:type="dxa" w:w="60"/>
              <w:left w:type="dxa" w:w="100"/>
              <w:bottom w:type="dxa" w:w="60"/>
              <w:right w:type="dxa" w:w="100"/>
            </w:tcMar>
            <w:vAlign w:val="center"/>
          </w:tcPr>
          <w:p>
            <w:pPr>
              <w:spacing w:after="20" w:before="20"/>
            </w:pPr>
            <w:r>
              <w:rPr>
                <w:sz w:val="20"/>
                <w:szCs w:val="20"/>
              </w:rPr>
              <w:t xml:space="preserve">Business units, departments, cost centers, hierarchy, parent organization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Location (generic)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Parent location, type, coordinates, floor plan reference, RFID zone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Adoption target  </w:t>
      </w:r>
      <w:r>
        <w:rPr>
          <w:sz w:val="20"/>
          <w:szCs w:val="20"/>
        </w:rPr>
        <w:t xml:space="preserve">A customer shall be able to create an organization, create one warehouse with a name and code, create one asset with a name and type, and begin using the system productively. Everything else is added progressively. This makes TEAIP suitable for a 200-asset company and a 2,000,000-asset multinational without changing the platform.</w:t>
      </w:r>
    </w:p>
    <w:p>
      <w:pPr>
        <w:pStyle w:val="Heading2"/>
        <w:spacing w:after="120" w:before="260"/>
      </w:pPr>
      <w:r>
        <w:rPr>
          <w:b/>
          <w:bCs/>
          <w:color w:val="2E74B5"/>
          <w:sz w:val="25"/>
          <w:szCs w:val="25"/>
        </w:rPr>
        <w:t xml:space="preserve">6.2 EP-002 — Capability-Driven Validation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EP-002  </w:t>
      </w:r>
      <w:r>
        <w:rPr>
          <w:sz w:val="20"/>
          <w:szCs w:val="20"/>
        </w:rPr>
        <w:t xml:space="preserve">Validation rules shall be driven by enabled capabilities rather than hardcoded globally.</w:t>
      </w:r>
    </w:p>
    <w:p>
      <w:pPr>
        <w:spacing w:after="120" w:before="0"/>
      </w:pPr>
      <w:r>
        <w:t xml:space="preserve">A field shall be mandatory because the customer's configuration requires it, never because the platform arbitrarily requires it. Where a capability is not licensed or not enabled, its data shall not merely be optional — it shall be absent from the user interface entirely.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49"/>
        <w:gridCol w:w="5777"/>
      </w:tblGrid>
      <w:tr>
        <w:trPr>
          <w:tblHeader/>
        </w:trPr>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Condition</w:t>
            </w:r>
          </w:p>
        </w:tc>
        <w:tc>
          <w:tcPr>
            <w:tcW w:type="dxa" w:w="577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platform behavior</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Visual Asset Intelligence not installed</w:t>
            </w:r>
          </w:p>
        </w:tc>
        <w:tc>
          <w:tcPr>
            <w:tcW w:type="dxa" w:w="5777"/>
            <w:tcMar>
              <w:top w:type="dxa" w:w="60"/>
              <w:left w:type="dxa" w:w="100"/>
              <w:bottom w:type="dxa" w:w="60"/>
              <w:right w:type="dxa" w:w="100"/>
            </w:tcMar>
            <w:vAlign w:val="center"/>
          </w:tcPr>
          <w:p>
            <w:pPr>
              <w:spacing w:after="20" w:before="20"/>
            </w:pPr>
            <w:r>
              <w:rPr>
                <w:sz w:val="20"/>
                <w:szCs w:val="20"/>
              </w:rPr>
              <w:t xml:space="preserve">Coordinates, floor plans and building maps shall never be mandatory, and shall not appear on any screen.</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RFID capability not installed</w:t>
            </w:r>
          </w:p>
        </w:tc>
        <w:tc>
          <w:tcPr>
            <w:tcW w:type="dxa" w:w="5777"/>
            <w:shd w:fill="F2F2F2" w:color="auto" w:val="clear"/>
            <w:tcMar>
              <w:top w:type="dxa" w:w="60"/>
              <w:left w:type="dxa" w:w="100"/>
              <w:bottom w:type="dxa" w:w="60"/>
              <w:right w:type="dxa" w:w="100"/>
            </w:tcMar>
            <w:vAlign w:val="center"/>
          </w:tcPr>
          <w:p>
            <w:pPr>
              <w:spacing w:after="20" w:before="20"/>
            </w:pPr>
            <w:r>
              <w:rPr>
                <w:sz w:val="20"/>
                <w:szCs w:val="20"/>
              </w:rPr>
              <w:t xml:space="preserve">RFID tag shall never be mandatory, and RFID encoding screens shall not be presented.</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Warehouse module not installed</w:t>
            </w:r>
          </w:p>
        </w:tc>
        <w:tc>
          <w:tcPr>
            <w:tcW w:type="dxa" w:w="5777"/>
            <w:tcMar>
              <w:top w:type="dxa" w:w="60"/>
              <w:left w:type="dxa" w:w="100"/>
              <w:bottom w:type="dxa" w:w="60"/>
              <w:right w:type="dxa" w:w="100"/>
            </w:tcMar>
            <w:vAlign w:val="center"/>
          </w:tcPr>
          <w:p>
            <w:pPr>
              <w:spacing w:after="20" w:before="20"/>
            </w:pPr>
            <w:r>
              <w:rPr>
                <w:sz w:val="20"/>
                <w:szCs w:val="20"/>
              </w:rPr>
              <w:t xml:space="preserve">Storage bin shall not exist in the user interface at all.</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 not installed</w:t>
            </w:r>
          </w:p>
        </w:tc>
        <w:tc>
          <w:tcPr>
            <w:tcW w:type="dxa" w:w="5777"/>
            <w:shd w:fill="F2F2F2" w:color="auto" w:val="clear"/>
            <w:tcMar>
              <w:top w:type="dxa" w:w="60"/>
              <w:left w:type="dxa" w:w="100"/>
              <w:bottom w:type="dxa" w:w="60"/>
              <w:right w:type="dxa" w:w="100"/>
            </w:tcMar>
            <w:vAlign w:val="center"/>
          </w:tcPr>
          <w:p>
            <w:pPr>
              <w:spacing w:after="20" w:before="20"/>
            </w:pPr>
            <w:r>
              <w:rPr>
                <w:sz w:val="20"/>
                <w:szCs w:val="20"/>
              </w:rPr>
              <w:t xml:space="preserve">Permit, ANPR and tunnel verification data shall not be requested anywhere.</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Depreciation not enabled</w:t>
            </w:r>
          </w:p>
        </w:tc>
        <w:tc>
          <w:tcPr>
            <w:tcW w:type="dxa" w:w="5777"/>
            <w:tcMar>
              <w:top w:type="dxa" w:w="60"/>
              <w:left w:type="dxa" w:w="100"/>
              <w:bottom w:type="dxa" w:w="60"/>
              <w:right w:type="dxa" w:w="100"/>
            </w:tcMar>
            <w:vAlign w:val="center"/>
          </w:tcPr>
          <w:p>
            <w:pPr>
              <w:spacing w:after="20" w:before="20"/>
            </w:pPr>
            <w:r>
              <w:rPr>
                <w:sz w:val="20"/>
                <w:szCs w:val="20"/>
              </w:rPr>
              <w:t xml:space="preserve">Purchase value, useful life and depreciation method shall not be mandatory.</w:t>
            </w:r>
          </w:p>
        </w:tc>
      </w:tr>
    </w:tbl>
    <w:p>
      <w:pPr>
        <w:pStyle w:val="Heading3"/>
        <w:spacing w:after="100" w:before="200"/>
      </w:pPr>
      <w:r>
        <w:rPr>
          <w:b/>
          <w:bCs/>
          <w:color w:val="404040"/>
          <w:sz w:val="22"/>
          <w:szCs w:val="22"/>
        </w:rPr>
        <w:t xml:space="preserve">6.2.1 Worked examples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888"/>
        <w:gridCol w:w="4874"/>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Customer</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Enabled capabilities</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Mandatory data on asset creation</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Customer A</w:t>
            </w:r>
          </w:p>
        </w:tc>
        <w:tc>
          <w:tcPr>
            <w:tcW w:type="dxa" w:w="2888"/>
            <w:tcMar>
              <w:top w:type="dxa" w:w="60"/>
              <w:left w:type="dxa" w:w="100"/>
              <w:bottom w:type="dxa" w:w="60"/>
              <w:right w:type="dxa" w:w="100"/>
            </w:tcMar>
            <w:vAlign w:val="center"/>
          </w:tcPr>
          <w:p>
            <w:pPr>
              <w:spacing w:after="20" w:before="20"/>
            </w:pPr>
            <w:r>
              <w:rPr>
                <w:sz w:val="20"/>
                <w:szCs w:val="20"/>
              </w:rPr>
              <w:t xml:space="preserve">Asset Lifecycle only</w:t>
            </w:r>
          </w:p>
        </w:tc>
        <w:tc>
          <w:tcPr>
            <w:tcW w:type="dxa" w:w="4874"/>
            <w:tcMar>
              <w:top w:type="dxa" w:w="60"/>
              <w:left w:type="dxa" w:w="100"/>
              <w:bottom w:type="dxa" w:w="60"/>
              <w:right w:type="dxa" w:w="100"/>
            </w:tcMar>
            <w:vAlign w:val="center"/>
          </w:tcPr>
          <w:p>
            <w:pPr>
              <w:spacing w:after="20" w:before="20"/>
            </w:pPr>
            <w:r>
              <w:rPr>
                <w:sz w:val="20"/>
                <w:szCs w:val="20"/>
              </w:rPr>
              <w:t xml:space="preserve">Name, Type, Status. Nothing further.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Customer B</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Lifecycle + RFID</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Name, Type, Status, RFID Tag — because their configuration requires it, not because the platform does.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Customer C</w:t>
            </w:r>
          </w:p>
        </w:tc>
        <w:tc>
          <w:tcPr>
            <w:tcW w:type="dxa" w:w="2888"/>
            <w:tcMar>
              <w:top w:type="dxa" w:w="60"/>
              <w:left w:type="dxa" w:w="100"/>
              <w:bottom w:type="dxa" w:w="60"/>
              <w:right w:type="dxa" w:w="100"/>
            </w:tcMar>
            <w:vAlign w:val="center"/>
          </w:tcPr>
          <w:p>
            <w:pPr>
              <w:spacing w:after="20" w:before="20"/>
            </w:pPr>
            <w:r>
              <w:rPr>
                <w:sz w:val="20"/>
                <w:szCs w:val="20"/>
              </w:rPr>
              <w:t xml:space="preserve">Asset Lifecycle + Warehouse + Visual Maps</w:t>
            </w:r>
          </w:p>
        </w:tc>
        <w:tc>
          <w:tcPr>
            <w:tcW w:type="dxa" w:w="4874"/>
            <w:tcMar>
              <w:top w:type="dxa" w:w="60"/>
              <w:left w:type="dxa" w:w="100"/>
              <w:bottom w:type="dxa" w:w="60"/>
              <w:right w:type="dxa" w:w="100"/>
            </w:tcMar>
            <w:vAlign w:val="center"/>
          </w:tcPr>
          <w:p>
            <w:pPr>
              <w:spacing w:after="20" w:before="20"/>
            </w:pPr>
            <w:r>
              <w:rPr>
                <w:sz w:val="20"/>
                <w:szCs w:val="20"/>
              </w:rPr>
              <w:t xml:space="preserve">Name, Type, Status, Storage Location, and Coordinates only where the visual capability is actually used.</w:t>
            </w:r>
          </w:p>
        </w:tc>
      </w:tr>
    </w:tbl>
    <w:p>
      <w:pPr>
        <w:pStyle w:val="Heading2"/>
        <w:spacing w:after="120" w:before="260"/>
      </w:pPr>
      <w:r>
        <w:rPr>
          <w:b/>
          <w:bCs/>
          <w:color w:val="2E74B5"/>
          <w:sz w:val="25"/>
          <w:szCs w:val="25"/>
        </w:rPr>
        <w:t xml:space="preserve">6.3 EP-003 — Progressive Disclosure (User Interface)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EP-003  </w:t>
      </w:r>
      <w:r>
        <w:rPr>
          <w:sz w:val="20"/>
          <w:szCs w:val="20"/>
        </w:rPr>
        <w:t xml:space="preserve">User interfaces shall present only the information necessary for the current task, while allowing advanced information to be revealed on demand.</w:t>
      </w:r>
    </w:p>
    <w:p>
      <w:pPr>
        <w:spacing w:after="120" w:before="0"/>
      </w:pPr>
      <w:r>
        <w:t xml:space="preserve">Every screen shall support a Basic mode and an Advanced mode. Basic mode presents the minimum viable object definition; a single explicit action reveals the remaining fields.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Asset screen — Basic                Asset screen — Advanced</w:t>
      </w:r>
      <w:r>
        <w:rPr>
          <w:rFonts w:ascii="Consolas" w:cs="Consolas" w:eastAsia="Consolas" w:hAnsi="Consolas"/>
          <w:sz w:val="18"/>
          <w:szCs w:val="18"/>
        </w:rPr>
        <w:br/>
        <w:t xml:space="preserve">  Name                                RFID tag</w:t>
      </w:r>
      <w:r>
        <w:rPr>
          <w:rFonts w:ascii="Consolas" w:cs="Consolas" w:eastAsia="Consolas" w:hAnsi="Consolas"/>
          <w:sz w:val="18"/>
          <w:szCs w:val="18"/>
        </w:rPr>
        <w:br/>
        <w:t xml:space="preserve">  Asset Type                          Barcode</w:t>
      </w:r>
      <w:r>
        <w:rPr>
          <w:rFonts w:ascii="Consolas" w:cs="Consolas" w:eastAsia="Consolas" w:hAnsi="Consolas"/>
          <w:sz w:val="18"/>
          <w:szCs w:val="18"/>
        </w:rPr>
        <w:br/>
        <w:t xml:space="preserve">  Status                              Warranty</w:t>
      </w:r>
      <w:r>
        <w:rPr>
          <w:rFonts w:ascii="Consolas" w:cs="Consolas" w:eastAsia="Consolas" w:hAnsi="Consolas"/>
          <w:sz w:val="18"/>
          <w:szCs w:val="18"/>
        </w:rPr>
        <w:br/>
        <w:t xml:space="preserve">                                      Supplier / purchase details</w:t>
      </w:r>
      <w:r>
        <w:rPr>
          <w:rFonts w:ascii="Consolas" w:cs="Consolas" w:eastAsia="Consolas" w:hAnsi="Consolas"/>
          <w:sz w:val="18"/>
          <w:szCs w:val="18"/>
        </w:rPr>
        <w:br/>
        <w:t xml:space="preserve">  [ Show more ]  -------------&gt;       Coordinates</w:t>
      </w:r>
      <w:r>
        <w:rPr>
          <w:rFonts w:ascii="Consolas" w:cs="Consolas" w:eastAsia="Consolas" w:hAnsi="Consolas"/>
          <w:sz w:val="18"/>
          <w:szCs w:val="18"/>
        </w:rPr>
        <w:br/>
        <w:t xml:space="preserve">                                      Insurance</w:t>
      </w:r>
      <w:r>
        <w:rPr>
          <w:rFonts w:ascii="Consolas" w:cs="Consolas" w:eastAsia="Consolas" w:hAnsi="Consolas"/>
          <w:sz w:val="18"/>
          <w:szCs w:val="18"/>
        </w:rPr>
        <w:br/>
        <w:t xml:space="preserve">                                      Custom fields</w:t>
      </w:r>
    </w:p>
    <w:p>
      <w:pPr>
        <w:spacing w:after="120" w:before="0"/>
      </w:pPr>
      <w:r>
        <w:t xml:space="preserve">This is not cosmetic. A screen with fifty fields, most of them irrelevant to the customer's configuration, is the practical reason implementations stall. Progressive disclosure is therefore an architectural requirement, specified in full in PDS-10 — UI/UX Design System.</w:t>
      </w:r>
    </w:p>
    <w:p>
      <w:pPr>
        <w:pStyle w:val="Heading2"/>
        <w:spacing w:after="120" w:before="260"/>
      </w:pPr>
      <w:r>
        <w:rPr>
          <w:b/>
          <w:bCs/>
          <w:color w:val="2E74B5"/>
          <w:sz w:val="25"/>
          <w:szCs w:val="25"/>
        </w:rPr>
        <w:t xml:space="preserve">6.4 Data Classification Model</w:t>
      </w:r>
    </w:p>
    <w:p>
      <w:pPr>
        <w:spacing w:after="120" w:before="0"/>
      </w:pPr>
      <w:r>
        <w:t xml:space="preserve">EP-001 and EP-002 are implemented through a four-level classification applied to every attribute of every business object. Every object in PDS-05 shall carry this classification for every attribute.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3430"/>
        <w:gridCol w:w="361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Required</w:t>
            </w:r>
          </w:p>
        </w:tc>
        <w:tc>
          <w:tcPr>
            <w:tcW w:type="dxa" w:w="3430"/>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610"/>
            <w:tcMar>
              <w:top w:type="dxa" w:w="60"/>
              <w:left w:type="dxa" w:w="100"/>
              <w:bottom w:type="dxa" w:w="60"/>
              <w:right w:type="dxa" w:w="100"/>
            </w:tcMar>
            <w:vAlign w:val="center"/>
          </w:tcPr>
          <w:p>
            <w:pPr>
              <w:spacing w:after="20" w:before="20"/>
            </w:pPr>
            <w:r>
              <w:rPr>
                <w:sz w:val="20"/>
                <w:szCs w:val="20"/>
              </w:rPr>
              <w:t xml:space="preserve">Enforced always, in every configuration. Cannot be disabled.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Strongly improves platform value but is not needed to operate.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Surfaced in Basic mode, flagged in data-quality reporting, never blocking.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Optional</w:t>
            </w:r>
          </w:p>
        </w:tc>
        <w:tc>
          <w:tcPr>
            <w:tcW w:type="dxa" w:w="3430"/>
            <w:tcMar>
              <w:top w:type="dxa" w:w="60"/>
              <w:left w:type="dxa" w:w="100"/>
              <w:bottom w:type="dxa" w:w="60"/>
              <w:right w:type="dxa" w:w="100"/>
            </w:tcMar>
            <w:vAlign w:val="center"/>
          </w:tcPr>
          <w:p>
            <w:pPr>
              <w:spacing w:after="20" w:before="20"/>
            </w:pPr>
            <w:r>
              <w:rPr>
                <w:sz w:val="20"/>
                <w:szCs w:val="20"/>
              </w:rPr>
              <w:t xml:space="preserve">Useful to some organizations.</w:t>
            </w:r>
          </w:p>
        </w:tc>
        <w:tc>
          <w:tcPr>
            <w:tcW w:type="dxa" w:w="3610"/>
            <w:tcMar>
              <w:top w:type="dxa" w:w="60"/>
              <w:left w:type="dxa" w:w="100"/>
              <w:bottom w:type="dxa" w:w="60"/>
              <w:right w:type="dxa" w:w="100"/>
            </w:tcMar>
            <w:vAlign w:val="center"/>
          </w:tcPr>
          <w:p>
            <w:pPr>
              <w:spacing w:after="20" w:before="20"/>
            </w:pPr>
            <w:r>
              <w:rPr>
                <w:sz w:val="20"/>
                <w:szCs w:val="20"/>
              </w:rPr>
              <w:t xml:space="preserve">Available in Advanced mode. Never enforced.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Hidden entirely when the capability is absent; may become Required when the capability is enabled and the customer's validation profile demands it.</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Database consequence  </w:t>
      </w:r>
      <w:r>
        <w:rPr>
          <w:sz w:val="20"/>
          <w:szCs w:val="20"/>
        </w:rPr>
        <w:t xml:space="preserve">The physical model shall not be built from fifty mandatory columns. Nullability, validation and user-interface visibility are all derived from this classification plus the enabled capability set, held as configuration rather than code.</w:t>
      </w:r>
    </w:p>
    <w:p>
      <w:pPr>
        <w:pStyle w:val="Heading2"/>
        <w:spacing w:after="120" w:before="260"/>
      </w:pPr>
      <w:r>
        <w:rPr>
          <w:b/>
          <w:bCs/>
          <w:color w:val="2E74B5"/>
          <w:sz w:val="25"/>
          <w:szCs w:val="25"/>
        </w:rPr>
        <w:t xml:space="preserve">6.5 Core Platform obligations arising from EP-001 and EP-002</w:t>
      </w:r>
    </w:p>
    <w:p>
      <w:pPr>
        <w:spacing w:after="120" w:before="0"/>
      </w:pPr>
      <w:r>
        <w:t xml:space="preserve">The Core Platform shall provide the following, so that no module implements progressive behavior independently:</w:t>
      </w:r>
    </w:p>
    <w:p>
      <w:pPr>
        <w:pStyle w:val="ListParagraph"/>
        <w:numPr>
          <w:ilvl w:val="0"/>
          <w:numId w:val="3"/>
        </w:numPr>
        <w:spacing w:after="60"/>
      </w:pPr>
      <w:r>
        <w:t xml:space="preserve">A capability registry recording which capabilities are licensed and enabled per tenant.</w:t>
      </w:r>
    </w:p>
    <w:p>
      <w:pPr>
        <w:pStyle w:val="ListParagraph"/>
        <w:numPr>
          <w:ilvl w:val="0"/>
          <w:numId w:val="3"/>
        </w:numPr>
        <w:spacing w:after="60"/>
      </w:pPr>
      <w:r>
        <w:t xml:space="preserve">A validation service that resolves the effective mandatory field set from the object definition, the enabled capabilities and the tenant validation profile.</w:t>
      </w:r>
    </w:p>
    <w:p>
      <w:pPr>
        <w:pStyle w:val="ListParagraph"/>
        <w:numPr>
          <w:ilvl w:val="0"/>
          <w:numId w:val="3"/>
        </w:numPr>
        <w:spacing w:after="60"/>
      </w:pPr>
      <w:r>
        <w:t xml:space="preserve">A metadata service that drives user-interface field visibility and Basic/Advanced grouping from the same source.</w:t>
      </w:r>
    </w:p>
    <w:p>
      <w:pPr>
        <w:pStyle w:val="ListParagraph"/>
        <w:numPr>
          <w:ilvl w:val="0"/>
          <w:numId w:val="3"/>
        </w:numPr>
        <w:spacing w:after="60"/>
      </w:pPr>
      <w:r>
        <w:t xml:space="preserve">A schema-evolution guarantee: enabling a capability shall add structure without migrating or invalidating existing records.</w:t>
      </w:r>
    </w:p>
    <w:p>
      <w:pPr>
        <w:pStyle w:val="ListParagraph"/>
        <w:numPr>
          <w:ilvl w:val="0"/>
          <w:numId w:val="3"/>
        </w:numPr>
        <w:spacing w:after="60"/>
      </w:pPr>
      <w:r>
        <w:t xml:space="preserve">A data-quality service that reports on unpopulated Recommended fields without blocking operations.</w:t>
      </w:r>
    </w:p>
    <w:p>
      <w:r>
        <w:br w:type="page"/>
      </w:r>
    </w:p>
    <w:p>
      <w:pPr>
        <w:pStyle w:val="Heading1"/>
        <w:spacing w:after="160" w:before="320"/>
      </w:pPr>
      <w:r>
        <w:rPr>
          <w:b/>
          <w:bCs/>
          <w:color w:val="1F4E79"/>
          <w:sz w:val="30"/>
          <w:szCs w:val="30"/>
        </w:rPr>
        <w:t xml:space="preserve">7. Core Platform Ownership</w:t>
      </w:r>
    </w:p>
    <w:p>
      <w:pPr>
        <w:spacing w:after="120" w:before="0"/>
      </w:pPr>
      <w:r>
        <w:t xml:space="preserve">The Core Platform owns all enterprise master data and all shared services. The table below is the authoritative ownership statement at foundation level; PDS-04 assigns each group to a business domain and PDS-05 defines each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874"/>
        <w:gridCol w:w="216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Group</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Core-owned shared entities and services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 (PDS-04)</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4874"/>
            <w:tcMar>
              <w:top w:type="dxa" w:w="60"/>
              <w:left w:type="dxa" w:w="100"/>
              <w:bottom w:type="dxa" w:w="60"/>
              <w:right w:type="dxa" w:w="100"/>
            </w:tcMar>
            <w:vAlign w:val="center"/>
          </w:tcPr>
          <w:p>
            <w:pPr>
              <w:spacing w:after="20" w:before="20"/>
            </w:pPr>
            <w:r>
              <w:rPr>
                <w:sz w:val="20"/>
                <w:szCs w:val="20"/>
              </w:rPr>
              <w:t xml:space="preserve">Organization, Business Unit, Company, Department, Cost Center, Team, Employee, Contractor, Job Title</w:t>
            </w:r>
          </w:p>
        </w:tc>
        <w:tc>
          <w:tcPr>
            <w:tcW w:type="dxa" w:w="216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Locations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Campus, Site, Building, Floor, Room, Zone, Warehouse, Warehouse Area, Storage Location, Gate, Loading Bay, Parking Area, Floor Plan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Identity</w:t>
            </w:r>
          </w:p>
        </w:tc>
        <w:tc>
          <w:tcPr>
            <w:tcW w:type="dxa" w:w="4874"/>
            <w:tcMar>
              <w:top w:type="dxa" w:w="60"/>
              <w:left w:type="dxa" w:w="100"/>
              <w:bottom w:type="dxa" w:w="60"/>
              <w:right w:type="dxa" w:w="100"/>
            </w:tcMar>
            <w:vAlign w:val="center"/>
          </w:tcPr>
          <w:p>
            <w:pPr>
              <w:spacing w:after="20" w:before="20"/>
            </w:pPr>
            <w:r>
              <w:rPr>
                <w:sz w:val="20"/>
                <w:szCs w:val="20"/>
              </w:rPr>
              <w:t xml:space="preserve">User, Role, Permission, Session, API Client, Identity Provider</w:t>
            </w:r>
          </w:p>
        </w:tc>
        <w:tc>
          <w:tcPr>
            <w:tcW w:type="dxa" w:w="216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Model, Manufacturer, Asset Status, RFID Tag, Barcode, Custody Assignment, Asset Relationship, Asset Image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Logistics</w:t>
            </w:r>
          </w:p>
        </w:tc>
        <w:tc>
          <w:tcPr>
            <w:tcW w:type="dxa" w:w="4874"/>
            <w:tcMar>
              <w:top w:type="dxa" w:w="60"/>
              <w:left w:type="dxa" w:w="100"/>
              <w:bottom w:type="dxa" w:w="60"/>
              <w:right w:type="dxa" w:w="100"/>
            </w:tcMar>
            <w:vAlign w:val="center"/>
          </w:tcPr>
          <w:p>
            <w:pPr>
              <w:spacing w:after="20" w:before="20"/>
            </w:pPr>
            <w:r>
              <w:rPr>
                <w:sz w:val="20"/>
                <w:szCs w:val="20"/>
              </w:rPr>
              <w:t xml:space="preserve">Vehicle, Driver, Shipment, Inventory Session, Receiving Order, Loading Order</w:t>
            </w:r>
          </w:p>
        </w:tc>
        <w:tc>
          <w:tcPr>
            <w:tcW w:type="dxa" w:w="216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Security Devices and Controls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RFID Reader, RFID Portal, Camera, Sensor, Device, Permit, Alarm, Incident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Documents</w:t>
            </w:r>
          </w:p>
        </w:tc>
        <w:tc>
          <w:tcPr>
            <w:tcW w:type="dxa" w:w="4874"/>
            <w:tcMar>
              <w:top w:type="dxa" w:w="60"/>
              <w:left w:type="dxa" w:w="100"/>
              <w:bottom w:type="dxa" w:w="60"/>
              <w:right w:type="dxa" w:w="100"/>
            </w:tcMar>
            <w:vAlign w:val="center"/>
          </w:tcPr>
          <w:p>
            <w:pPr>
              <w:spacing w:after="20" w:before="20"/>
            </w:pPr>
            <w:r>
              <w:rPr>
                <w:sz w:val="20"/>
                <w:szCs w:val="20"/>
              </w:rPr>
              <w:t xml:space="preserve">Document, Attachment, Image, Comment</w:t>
            </w:r>
          </w:p>
        </w:tc>
        <w:tc>
          <w:tcPr>
            <w:tcW w:type="dxa" w:w="2166"/>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Audit Log, Task, Configuration, Lookup Value, Feature Flag, Scheduled Job, Custom Field, Label, Tag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Intelligence Artifacts</w:t>
            </w:r>
          </w:p>
        </w:tc>
        <w:tc>
          <w:tcPr>
            <w:tcW w:type="dxa" w:w="4874"/>
            <w:tcMar>
              <w:top w:type="dxa" w:w="60"/>
              <w:left w:type="dxa" w:w="100"/>
              <w:bottom w:type="dxa" w:w="60"/>
              <w:right w:type="dxa" w:w="100"/>
            </w:tcMar>
            <w:vAlign w:val="center"/>
          </w:tcPr>
          <w:p>
            <w:pPr>
              <w:spacing w:after="20" w:before="20"/>
            </w:pPr>
            <w:r>
              <w:rPr>
                <w:sz w:val="20"/>
                <w:szCs w:val="20"/>
              </w:rPr>
              <w:t xml:space="preserve">Dashboard Definition, Report Definition, KPI Definition, Search Index</w:t>
            </w:r>
          </w:p>
        </w:tc>
        <w:tc>
          <w:tcPr>
            <w:tcW w:type="dxa" w:w="2166"/>
            <w:tcMar>
              <w:top w:type="dxa" w:w="60"/>
              <w:left w:type="dxa" w:w="100"/>
              <w:bottom w:type="dxa" w:w="60"/>
              <w:right w:type="dxa" w:w="100"/>
            </w:tcMar>
            <w:vAlign w:val="center"/>
          </w:tcPr>
          <w:p>
            <w:pPr>
              <w:spacing w:after="20" w:before="20"/>
            </w:pPr>
            <w:r>
              <w:rPr>
                <w:sz w:val="20"/>
                <w:szCs w:val="20"/>
              </w:rPr>
              <w:t xml:space="preserve">DOM-PLT / DOM-INT (classified in PDS-05)</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Integration Endpoint, API Key, ERP Adapter, Webhook, Connector Registration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w:t>
      </w:r>
      <w:r>
        <w:rPr>
          <w:sz w:val="20"/>
          <w:szCs w:val="20"/>
        </w:rPr>
        <w:t xml:space="preserve">Asset is a Core Platform entity. The Asset Lifecycle module provides the business processes around it and does not own it. The same rule applies to Vehicle, Warehouse, Building and Employee.</w:t>
      </w:r>
    </w:p>
    <w:p>
      <w:r>
        <w:br w:type="page"/>
      </w:r>
    </w:p>
    <w:p>
      <w:pPr>
        <w:pStyle w:val="Heading1"/>
        <w:spacing w:after="160" w:before="320"/>
      </w:pPr>
      <w:r>
        <w:rPr>
          <w:b/>
          <w:bCs/>
          <w:color w:val="1F4E79"/>
          <w:sz w:val="30"/>
          <w:szCs w:val="30"/>
        </w:rPr>
        <w:t xml:space="preserve">8. Plug-in Responsibility Model</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Plug-ins own business processes — never master entities.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513"/>
        <w:gridCol w:w="2347"/>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Plug-in / Module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Owned business processes</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Never owns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Lifecycle Management</w:t>
            </w:r>
          </w:p>
        </w:tc>
        <w:tc>
          <w:tcPr>
            <w:tcW w:type="dxa" w:w="4513"/>
            <w:tcMar>
              <w:top w:type="dxa" w:w="60"/>
              <w:left w:type="dxa" w:w="100"/>
              <w:bottom w:type="dxa" w:w="60"/>
              <w:right w:type="dxa" w:w="100"/>
            </w:tcMar>
            <w:vAlign w:val="center"/>
          </w:tcPr>
          <w:p>
            <w:pPr>
              <w:spacing w:after="20" w:before="20"/>
            </w:pPr>
            <w:r>
              <w:rPr>
                <w:sz w:val="20"/>
                <w:szCs w:val="20"/>
              </w:rPr>
              <w:t xml:space="preserve">Register asset, assign custodian, transfer asset, revalue, depreciate, dispose, scrap, archive</w:t>
            </w:r>
          </w:p>
        </w:tc>
        <w:tc>
          <w:tcPr>
            <w:tcW w:type="dxa" w:w="2347"/>
            <w:tcMar>
              <w:top w:type="dxa" w:w="60"/>
              <w:left w:type="dxa" w:w="100"/>
              <w:bottom w:type="dxa" w:w="60"/>
              <w:right w:type="dxa" w:w="100"/>
            </w:tcMar>
            <w:vAlign w:val="center"/>
          </w:tcPr>
          <w:p>
            <w:pPr>
              <w:spacing w:after="20" w:before="20"/>
            </w:pPr>
            <w:r>
              <w:rPr>
                <w:sz w:val="20"/>
                <w:szCs w:val="20"/>
              </w:rPr>
              <w:t xml:space="preserve">Asset, Asset Type, Location, 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Inventory planning, blind and cycle counting, annual inventory, reconciliation, discrepancy handling, exception reporting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Warehouse,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513"/>
            <w:tcMar>
              <w:top w:type="dxa" w:w="60"/>
              <w:left w:type="dxa" w:w="100"/>
              <w:bottom w:type="dxa" w:w="60"/>
              <w:right w:type="dxa" w:w="100"/>
            </w:tcMar>
            <w:vAlign w:val="center"/>
          </w:tcPr>
          <w:p>
            <w:pPr>
              <w:spacing w:after="20" w:before="20"/>
            </w:pPr>
            <w:r>
              <w:rPr>
                <w:sz w:val="20"/>
                <w:szCs w:val="20"/>
              </w:rPr>
              <w:t xml:space="preserve">Exit authorization, approval routing, unauthorized movement detection, geofence alerting, lost-asset investigation</w:t>
            </w:r>
          </w:p>
        </w:tc>
        <w:tc>
          <w:tcPr>
            <w:tcW w:type="dxa" w:w="2347"/>
            <w:tcMar>
              <w:top w:type="dxa" w:w="60"/>
              <w:left w:type="dxa" w:w="100"/>
              <w:bottom w:type="dxa" w:w="60"/>
              <w:right w:type="dxa" w:w="100"/>
            </w:tcMar>
            <w:vAlign w:val="center"/>
          </w:tcPr>
          <w:p>
            <w:pPr>
              <w:spacing w:after="20" w:before="20"/>
            </w:pPr>
            <w:r>
              <w:rPr>
                <w:sz w:val="20"/>
                <w:szCs w:val="20"/>
              </w:rPr>
              <w:t xml:space="preserve">Asset, Gate, Reader, 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Vehicle entry and exit verification, permit validation, RFID tunnel comparison, discrepancy adjudication, evidence capture, risk scoring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Vehicle, Driver, Permit,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Warehouse</w:t>
            </w:r>
          </w:p>
        </w:tc>
        <w:tc>
          <w:tcPr>
            <w:tcW w:type="dxa" w:w="4513"/>
            <w:tcMar>
              <w:top w:type="dxa" w:w="60"/>
              <w:left w:type="dxa" w:w="100"/>
              <w:bottom w:type="dxa" w:w="60"/>
              <w:right w:type="dxa" w:w="100"/>
            </w:tcMar>
            <w:vAlign w:val="center"/>
          </w:tcPr>
          <w:p>
            <w:pPr>
              <w:spacing w:after="20" w:before="20"/>
            </w:pPr>
            <w:r>
              <w:rPr>
                <w:sz w:val="20"/>
                <w:szCs w:val="20"/>
              </w:rPr>
              <w:t xml:space="preserve">Receiving, put-away, picking, loading, shipment verification, cross-docking, dock and bay scheduling</w:t>
            </w:r>
          </w:p>
        </w:tc>
        <w:tc>
          <w:tcPr>
            <w:tcW w:type="dxa" w:w="2347"/>
            <w:tcMar>
              <w:top w:type="dxa" w:w="60"/>
              <w:left w:type="dxa" w:w="100"/>
              <w:bottom w:type="dxa" w:w="60"/>
              <w:right w:type="dxa" w:w="100"/>
            </w:tcMar>
            <w:vAlign w:val="center"/>
          </w:tcPr>
          <w:p>
            <w:pPr>
              <w:spacing w:after="20" w:before="20"/>
            </w:pPr>
            <w:r>
              <w:rPr>
                <w:sz w:val="20"/>
                <w:szCs w:val="20"/>
              </w:rPr>
              <w:t xml:space="preserve">Warehouse, Location, Asset,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Visualization, mapping, filtering, drill-down, heat-mapping and live monitoring only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Building, Room, Asset, Asset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4513"/>
            <w:tcMar>
              <w:top w:type="dxa" w:w="60"/>
              <w:left w:type="dxa" w:w="100"/>
              <w:bottom w:type="dxa" w:w="60"/>
              <w:right w:type="dxa" w:w="100"/>
            </w:tcMar>
            <w:vAlign w:val="center"/>
          </w:tcPr>
          <w:p>
            <w:pPr>
              <w:spacing w:after="20" w:before="20"/>
            </w:pPr>
            <w:r>
              <w:rPr>
                <w:sz w:val="20"/>
                <w:szCs w:val="20"/>
              </w:rPr>
              <w:t xml:space="preserve">Report construction, dashboard composition, natural-language querying, insight generation, executive summarization</w:t>
            </w:r>
          </w:p>
        </w:tc>
        <w:tc>
          <w:tcPr>
            <w:tcW w:type="dxa" w:w="2347"/>
            <w:tcMar>
              <w:top w:type="dxa" w:w="60"/>
              <w:left w:type="dxa" w:w="100"/>
              <w:bottom w:type="dxa" w:w="60"/>
              <w:right w:type="dxa" w:w="100"/>
            </w:tcMar>
            <w:vAlign w:val="center"/>
          </w:tcPr>
          <w:p>
            <w:pPr>
              <w:spacing w:after="20" w:before="20"/>
            </w:pPr>
            <w:r>
              <w:rPr>
                <w:sz w:val="20"/>
                <w:szCs w:val="20"/>
              </w:rPr>
              <w:t xml:space="preserve">Any business object; it consumes the reporting framework only</w:t>
            </w:r>
          </w:p>
        </w:tc>
      </w:tr>
    </w:tbl>
    <w:p>
      <w:pPr>
        <w:pStyle w:val="Heading2"/>
        <w:spacing w:after="120" w:before="260"/>
      </w:pPr>
      <w:r>
        <w:rPr>
          <w:b/>
          <w:bCs/>
          <w:color w:val="2E74B5"/>
          <w:sz w:val="25"/>
          <w:szCs w:val="25"/>
        </w:rPr>
        <w:t xml:space="preserve">8.1 Extension attributes</w:t>
      </w:r>
    </w:p>
    <w:p>
      <w:pPr>
        <w:spacing w:after="120" w:before="0"/>
      </w:pPr>
      <w:r>
        <w:t xml:space="preserve">Modules may extend Core entities with namespaced extension attributes. Extensions are additive, never redefinitions, and are removed cleanly when the module is not licensed.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069"/>
        <w:gridCol w:w="4152"/>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Core object</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Extending module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Extension attributes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3069"/>
            <w:tcMar>
              <w:top w:type="dxa" w:w="60"/>
              <w:left w:type="dxa" w:w="100"/>
              <w:bottom w:type="dxa" w:w="60"/>
              <w:right w:type="dxa" w:w="100"/>
            </w:tcMar>
            <w:vAlign w:val="center"/>
          </w:tcPr>
          <w:p>
            <w:pPr>
              <w:spacing w:after="20" w:before="20"/>
            </w:pPr>
            <w:r>
              <w:rPr>
                <w:sz w:val="20"/>
                <w:szCs w:val="20"/>
              </w:rPr>
              <w:t xml:space="preserve">Smart Warehouse</w:t>
            </w:r>
          </w:p>
        </w:tc>
        <w:tc>
          <w:tcPr>
            <w:tcW w:type="dxa" w:w="4152"/>
            <w:tcMar>
              <w:top w:type="dxa" w:w="60"/>
              <w:left w:type="dxa" w:w="100"/>
              <w:bottom w:type="dxa" w:w="60"/>
              <w:right w:type="dxa" w:w="100"/>
            </w:tcMar>
            <w:vAlign w:val="center"/>
          </w:tcPr>
          <w:p>
            <w:pPr>
              <w:spacing w:after="20" w:before="20"/>
            </w:pPr>
            <w:r>
              <w:rPr>
                <w:sz w:val="20"/>
                <w:szCs w:val="20"/>
              </w:rPr>
              <w:t xml:space="preserve">Storage Bin, Pallet, Receiving Date, Picking Priority</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Last Gate, Current Permit, Entry Time, Exit Time, Risk Score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3069"/>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4152"/>
            <w:tcMar>
              <w:top w:type="dxa" w:w="60"/>
              <w:left w:type="dxa" w:w="100"/>
              <w:bottom w:type="dxa" w:w="60"/>
              <w:right w:type="dxa" w:w="100"/>
            </w:tcMar>
            <w:vAlign w:val="center"/>
          </w:tcPr>
          <w:p>
            <w:pPr>
              <w:spacing w:after="20" w:before="20"/>
            </w:pPr>
            <w:r>
              <w:rPr>
                <w:sz w:val="20"/>
                <w:szCs w:val="20"/>
              </w:rPr>
              <w:t xml:space="preserve">Floor Plan Reference, X/Y Position, Map Layer, Icon Override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Last Counted Date, Last Count Session, Verification State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Employee</w:t>
            </w:r>
          </w:p>
        </w:tc>
        <w:tc>
          <w:tcPr>
            <w:tcW w:type="dxa" w:w="3069"/>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152"/>
            <w:tcMar>
              <w:top w:type="dxa" w:w="60"/>
              <w:left w:type="dxa" w:w="100"/>
              <w:bottom w:type="dxa" w:w="60"/>
              <w:right w:type="dxa" w:w="100"/>
            </w:tcMar>
            <w:vAlign w:val="center"/>
          </w:tcPr>
          <w:p>
            <w:pPr>
              <w:spacing w:after="20" w:before="20"/>
            </w:pPr>
            <w:r>
              <w:rPr>
                <w:sz w:val="20"/>
                <w:szCs w:val="20"/>
              </w:rPr>
              <w:t xml:space="preserve">Security Clearance Level, Badge Reference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Boundary  </w:t>
      </w:r>
      <w:r>
        <w:rPr>
          <w:sz w:val="20"/>
          <w:szCs w:val="20"/>
        </w:rPr>
        <w:t xml:space="preserve">An extension attribute shall never be referenced by a module other than the one that contributed it, and shall never be used as an identity, uniqueness or integrity key on the host object.</w:t>
      </w:r>
    </w:p>
    <w:p>
      <w:r>
        <w:br w:type="page"/>
      </w:r>
    </w:p>
    <w:p>
      <w:pPr>
        <w:pStyle w:val="Heading1"/>
        <w:spacing w:after="160" w:before="320"/>
      </w:pPr>
      <w:r>
        <w:rPr>
          <w:b/>
          <w:bCs/>
          <w:color w:val="1F4E79"/>
          <w:sz w:val="30"/>
          <w:szCs w:val="30"/>
        </w:rPr>
        <w:t xml:space="preserve">9. Platform Layers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Layer 4   Future Extensions                                |</w:t>
      </w:r>
      <w:r>
        <w:rPr>
          <w:rFonts w:ascii="Consolas" w:cs="Consolas" w:eastAsia="Consolas" w:hAnsi="Consolas"/>
          <w:sz w:val="18"/>
          <w:szCs w:val="18"/>
        </w:rPr>
        <w:br/>
        <w:t xml:space="preserve">|            Fleet - IoT - RTLS - Visitor - Smart Cabinets    |</w:t>
      </w:r>
      <w:r>
        <w:rPr>
          <w:rFonts w:ascii="Consolas" w:cs="Consolas" w:eastAsia="Consolas" w:hAnsi="Consolas"/>
          <w:sz w:val="18"/>
          <w:szCs w:val="18"/>
        </w:rPr>
        <w:br/>
        <w:t xml:space="preserve">+-------------------------------------------------------------+</w:t>
      </w:r>
      <w:r>
        <w:rPr>
          <w:rFonts w:ascii="Consolas" w:cs="Consolas" w:eastAsia="Consolas" w:hAnsi="Consolas"/>
          <w:sz w:val="18"/>
          <w:szCs w:val="18"/>
        </w:rPr>
        <w:br/>
        <w:t xml:space="preserve">|  Layer 3   Integration &amp; Hardware Connectors                |</w:t>
      </w:r>
      <w:r>
        <w:rPr>
          <w:rFonts w:ascii="Consolas" w:cs="Consolas" w:eastAsia="Consolas" w:hAnsi="Consolas"/>
          <w:sz w:val="18"/>
          <w:szCs w:val="18"/>
        </w:rPr>
        <w:br/>
        <w:t xml:space="preserve">|            ERP/Odoo - RFID readers - ANPR - cameras - PLC   |</w:t>
      </w:r>
      <w:r>
        <w:rPr>
          <w:rFonts w:ascii="Consolas" w:cs="Consolas" w:eastAsia="Consolas" w:hAnsi="Consolas"/>
          <w:sz w:val="18"/>
          <w:szCs w:val="18"/>
        </w:rPr>
        <w:br/>
        <w:t xml:space="preserve">+-------------------------------------------------------------+</w:t>
      </w:r>
      <w:r>
        <w:rPr>
          <w:rFonts w:ascii="Consolas" w:cs="Consolas" w:eastAsia="Consolas" w:hAnsi="Consolas"/>
          <w:sz w:val="18"/>
          <w:szCs w:val="18"/>
        </w:rPr>
        <w:br/>
        <w:t xml:space="preserve">|  Layer 2   Business Plug-ins                                |</w:t>
      </w:r>
      <w:r>
        <w:rPr>
          <w:rFonts w:ascii="Consolas" w:cs="Consolas" w:eastAsia="Consolas" w:hAnsi="Consolas"/>
          <w:sz w:val="18"/>
          <w:szCs w:val="18"/>
        </w:rPr>
        <w:br/>
        <w:t xml:space="preserve">|            ALM - Inventory - Security - Vehicle - Warehouse |</w:t>
      </w:r>
      <w:r>
        <w:rPr>
          <w:rFonts w:ascii="Consolas" w:cs="Consolas" w:eastAsia="Consolas" w:hAnsi="Consolas"/>
          <w:sz w:val="18"/>
          <w:szCs w:val="18"/>
        </w:rPr>
        <w:br/>
        <w:t xml:space="preserve">|            Visual Intelligence - Analytics &amp; Assistant      |</w:t>
      </w:r>
      <w:r>
        <w:rPr>
          <w:rFonts w:ascii="Consolas" w:cs="Consolas" w:eastAsia="Consolas" w:hAnsi="Consolas"/>
          <w:sz w:val="18"/>
          <w:szCs w:val="18"/>
        </w:rPr>
        <w:br/>
        <w:t xml:space="preserve">+-------------------------------------------------------------+</w:t>
      </w:r>
      <w:r>
        <w:rPr>
          <w:rFonts w:ascii="Consolas" w:cs="Consolas" w:eastAsia="Consolas" w:hAnsi="Consolas"/>
          <w:sz w:val="18"/>
          <w:szCs w:val="18"/>
        </w:rPr>
        <w:br/>
        <w:t xml:space="preserve">|  Layer 1   Core Platform                                    |</w:t>
      </w:r>
      <w:r>
        <w:rPr>
          <w:rFonts w:ascii="Consolas" w:cs="Consolas" w:eastAsia="Consolas" w:hAnsi="Consolas"/>
          <w:sz w:val="18"/>
          <w:szCs w:val="18"/>
        </w:rPr>
        <w:br/>
        <w:t xml:space="preserve">|            SBOM - IAM - Workflow - Notification - Audit     |</w:t>
      </w:r>
      <w:r>
        <w:rPr>
          <w:rFonts w:ascii="Consolas" w:cs="Consolas" w:eastAsia="Consolas" w:hAnsi="Consolas"/>
          <w:sz w:val="18"/>
          <w:szCs w:val="18"/>
        </w:rPr>
        <w:br/>
        <w:t xml:space="preserve">|            Search - Documents - Configuration - Reporting   |</w:t>
      </w:r>
      <w:r>
        <w:rPr>
          <w:rFonts w:ascii="Consolas" w:cs="Consolas" w:eastAsia="Consolas" w:hAnsi="Consolas"/>
          <w:sz w:val="18"/>
          <w:szCs w:val="18"/>
        </w:rPr>
        <w:br/>
        <w:t xml:space="preserve">|            Integration Framework - Capability Registry      |</w:t>
      </w:r>
      <w:r>
        <w:rPr>
          <w:rFonts w:ascii="Consolas" w:cs="Consolas" w:eastAsia="Consolas" w:hAnsi="Consolas"/>
          <w:sz w:val="18"/>
          <w:szCs w:val="18"/>
        </w:rPr>
        <w:br/>
        <w:t xml:space="preser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152"/>
        <w:gridCol w:w="2708"/>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Layer</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Dependency rule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1 — Core Platform</w:t>
            </w:r>
          </w:p>
        </w:tc>
        <w:tc>
          <w:tcPr>
            <w:tcW w:type="dxa" w:w="4152"/>
            <w:tcMar>
              <w:top w:type="dxa" w:w="60"/>
              <w:left w:type="dxa" w:w="100"/>
              <w:bottom w:type="dxa" w:w="60"/>
              <w:right w:type="dxa" w:w="100"/>
            </w:tcMar>
            <w:vAlign w:val="center"/>
          </w:tcPr>
          <w:p>
            <w:pPr>
              <w:spacing w:after="20" w:before="20"/>
            </w:pPr>
            <w:r>
              <w:rPr>
                <w:sz w:val="20"/>
                <w:szCs w:val="20"/>
              </w:rPr>
              <w:t xml:space="preserve">Shared business objects, platform services, capability registry, validation and metadata services.</w:t>
            </w:r>
          </w:p>
        </w:tc>
        <w:tc>
          <w:tcPr>
            <w:tcW w:type="dxa" w:w="2708"/>
            <w:tcMar>
              <w:top w:type="dxa" w:w="60"/>
              <w:left w:type="dxa" w:w="100"/>
              <w:bottom w:type="dxa" w:w="60"/>
              <w:right w:type="dxa" w:w="100"/>
            </w:tcMar>
            <w:vAlign w:val="center"/>
          </w:tcPr>
          <w:p>
            <w:pPr>
              <w:spacing w:after="20" w:before="20"/>
            </w:pPr>
            <w:r>
              <w:rPr>
                <w:sz w:val="20"/>
                <w:szCs w:val="20"/>
              </w:rPr>
              <w:t xml:space="preserve">Depends on nothing above it. Shall never reference a plug-in.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2 — Business Plug-ins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seven Release 1 modules. Implement capabilities and business processes.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Depends on Layer 1 only. Communicates with peers via APIs and events.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3 — Integration &amp; Hardware Connectors</w:t>
            </w:r>
          </w:p>
        </w:tc>
        <w:tc>
          <w:tcPr>
            <w:tcW w:type="dxa" w:w="4152"/>
            <w:tcMar>
              <w:top w:type="dxa" w:w="60"/>
              <w:left w:type="dxa" w:w="100"/>
              <w:bottom w:type="dxa" w:w="60"/>
              <w:right w:type="dxa" w:w="100"/>
            </w:tcMar>
            <w:vAlign w:val="center"/>
          </w:tcPr>
          <w:p>
            <w:pPr>
              <w:spacing w:after="20" w:before="20"/>
            </w:pPr>
            <w:r>
              <w:rPr>
                <w:sz w:val="20"/>
                <w:szCs w:val="20"/>
              </w:rPr>
              <w:t xml:space="preserve">ERP adapters including Odoo, RFID reader drivers, ANPR and camera integrations, handheld and device connectivity.</w:t>
            </w:r>
          </w:p>
        </w:tc>
        <w:tc>
          <w:tcPr>
            <w:tcW w:type="dxa" w:w="2708"/>
            <w:tcMar>
              <w:top w:type="dxa" w:w="60"/>
              <w:left w:type="dxa" w:w="100"/>
              <w:bottom w:type="dxa" w:w="60"/>
              <w:right w:type="dxa" w:w="100"/>
            </w:tcMar>
            <w:vAlign w:val="center"/>
          </w:tcPr>
          <w:p>
            <w:pPr>
              <w:spacing w:after="20" w:before="20"/>
            </w:pPr>
            <w:r>
              <w:rPr>
                <w:sz w:val="20"/>
                <w:szCs w:val="20"/>
              </w:rPr>
              <w:t xml:space="preserve">Depends on Layer 1. May be consumed by Layer 2 through the Integration Framework.</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4 — Future Extensions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Fleet, IoT monitoring, RTLS/indoor positioning, visitor and contractor management, PPE and tool crib, smart cabinets, evidence locker.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Added as Layer 2 plug-ins when implemented. Shall require no change to Layers 1–3.</w:t>
            </w:r>
          </w:p>
        </w:tc>
      </w:tr>
    </w:tbl>
    <w:p>
      <w:r>
        <w:br w:type="page"/>
      </w:r>
    </w:p>
    <w:p>
      <w:pPr>
        <w:pStyle w:val="Heading1"/>
        <w:spacing w:after="160" w:before="320"/>
      </w:pPr>
      <w:r>
        <w:rPr>
          <w:b/>
          <w:bCs/>
          <w:color w:val="1F4E79"/>
          <w:sz w:val="30"/>
          <w:szCs w:val="30"/>
        </w:rPr>
        <w:t xml:space="preserve">10. Business Domain Layer</w:t>
      </w:r>
    </w:p>
    <w:p>
      <w:pPr>
        <w:spacing w:after="120" w:before="0"/>
      </w:pPr>
      <w:r>
        <w:t xml:space="preserve">Between capabilities and business objects sits the business domain layer. It answers where a capability belongs and which domain hosts each business object. It is defined in full in PDS-04 — Business Domain Model; this section fixes the domain set, the order and the dependency direction.</w:t>
      </w:r>
    </w:p>
    <w:p>
      <w:pPr>
        <w:pStyle w:val="Heading2"/>
        <w:spacing w:after="120" w:before="260"/>
      </w:pPr>
      <w:r>
        <w:rPr>
          <w:b/>
          <w:bCs/>
          <w:color w:val="2E74B5"/>
          <w:sz w:val="25"/>
          <w:szCs w:val="25"/>
        </w:rPr>
        <w:t xml:space="preserve">10.1 Domain set and order</w:t>
      </w:r>
    </w:p>
    <w:p>
      <w:pPr>
        <w:spacing w:after="120" w:before="0"/>
      </w:pPr>
      <w:r>
        <w:t xml:space="preserve">The order follows business reasoning rather than technical layering. The business architecture is documented before the technical stack, so the sequence is: which organization, which site, which building, which assets, which operations, how they are protected, what insight is produced — and only then, who may access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1264"/>
        <w:gridCol w:w="2347"/>
        <w:gridCol w:w="4873"/>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48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4873"/>
            <w:tcMar>
              <w:top w:type="dxa" w:w="60"/>
              <w:left w:type="dxa" w:w="100"/>
              <w:bottom w:type="dxa" w:w="60"/>
              <w:right w:type="dxa" w:w="100"/>
            </w:tcMar>
            <w:vAlign w:val="center"/>
          </w:tcPr>
          <w:p>
            <w:pPr>
              <w:spacing w:after="20" w:before="20"/>
            </w:pPr>
            <w:r>
              <w:rPr>
                <w:sz w:val="20"/>
                <w:szCs w:val="20"/>
              </w:rPr>
              <w:t xml:space="preserve">Provides the common platform capabilities. Root domain; depends on nothing.</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Organizations, business units, departments, cost centers, employees, contractors, teams. Everything belongs to an enterprise.</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4873"/>
            <w:tcMar>
              <w:top w:type="dxa" w:w="60"/>
              <w:left w:type="dxa" w:w="100"/>
              <w:bottom w:type="dxa" w:w="60"/>
              <w:right w:type="dxa" w:w="100"/>
            </w:tcMar>
            <w:vAlign w:val="center"/>
          </w:tcPr>
          <w:p>
            <w:pPr>
              <w:spacing w:after="20" w:before="20"/>
            </w:pPr>
            <w:r>
              <w:rPr>
                <w:sz w:val="20"/>
                <w:szCs w:val="20"/>
              </w:rPr>
              <w:t xml:space="preserve">Campuses, sites, buildings, floors, rooms, zones, warehouses, gates. Everything exists somewhere.</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Assets, RFID, barcode, classification, custody, lifecycle. Assets belong to an enterprise and exist at locations.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4873"/>
            <w:tcMar>
              <w:top w:type="dxa" w:w="60"/>
              <w:left w:type="dxa" w:w="100"/>
              <w:bottom w:type="dxa" w:w="60"/>
              <w:right w:type="dxa" w:w="100"/>
            </w:tcMar>
            <w:vAlign w:val="center"/>
          </w:tcPr>
          <w:p>
            <w:pPr>
              <w:spacing w:after="20" w:before="20"/>
            </w:pPr>
            <w:r>
              <w:rPr>
                <w:sz w:val="20"/>
                <w:szCs w:val="20"/>
              </w:rPr>
              <w:t xml:space="preserve">Receiving, warehouse operations, loading, inventory sessions, shipment operations. These processes operate on assets.</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Permits, incidents, alarms, readers, cameras, gate and vehicle verification. Security protects operations and assets.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4873"/>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Users, roles, permissions, authentication, sessions, API clients, identity providers. Cross-cutting.</w:t>
            </w:r>
          </w:p>
        </w:tc>
      </w:tr>
    </w:tbl>
    <w:p>
      <w:pPr>
        <w:pStyle w:val="Heading2"/>
        <w:spacing w:after="120" w:before="260"/>
      </w:pPr>
      <w:r>
        <w:rPr>
          <w:b/>
          <w:bCs/>
          <w:color w:val="2E74B5"/>
          <w:sz w:val="25"/>
          <w:szCs w:val="25"/>
        </w:rPr>
        <w:t xml:space="preserve">10.2 DOM-IAM is cross-cutting, not last in a dependency chain</w:t>
      </w:r>
    </w:p>
    <w:p>
      <w:pPr>
        <w:spacing w:after="120" w:before="0"/>
      </w:pPr>
      <w:r>
        <w:t xml:space="preserve">DOM-IAM is documented last because it is cross-cutting. It does not define the business; it governs access to it. It shall therefore not be drawn as the final link of a linear chain. The correct representation is: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                DOM-IAM   (cross-cutting: governs access to every domain)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DOM-PLT  (root)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DOM-LOC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DOM-AST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DOM-OPS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DOM-SEC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DOM-INT</w:t>
      </w:r>
    </w:p>
    <w:p>
      <w:pPr>
        <w:spacing w:after="120" w:before="0"/>
      </w:pPr>
      <w:r>
        <w:t xml:space="preserve">This ordering also aligns with the CRS, which defines enterprise, then locations, then assets, then operations, then security, then analytics, and finally who may access what.</w:t>
      </w:r>
    </w:p>
    <w:p>
      <w:pPr>
        <w:pStyle w:val="Heading2"/>
        <w:spacing w:after="120" w:before="260"/>
      </w:pPr>
      <w:r>
        <w:rPr>
          <w:b/>
          <w:bCs/>
          <w:color w:val="2E74B5"/>
          <w:sz w:val="25"/>
          <w:szCs w:val="25"/>
        </w:rPr>
        <w:t xml:space="preserve">10.3 How the platform absorbs new business areas</w:t>
      </w:r>
    </w:p>
    <w:p>
      <w:pPr>
        <w:spacing w:after="120" w:before="0"/>
      </w:pPr>
      <w:r>
        <w:t xml:space="preserve">Because domains are defined by responsibility rather than by product module, a new business area does not require a new architecture. It requires a single question: which domain does this belong to?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708"/>
        <w:gridCol w:w="3971"/>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Future capability</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Reasoning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Visitor Management</w:t>
            </w:r>
          </w:p>
        </w:tc>
        <w:tc>
          <w:tcPr>
            <w:tcW w:type="dxa" w:w="2708"/>
            <w:tcMar>
              <w:top w:type="dxa" w:w="60"/>
              <w:left w:type="dxa" w:w="100"/>
              <w:bottom w:type="dxa" w:w="60"/>
              <w:right w:type="dxa" w:w="100"/>
            </w:tcMar>
            <w:vAlign w:val="center"/>
          </w:tcPr>
          <w:p>
            <w:pPr>
              <w:spacing w:after="20" w:before="20"/>
            </w:pPr>
            <w:r>
              <w:rPr>
                <w:sz w:val="20"/>
                <w:szCs w:val="20"/>
              </w:rPr>
              <w:t xml:space="preserve">DOM-SEC, with identity aspects in DOM-IAM</w:t>
            </w:r>
          </w:p>
        </w:tc>
        <w:tc>
          <w:tcPr>
            <w:tcW w:type="dxa" w:w="3971"/>
            <w:tcMar>
              <w:top w:type="dxa" w:w="60"/>
              <w:left w:type="dxa" w:w="100"/>
              <w:bottom w:type="dxa" w:w="60"/>
              <w:right w:type="dxa" w:w="100"/>
            </w:tcMar>
            <w:vAlign w:val="center"/>
          </w:tcPr>
          <w:p>
            <w:pPr>
              <w:spacing w:after="20" w:before="20"/>
            </w:pPr>
            <w:r>
              <w:rPr>
                <w:sz w:val="20"/>
                <w:szCs w:val="20"/>
              </w:rPr>
              <w:t xml:space="preserve">Physical access control is a security responsibility; temporary credentials are identity.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Fleet Management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Vehicle operations are operational logistics.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IoT Sensor Monitoring</w:t>
            </w:r>
          </w:p>
        </w:tc>
        <w:tc>
          <w:tcPr>
            <w:tcW w:type="dxa" w:w="2708"/>
            <w:tcMar>
              <w:top w:type="dxa" w:w="60"/>
              <w:left w:type="dxa" w:w="100"/>
              <w:bottom w:type="dxa" w:w="60"/>
              <w:right w:type="dxa" w:w="100"/>
            </w:tcMar>
            <w:vAlign w:val="center"/>
          </w:tcPr>
          <w:p>
            <w:pPr>
              <w:spacing w:after="20" w:before="20"/>
            </w:pPr>
            <w:r>
              <w:rPr>
                <w:sz w:val="20"/>
                <w:szCs w:val="20"/>
              </w:rPr>
              <w:t xml:space="preserve">DOM-SEC for alerting, DOM-INT for analysis</w:t>
            </w:r>
          </w:p>
        </w:tc>
        <w:tc>
          <w:tcPr>
            <w:tcW w:type="dxa" w:w="3971"/>
            <w:tcMar>
              <w:top w:type="dxa" w:w="60"/>
              <w:left w:type="dxa" w:w="100"/>
              <w:bottom w:type="dxa" w:w="60"/>
              <w:right w:type="dxa" w:w="100"/>
            </w:tcMar>
            <w:vAlign w:val="center"/>
          </w:tcPr>
          <w:p>
            <w:pPr>
              <w:spacing w:after="20" w:before="20"/>
            </w:pPr>
            <w:r>
              <w:rPr>
                <w:sz w:val="20"/>
                <w:szCs w:val="20"/>
              </w:rPr>
              <w:t xml:space="preserve">Device telemetry is monitored for protection and analyzed for insight.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DOM-LOC for spatial model, DOM-AST for asset position</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The spatial frame is a location responsibility; the position of an asset is asset data.</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2708"/>
            <w:tcMar>
              <w:top w:type="dxa" w:w="60"/>
              <w:left w:type="dxa" w:w="100"/>
              <w:bottom w:type="dxa" w:w="60"/>
              <w:right w:type="dxa" w:w="100"/>
            </w:tcMar>
            <w:vAlign w:val="center"/>
          </w:tcPr>
          <w:p>
            <w:pPr>
              <w:spacing w:after="20" w:before="20"/>
            </w:pPr>
            <w:r>
              <w:rPr>
                <w:sz w:val="20"/>
                <w:szCs w:val="20"/>
              </w:rPr>
              <w:t xml:space="preserve">DOM-OPS (future module)</w:t>
            </w:r>
          </w:p>
        </w:tc>
        <w:tc>
          <w:tcPr>
            <w:tcW w:type="dxa" w:w="3971"/>
            <w:tcMar>
              <w:top w:type="dxa" w:w="60"/>
              <w:left w:type="dxa" w:w="100"/>
              <w:bottom w:type="dxa" w:w="60"/>
              <w:right w:type="dxa" w:w="100"/>
            </w:tcMar>
            <w:vAlign w:val="center"/>
          </w:tcPr>
          <w:p>
            <w:pPr>
              <w:spacing w:after="20" w:before="20"/>
            </w:pPr>
            <w:r>
              <w:rPr>
                <w:sz w:val="20"/>
                <w:szCs w:val="20"/>
              </w:rPr>
              <w:t xml:space="preserve">Work execution against assets is operational. Explicitly outside DOM-AST responsibility.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Smart Cabinets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DOM-SEC and DOM-OPS</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Controlled issue and return is both a security control and an operational process.</w:t>
            </w:r>
          </w:p>
        </w:tc>
      </w:tr>
    </w:tbl>
    <w:p>
      <w:r>
        <w:br w:type="page"/>
      </w:r>
    </w:p>
    <w:p>
      <w:pPr>
        <w:pStyle w:val="Heading1"/>
        <w:spacing w:after="160" w:before="320"/>
      </w:pPr>
      <w:r>
        <w:rPr>
          <w:b/>
          <w:bCs/>
          <w:color w:val="1F4E79"/>
          <w:sz w:val="30"/>
          <w:szCs w:val="30"/>
        </w:rPr>
        <w:t xml:space="preserve">11. Governance Rules</w:t>
      </w:r>
    </w:p>
    <w:p>
      <w:pPr>
        <w:spacing w:after="120" w:before="0"/>
      </w:pPr>
      <w:r>
        <w:t xml:space="preserve">The following rules are binding on every domain, module, business object and requirement in the platform. They are verified during the review of PDS-04, PDS-05 and every CRS part.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332"/>
        <w:gridCol w:w="3791"/>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4332"/>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3791"/>
            <w:tcMar>
              <w:top w:type="dxa" w:w="60"/>
              <w:left w:type="dxa" w:w="100"/>
              <w:bottom w:type="dxa" w:w="60"/>
              <w:right w:type="dxa" w:w="100"/>
            </w:tcMar>
            <w:vAlign w:val="center"/>
          </w:tcPr>
          <w:p>
            <w:pPr>
              <w:spacing w:after="20" w:before="20"/>
            </w:pPr>
            <w:r>
              <w:rPr>
                <w:sz w:val="20"/>
                <w:szCs w:val="20"/>
              </w:rPr>
              <w:t xml:space="preserve">Business Object Hosting Matrix — PDS-04 §10. Any object with zero or two hosts is a defect.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Consumed Business Objects lists per domain — PDS-04 §5.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4332"/>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3791"/>
            <w:tcMar>
              <w:top w:type="dxa" w:w="60"/>
              <w:left w:type="dxa" w:w="100"/>
              <w:bottom w:type="dxa" w:w="60"/>
              <w:right w:type="dxa" w:w="100"/>
            </w:tcMar>
            <w:vAlign w:val="center"/>
          </w:tcPr>
          <w:p>
            <w:pPr>
              <w:spacing w:after="20" w:before="20"/>
            </w:pPr>
            <w:r>
              <w:rPr>
                <w:sz w:val="20"/>
                <w:szCs w:val="20"/>
              </w:rPr>
              <w:t xml:space="preserve">Capability Catalog — PDS-04 §9.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Subdomain Catalog — PDS-04 §5.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4332"/>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3791"/>
            <w:tcMar>
              <w:top w:type="dxa" w:w="60"/>
              <w:left w:type="dxa" w:w="100"/>
              <w:bottom w:type="dxa" w:w="60"/>
              <w:right w:type="dxa" w:w="100"/>
            </w:tcMar>
            <w:vAlign w:val="center"/>
          </w:tcPr>
          <w:p>
            <w:pPr>
              <w:spacing w:after="20" w:before="20"/>
            </w:pPr>
            <w:r>
              <w:rPr>
                <w:sz w:val="20"/>
                <w:szCs w:val="20"/>
              </w:rPr>
              <w:t xml:space="preserve">CRS Part III and the Business Process Model.</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PDS-07 service specifications; architectural review.</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4332"/>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3791"/>
            <w:tcMar>
              <w:top w:type="dxa" w:w="60"/>
              <w:left w:type="dxa" w:w="100"/>
              <w:bottom w:type="dxa" w:w="60"/>
              <w:right w:type="dxa" w:w="100"/>
            </w:tcMar>
            <w:vAlign w:val="center"/>
          </w:tcPr>
          <w:p>
            <w:pPr>
              <w:spacing w:after="20" w:before="20"/>
            </w:pPr>
            <w:r>
              <w:rPr>
                <w:sz w:val="20"/>
                <w:szCs w:val="20"/>
              </w:rPr>
              <w:t xml:space="preserve">Code review and architectural review against PDS-04 and PDS-07.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PDS-08 Plug-in Framework conformance checks.</w:t>
            </w:r>
          </w:p>
        </w:tc>
      </w:tr>
    </w:tbl>
    <w:p>
      <w:pPr>
        <w:pStyle w:val="Heading2"/>
        <w:spacing w:after="120" w:before="260"/>
      </w:pPr>
      <w:r>
        <w:rPr>
          <w:b/>
          <w:bCs/>
          <w:color w:val="2E74B5"/>
          <w:sz w:val="25"/>
          <w:szCs w:val="25"/>
        </w:rPr>
        <w:t xml:space="preserve">11.1 Domain Ownership Rule</w:t>
      </w:r>
    </w:p>
    <w:p>
      <w:pPr>
        <w:spacing w:after="120" w:before="0"/>
      </w:pPr>
      <w:r>
        <w:t xml:space="preserve">Every shared business object belongs to exactly one domain. Illustrative assignments: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2166"/>
        <w:gridCol w:w="4152"/>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w:t>
            </w:r>
          </w:p>
        </w:tc>
        <w:tc>
          <w:tcPr>
            <w:tcW w:type="dxa" w:w="2166"/>
            <w:tcMar>
              <w:top w:type="dxa" w:w="60"/>
              <w:left w:type="dxa" w:w="100"/>
              <w:bottom w:type="dxa" w:w="60"/>
              <w:right w:type="dxa" w:w="100"/>
            </w:tcMar>
            <w:vAlign w:val="center"/>
          </w:tcPr>
          <w:p>
            <w:pPr>
              <w:spacing w:after="20" w:before="20"/>
            </w:pPr>
            <w:r>
              <w:rPr>
                <w:sz w:val="20"/>
                <w:szCs w:val="20"/>
              </w:rPr>
              <w:t xml:space="preserve">DOM-AST</w:t>
            </w:r>
          </w:p>
        </w:tc>
        <w:tc>
          <w:tcPr>
            <w:tcW w:type="dxa" w:w="4152"/>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RFID Tag</w:t>
            </w:r>
          </w:p>
        </w:tc>
        <w:tc>
          <w:tcPr>
            <w:tcW w:type="dxa" w:w="2166"/>
            <w:tcMar>
              <w:top w:type="dxa" w:w="60"/>
              <w:left w:type="dxa" w:w="100"/>
              <w:bottom w:type="dxa" w:w="60"/>
              <w:right w:type="dxa" w:w="100"/>
            </w:tcMar>
            <w:vAlign w:val="center"/>
          </w:tcPr>
          <w:p>
            <w:pPr>
              <w:spacing w:after="20" w:before="20"/>
            </w:pPr>
            <w:r>
              <w:rPr>
                <w:sz w:val="20"/>
                <w:szCs w:val="20"/>
              </w:rPr>
              <w:t xml:space="preserve">DOM-AST</w:t>
            </w:r>
          </w:p>
        </w:tc>
        <w:tc>
          <w:tcPr>
            <w:tcW w:type="dxa" w:w="4152"/>
            <w:tcMar>
              <w:top w:type="dxa" w:w="60"/>
              <w:left w:type="dxa" w:w="100"/>
              <w:bottom w:type="dxa" w:w="60"/>
              <w:right w:type="dxa" w:w="100"/>
            </w:tcMar>
            <w:vAlign w:val="center"/>
          </w:tcPr>
          <w:p>
            <w:pPr>
              <w:spacing w:after="20" w:before="20"/>
            </w:pPr>
            <w:r>
              <w:rPr>
                <w:sz w:val="20"/>
                <w:szCs w:val="20"/>
              </w:rPr>
              <w:t xml:space="preserve">Identity of an asset, not of a location.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Distinct from Employee, which is hosted by DOM-ENT.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Employee</w:t>
            </w:r>
          </w:p>
        </w:tc>
        <w:tc>
          <w:tcPr>
            <w:tcW w:type="dxa" w:w="2166"/>
            <w:tcMar>
              <w:top w:type="dxa" w:w="60"/>
              <w:left w:type="dxa" w:w="100"/>
              <w:bottom w:type="dxa" w:w="60"/>
              <w:right w:type="dxa" w:w="100"/>
            </w:tcMar>
            <w:vAlign w:val="center"/>
          </w:tcPr>
          <w:p>
            <w:pPr>
              <w:spacing w:after="20" w:before="20"/>
            </w:pPr>
            <w:r>
              <w:rPr>
                <w:sz w:val="20"/>
                <w:szCs w:val="20"/>
              </w:rPr>
              <w:t xml:space="preserve">DOM-ENT</w:t>
            </w:r>
          </w:p>
        </w:tc>
        <w:tc>
          <w:tcPr>
            <w:tcW w:type="dxa" w:w="4152"/>
            <w:tcMar>
              <w:top w:type="dxa" w:w="60"/>
              <w:left w:type="dxa" w:w="100"/>
              <w:bottom w:type="dxa" w:w="60"/>
              <w:right w:type="dxa" w:w="100"/>
            </w:tcMar>
            <w:vAlign w:val="center"/>
          </w:tcPr>
          <w:p>
            <w:pPr>
              <w:spacing w:after="20" w:before="20"/>
            </w:pPr>
            <w:r>
              <w:rPr>
                <w:sz w:val="20"/>
                <w:szCs w:val="20"/>
              </w:rPr>
              <w:t xml:space="preserve">Optional one-to-one association with User.</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Workflow</w:t>
            </w:r>
          </w:p>
        </w:tc>
        <w:tc>
          <w:tcPr>
            <w:tcW w:type="dxa" w:w="2166"/>
            <w:tcMar>
              <w:top w:type="dxa" w:w="60"/>
              <w:left w:type="dxa" w:w="100"/>
              <w:bottom w:type="dxa" w:w="60"/>
              <w:right w:type="dxa" w:w="100"/>
            </w:tcMar>
            <w:vAlign w:val="center"/>
          </w:tcPr>
          <w:p>
            <w:pPr>
              <w:spacing w:after="20" w:before="20"/>
            </w:pPr>
            <w:r>
              <w:rPr>
                <w:sz w:val="20"/>
                <w:szCs w:val="20"/>
              </w:rPr>
              <w:t xml:space="preserve">DOM-PLT</w:t>
            </w:r>
          </w:p>
        </w:tc>
        <w:tc>
          <w:tcPr>
            <w:tcW w:type="dxa" w:w="4152"/>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Vehicle</w:t>
            </w:r>
          </w:p>
        </w:tc>
        <w:tc>
          <w:tcPr>
            <w:tcW w:type="dxa" w:w="2166"/>
            <w:tcMar>
              <w:top w:type="dxa" w:w="60"/>
              <w:left w:type="dxa" w:w="100"/>
              <w:bottom w:type="dxa" w:w="60"/>
              <w:right w:type="dxa" w:w="100"/>
            </w:tcMar>
            <w:vAlign w:val="center"/>
          </w:tcPr>
          <w:p>
            <w:pPr>
              <w:spacing w:after="20" w:before="20"/>
            </w:pPr>
            <w:r>
              <w:rPr>
                <w:sz w:val="20"/>
                <w:szCs w:val="20"/>
              </w:rPr>
              <w:t xml:space="preserve">DOM-OPS (provisional)</w:t>
            </w:r>
          </w:p>
        </w:tc>
        <w:tc>
          <w:tcPr>
            <w:tcW w:type="dxa" w:w="4152"/>
            <w:tcMar>
              <w:top w:type="dxa" w:w="60"/>
              <w:left w:type="dxa" w:w="100"/>
              <w:bottom w:type="dxa" w:w="60"/>
              <w:right w:type="dxa" w:w="100"/>
            </w:tcMar>
            <w:vAlign w:val="center"/>
          </w:tcPr>
          <w:p>
            <w:pPr>
              <w:spacing w:after="20" w:before="20"/>
            </w:pPr>
            <w:r>
              <w:rPr>
                <w:sz w:val="20"/>
                <w:szCs w:val="20"/>
              </w:rPr>
              <w:t xml:space="preserve">May move to DOM-SEC if vehicle identity is determined to be primarily a security concept. The decision shall be made explicitly in PDS-05.</w:t>
            </w:r>
          </w:p>
        </w:tc>
      </w:tr>
    </w:tbl>
    <w:p>
      <w:r>
        <w:br w:type="page"/>
      </w:r>
    </w:p>
    <w:p>
      <w:pPr>
        <w:pStyle w:val="Heading1"/>
        <w:spacing w:after="160" w:before="320"/>
      </w:pPr>
      <w:r>
        <w:rPr>
          <w:b/>
          <w:bCs/>
          <w:color w:val="1F4E79"/>
          <w:sz w:val="30"/>
          <w:szCs w:val="30"/>
        </w:rPr>
        <w:t xml:space="preserve">12. Mandatory Engineering Rules</w:t>
      </w:r>
    </w:p>
    <w:p>
      <w:pPr>
        <w:pStyle w:val="Heading2"/>
        <w:spacing w:after="120" w:before="260"/>
      </w:pPr>
      <w:r>
        <w:rPr>
          <w:b/>
          <w:bCs/>
          <w:color w:val="2E74B5"/>
          <w:sz w:val="25"/>
          <w:szCs w:val="25"/>
        </w:rPr>
        <w:t xml:space="preserve">12.1 Architectural rules</w:t>
      </w:r>
    </w:p>
    <w:p>
      <w:pPr>
        <w:pStyle w:val="ListParagraph"/>
        <w:numPr>
          <w:ilvl w:val="0"/>
          <w:numId w:val="3"/>
        </w:numPr>
        <w:spacing w:after="60"/>
      </w:pPr>
      <w:r>
        <w:t xml:space="preserve">The Core Platform shall never depend on a plug-in.</w:t>
      </w:r>
    </w:p>
    <w:p>
      <w:pPr>
        <w:pStyle w:val="ListParagraph"/>
        <w:numPr>
          <w:ilvl w:val="0"/>
          <w:numId w:val="3"/>
        </w:numPr>
        <w:spacing w:after="60"/>
      </w:pPr>
      <w:r>
        <w:t xml:space="preserve">A plug-in shall never access another plug-in's database directly.</w:t>
      </w:r>
    </w:p>
    <w:p>
      <w:pPr>
        <w:pStyle w:val="ListParagraph"/>
        <w:numPr>
          <w:ilvl w:val="0"/>
          <w:numId w:val="3"/>
        </w:numPr>
        <w:spacing w:after="60"/>
      </w:pPr>
      <w:r>
        <w:t xml:space="preserve">All inter-module communication shall use published APIs or domain events.</w:t>
      </w:r>
    </w:p>
    <w:p>
      <w:pPr>
        <w:pStyle w:val="ListParagraph"/>
        <w:numPr>
          <w:ilvl w:val="0"/>
          <w:numId w:val="3"/>
        </w:numPr>
        <w:spacing w:after="60"/>
      </w:pPr>
      <w:r>
        <w:t xml:space="preserve">There shall be exactly one canonical definition for every shared entity.</w:t>
      </w:r>
    </w:p>
    <w:p>
      <w:pPr>
        <w:pStyle w:val="ListParagraph"/>
        <w:numPr>
          <w:ilvl w:val="0"/>
          <w:numId w:val="3"/>
        </w:numPr>
        <w:spacing w:after="60"/>
      </w:pPr>
      <w:r>
        <w:t xml:space="preserve">Configuration shall be preferred over customization.</w:t>
      </w:r>
    </w:p>
    <w:p>
      <w:pPr>
        <w:pStyle w:val="ListParagraph"/>
        <w:numPr>
          <w:ilvl w:val="0"/>
          <w:numId w:val="3"/>
        </w:numPr>
        <w:spacing w:after="60"/>
      </w:pPr>
      <w:r>
        <w:t xml:space="preserve">All modules shall inherit security, workflow, audit, notification, search, document and reporting services from the Core Platform.</w:t>
      </w:r>
    </w:p>
    <w:p>
      <w:pPr>
        <w:pStyle w:val="ListParagraph"/>
        <w:numPr>
          <w:ilvl w:val="0"/>
          <w:numId w:val="3"/>
        </w:numPr>
        <w:spacing w:after="60"/>
      </w:pPr>
      <w:r>
        <w:t xml:space="preserve">Cyclic dependencies between domains are prohibited.</w:t>
      </w:r>
    </w:p>
    <w:p>
      <w:pPr>
        <w:pStyle w:val="ListParagraph"/>
        <w:numPr>
          <w:ilvl w:val="0"/>
          <w:numId w:val="3"/>
        </w:numPr>
        <w:spacing w:after="60"/>
      </w:pPr>
      <w:r>
        <w:t xml:space="preserve">No capability shall exist that is not declared in PDS-02.</w:t>
      </w:r>
    </w:p>
    <w:p>
      <w:pPr>
        <w:pStyle w:val="Heading2"/>
        <w:spacing w:after="120" w:before="260"/>
      </w:pPr>
      <w:r>
        <w:rPr>
          <w:b/>
          <w:bCs/>
          <w:color w:val="2E74B5"/>
          <w:sz w:val="25"/>
          <w:szCs w:val="25"/>
        </w:rPr>
        <w:t xml:space="preserve">12.2 Development rules</w:t>
      </w:r>
    </w:p>
    <w:p>
      <w:pPr>
        <w:pStyle w:val="ListParagraph"/>
        <w:numPr>
          <w:ilvl w:val="0"/>
          <w:numId w:val="2"/>
        </w:numPr>
        <w:spacing w:after="60"/>
      </w:pPr>
      <w:r>
        <w:t xml:space="preserve">No direct database access across modules.</w:t>
      </w:r>
    </w:p>
    <w:p>
      <w:pPr>
        <w:pStyle w:val="ListParagraph"/>
        <w:numPr>
          <w:ilvl w:val="0"/>
          <w:numId w:val="2"/>
        </w:numPr>
        <w:spacing w:after="60"/>
      </w:pPr>
      <w:r>
        <w:t xml:space="preserve">Every change is auditable.</w:t>
      </w:r>
    </w:p>
    <w:p>
      <w:pPr>
        <w:pStyle w:val="ListParagraph"/>
        <w:numPr>
          <w:ilvl w:val="0"/>
          <w:numId w:val="2"/>
        </w:numPr>
        <w:spacing w:after="60"/>
      </w:pPr>
      <w:r>
        <w:t xml:space="preserve">Business rules reside in services, not in the user interface.</w:t>
      </w:r>
    </w:p>
    <w:p>
      <w:pPr>
        <w:pStyle w:val="ListParagraph"/>
        <w:numPr>
          <w:ilvl w:val="0"/>
          <w:numId w:val="2"/>
        </w:numPr>
        <w:spacing w:after="60"/>
      </w:pPr>
      <w:r>
        <w:t xml:space="preserve">No duplicated validations.</w:t>
      </w:r>
    </w:p>
    <w:p>
      <w:pPr>
        <w:pStyle w:val="ListParagraph"/>
        <w:numPr>
          <w:ilvl w:val="0"/>
          <w:numId w:val="2"/>
        </w:numPr>
        <w:spacing w:after="60"/>
      </w:pPr>
      <w:r>
        <w:t xml:space="preserve">Every API is versioned.</w:t>
      </w:r>
    </w:p>
    <w:p>
      <w:pPr>
        <w:pStyle w:val="ListParagraph"/>
        <w:numPr>
          <w:ilvl w:val="0"/>
          <w:numId w:val="2"/>
        </w:numPr>
        <w:spacing w:after="60"/>
      </w:pPr>
      <w:r>
        <w:t xml:space="preserve">Every entity has a declared owner.</w:t>
      </w:r>
    </w:p>
    <w:p>
      <w:pPr>
        <w:pStyle w:val="Heading2"/>
        <w:spacing w:after="120" w:before="260"/>
      </w:pPr>
      <w:r>
        <w:rPr>
          <w:b/>
          <w:bCs/>
          <w:color w:val="2E74B5"/>
          <w:sz w:val="25"/>
          <w:szCs w:val="25"/>
        </w:rPr>
        <w:t xml:space="preserve">12.3 User experience rules</w:t>
      </w:r>
    </w:p>
    <w:p>
      <w:pPr>
        <w:pStyle w:val="ListParagraph"/>
        <w:numPr>
          <w:ilvl w:val="0"/>
          <w:numId w:val="2"/>
        </w:numPr>
        <w:spacing w:after="60"/>
      </w:pPr>
      <w:r>
        <w:t xml:space="preserve">One-click access to frequently used actions.</w:t>
      </w:r>
    </w:p>
    <w:p>
      <w:pPr>
        <w:pStyle w:val="ListParagraph"/>
        <w:numPr>
          <w:ilvl w:val="0"/>
          <w:numId w:val="2"/>
        </w:numPr>
        <w:spacing w:after="60"/>
      </w:pPr>
      <w:r>
        <w:t xml:space="preserve">Consistent navigation across the entire platform.</w:t>
      </w:r>
    </w:p>
    <w:p>
      <w:pPr>
        <w:pStyle w:val="ListParagraph"/>
        <w:numPr>
          <w:ilvl w:val="0"/>
          <w:numId w:val="2"/>
        </w:numPr>
        <w:spacing w:after="60"/>
      </w:pPr>
      <w:r>
        <w:t xml:space="preserve">Search-first experience.</w:t>
      </w:r>
    </w:p>
    <w:p>
      <w:pPr>
        <w:pStyle w:val="ListParagraph"/>
        <w:numPr>
          <w:ilvl w:val="0"/>
          <w:numId w:val="2"/>
        </w:numPr>
        <w:spacing w:after="60"/>
      </w:pPr>
      <w:r>
        <w:t xml:space="preserve">No more than three clicks to complete a common task.</w:t>
      </w:r>
    </w:p>
    <w:p>
      <w:pPr>
        <w:pStyle w:val="ListParagraph"/>
        <w:numPr>
          <w:ilvl w:val="0"/>
          <w:numId w:val="2"/>
        </w:numPr>
        <w:spacing w:after="60"/>
      </w:pPr>
      <w:r>
        <w:t xml:space="preserve">Every list supports filtering, export and saved views.</w:t>
      </w:r>
    </w:p>
    <w:p>
      <w:pPr>
        <w:pStyle w:val="ListParagraph"/>
        <w:numPr>
          <w:ilvl w:val="0"/>
          <w:numId w:val="2"/>
        </w:numPr>
        <w:spacing w:after="60"/>
      </w:pPr>
      <w:r>
        <w:t xml:space="preserve">Consistent behavior across web, tablet and handheld devices.</w:t>
      </w:r>
    </w:p>
    <w:p>
      <w:pPr>
        <w:pStyle w:val="Heading2"/>
        <w:spacing w:after="120" w:before="260"/>
      </w:pPr>
      <w:r>
        <w:rPr>
          <w:b/>
          <w:bCs/>
          <w:color w:val="2E74B5"/>
          <w:sz w:val="25"/>
          <w:szCs w:val="25"/>
        </w:rPr>
        <w:t xml:space="preserve">12.4 Reporting rules</w:t>
      </w:r>
    </w:p>
    <w:p>
      <w:pPr>
        <w:pStyle w:val="ListParagraph"/>
        <w:numPr>
          <w:ilvl w:val="0"/>
          <w:numId w:val="2"/>
        </w:numPr>
        <w:spacing w:after="60"/>
      </w:pPr>
      <w:r>
        <w:t xml:space="preserve">Every module contributes to a single unified reporting framework.</w:t>
      </w:r>
    </w:p>
    <w:p>
      <w:pPr>
        <w:pStyle w:val="ListParagraph"/>
        <w:numPr>
          <w:ilvl w:val="0"/>
          <w:numId w:val="2"/>
        </w:numPr>
        <w:spacing w:after="60"/>
      </w:pPr>
      <w:r>
        <w:t xml:space="preserve">AI and natural-language queries operate on the reporting framework, never on transactional databases.</w:t>
      </w:r>
    </w:p>
    <w:p>
      <w:pPr>
        <w:pStyle w:val="ListParagraph"/>
        <w:numPr>
          <w:ilvl w:val="0"/>
          <w:numId w:val="2"/>
        </w:numPr>
        <w:spacing w:after="60"/>
      </w:pPr>
      <w:r>
        <w:t xml:space="preserve">Reports are metadata-driven.</w:t>
      </w:r>
    </w:p>
    <w:p>
      <w:pPr>
        <w:pStyle w:val="ListParagraph"/>
        <w:numPr>
          <w:ilvl w:val="0"/>
          <w:numId w:val="2"/>
        </w:numPr>
        <w:spacing w:after="60"/>
      </w:pPr>
      <w:r>
        <w:t xml:space="preserve">Dashboards are configurable.</w:t>
      </w:r>
    </w:p>
    <w:p>
      <w:r>
        <w:br w:type="page"/>
      </w:r>
    </w:p>
    <w:p>
      <w:pPr>
        <w:pStyle w:val="Heading1"/>
        <w:spacing w:after="160" w:before="320"/>
      </w:pPr>
      <w:r>
        <w:rPr>
          <w:b/>
          <w:bCs/>
          <w:color w:val="1F4E79"/>
          <w:sz w:val="30"/>
          <w:szCs w:val="30"/>
        </w:rPr>
        <w:t xml:space="preserve">13. Platform Maturity Model</w:t>
      </w:r>
    </w:p>
    <w:p>
      <w:pPr>
        <w:spacing w:after="120" w:before="0"/>
      </w:pPr>
      <w:r>
        <w:t xml:space="preserve">The maturity model is the internal roadmap and the external progress narrative. It states where the platform is heading and provides a structured basis for prioritizing investment.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069"/>
        <w:gridCol w:w="5054"/>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Architectural significance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L1</w:t>
            </w:r>
          </w:p>
        </w:tc>
        <w:tc>
          <w:tcPr>
            <w:tcW w:type="dxa" w:w="3069"/>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5054"/>
            <w:tcMar>
              <w:top w:type="dxa" w:w="60"/>
              <w:left w:type="dxa" w:w="100"/>
              <w:bottom w:type="dxa" w:w="60"/>
              <w:right w:type="dxa" w:w="100"/>
            </w:tcMar>
            <w:vAlign w:val="center"/>
          </w:tcPr>
          <w:p>
            <w:pPr>
              <w:spacing w:after="20" w:before="20"/>
            </w:pPr>
            <w:r>
              <w:rPr>
                <w:sz w:val="20"/>
                <w:szCs w:val="20"/>
              </w:rPr>
              <w:t xml:space="preserve">The platform is operable and sellable with a single module. Validates AP-004 and EP-001.</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Multiple modules coexist over one SBOM. Validates AP-001, AP-002 and AP-005.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L3</w:t>
            </w:r>
          </w:p>
        </w:tc>
        <w:tc>
          <w:tcPr>
            <w:tcW w:type="dxa" w:w="3069"/>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5054"/>
            <w:tcMar>
              <w:top w:type="dxa" w:w="60"/>
              <w:left w:type="dxa" w:w="100"/>
              <w:bottom w:type="dxa" w:w="60"/>
              <w:right w:type="dxa" w:w="100"/>
            </w:tcMar>
            <w:vAlign w:val="center"/>
          </w:tcPr>
          <w:p>
            <w:pPr>
              <w:spacing w:after="20" w:before="20"/>
            </w:pPr>
            <w:r>
              <w:rPr>
                <w:sz w:val="20"/>
                <w:szCs w:val="20"/>
              </w:rPr>
              <w:t xml:space="preserve">The intelligence layer consumes the whole platform without any domain depending on it. Validates DOM-INT boundaries.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Third parties build on the platform. Validates AP-003 and PDS-08.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L5</w:t>
            </w:r>
          </w:p>
        </w:tc>
        <w:tc>
          <w:tcPr>
            <w:tcW w:type="dxa" w:w="3069"/>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5054"/>
            <w:tcMar>
              <w:top w:type="dxa" w:w="60"/>
              <w:left w:type="dxa" w:w="100"/>
              <w:bottom w:type="dxa" w:w="60"/>
              <w:right w:type="dxa" w:w="100"/>
            </w:tcMar>
            <w:vAlign w:val="center"/>
          </w:tcPr>
          <w:p>
            <w:pPr>
              <w:spacing w:after="20" w:before="20"/>
            </w:pPr>
            <w:r>
              <w:rPr>
                <w:sz w:val="20"/>
                <w:szCs w:val="20"/>
              </w:rPr>
              <w:t xml:space="preserve">Industry solutions are configurations, not forks. Validates AP-006.</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Industry solutions  </w:t>
      </w:r>
      <w:r>
        <w:rPr>
          <w:sz w:val="20"/>
          <w:szCs w:val="20"/>
        </w:rPr>
        <w:t xml:space="preserve">Government, military, healthcare, manufacturing, telecom, universities, airports, ports and oil &amp; gas are industry solutions built from the same modules and configuration. They are a commercial positioning construct, not software modules. There is no "industry packs" module in the architecture.</w:t>
      </w:r>
    </w:p>
    <w:p>
      <w:r>
        <w:br w:type="page"/>
      </w:r>
    </w:p>
    <w:p>
      <w:pPr>
        <w:pStyle w:val="Heading1"/>
        <w:spacing w:after="160" w:before="320"/>
      </w:pPr>
      <w:r>
        <w:rPr>
          <w:b/>
          <w:bCs/>
          <w:color w:val="1F4E79"/>
          <w:sz w:val="30"/>
          <w:szCs w:val="30"/>
        </w:rPr>
        <w:t xml:space="preserve">14. Governance Standard GS-001 — End-to-End Traceability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GS-001  </w:t>
      </w:r>
      <w:r>
        <w:rPr>
          <w:sz w:val="20"/>
          <w:szCs w:val="20"/>
        </w:rPr>
        <w:t xml:space="preserve">Every functional capability implemented in TEAIP shall be traceable from the business vision down to the implementation and testing artifacts.</w:t>
      </w:r>
    </w:p>
    <w:p>
      <w:pPr>
        <w:spacing w:after="120" w:before="0"/>
      </w:pPr>
      <w:r>
        <w:t xml:space="preserve">This guarantees no orphan requirements, no undocumented features, no duplicate functionality, controlled change-impact analysis, easier maintenance, faster onboarding of new engineers and enterprise-grade documentation quality.</w:t>
      </w:r>
    </w:p>
    <w:p>
      <w:pPr>
        <w:pStyle w:val="Heading2"/>
        <w:spacing w:after="120" w:before="260"/>
      </w:pPr>
      <w:r>
        <w:rPr>
          <w:b/>
          <w:bCs/>
          <w:color w:val="2E74B5"/>
          <w:sz w:val="25"/>
          <w:szCs w:val="25"/>
        </w:rPr>
        <w:t xml:space="preserve">14.1 Traceability chain</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w:t>
      </w:r>
      <w:r>
        <w:rPr>
          <w:rFonts w:ascii="Consolas" w:cs="Consolas" w:eastAsia="Consolas" w:hAnsi="Consolas"/>
          <w:sz w:val="18"/>
          <w:szCs w:val="18"/>
        </w:rPr>
        <w:br/>
        <w:t xml:space="preserve">   -&gt; Shared Business Object    (PDS-05)</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(Product Backlog)</w:t>
      </w:r>
      <w:r>
        <w:rPr>
          <w:rFonts w:ascii="Consolas" w:cs="Consolas" w:eastAsia="Consolas" w:hAnsi="Consolas"/>
          <w:sz w:val="18"/>
          <w:szCs w:val="18"/>
        </w:rPr>
        <w:br/>
        <w:t xml:space="preserve">   -&gt; Task</w:t>
      </w:r>
      <w:r>
        <w:rPr>
          <w:rFonts w:ascii="Consolas" w:cs="Consolas" w:eastAsia="Consolas" w:hAnsi="Consolas"/>
          <w:sz w:val="18"/>
          <w:szCs w:val="18"/>
        </w:rPr>
        <w:br/>
        <w:t xml:space="preserve">   -&gt; Test Case</w:t>
      </w:r>
      <w:r>
        <w:rPr>
          <w:rFonts w:ascii="Consolas" w:cs="Consolas" w:eastAsia="Consolas" w:hAnsi="Consolas"/>
          <w:sz w:val="18"/>
          <w:szCs w:val="18"/>
        </w:rPr>
        <w:br/>
        <w:t xml:space="preserve">   -&gt; Release</w:t>
      </w:r>
    </w:p>
    <w:p>
      <w:pPr>
        <w:pStyle w:val="Heading2"/>
        <w:spacing w:after="120" w:before="260"/>
      </w:pPr>
      <w:r>
        <w:rPr>
          <w:b/>
          <w:bCs/>
          <w:color w:val="2E74B5"/>
          <w:sz w:val="25"/>
          <w:szCs w:val="25"/>
        </w:rPr>
        <w:t xml:space="preserve">14.2 Standard identifier scheme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347"/>
        <w:gridCol w:w="3610"/>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Platform document</w:t>
            </w:r>
          </w:p>
        </w:tc>
        <w:tc>
          <w:tcPr>
            <w:tcW w:type="dxa" w:w="2347"/>
            <w:tcMar>
              <w:top w:type="dxa" w:w="60"/>
              <w:left w:type="dxa" w:w="100"/>
              <w:bottom w:type="dxa" w:w="60"/>
              <w:right w:type="dxa" w:w="100"/>
            </w:tcMar>
            <w:vAlign w:val="center"/>
          </w:tcPr>
          <w:p>
            <w:pPr>
              <w:spacing w:after="20" w:before="20"/>
            </w:pPr>
            <w:r>
              <w:rPr>
                <w:sz w:val="20"/>
                <w:szCs w:val="20"/>
              </w:rPr>
              <w:t xml:space="preserve">PDS-nnn</w:t>
            </w:r>
          </w:p>
        </w:tc>
        <w:tc>
          <w:tcPr>
            <w:tcW w:type="dxa" w:w="3610"/>
            <w:tcMar>
              <w:top w:type="dxa" w:w="60"/>
              <w:left w:type="dxa" w:w="100"/>
              <w:bottom w:type="dxa" w:w="60"/>
              <w:right w:type="dxa" w:w="100"/>
            </w:tcMar>
            <w:vAlign w:val="center"/>
          </w:tcPr>
          <w:p>
            <w:pPr>
              <w:spacing w:after="20" w:before="20"/>
            </w:pPr>
            <w:r>
              <w:rPr>
                <w:sz w:val="20"/>
                <w:szCs w:val="20"/>
              </w:rPr>
              <w:t xml:space="preserve">PDS-004</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Subdomain</w:t>
            </w:r>
          </w:p>
        </w:tc>
        <w:tc>
          <w:tcPr>
            <w:tcW w:type="dxa" w:w="2347"/>
            <w:tcMar>
              <w:top w:type="dxa" w:w="60"/>
              <w:left w:type="dxa" w:w="100"/>
              <w:bottom w:type="dxa" w:w="60"/>
              <w:right w:type="dxa" w:w="100"/>
            </w:tcMar>
            <w:vAlign w:val="center"/>
          </w:tcPr>
          <w:p>
            <w:pPr>
              <w:spacing w:after="20" w:before="20"/>
            </w:pPr>
            <w:r>
              <w:rPr>
                <w:sz w:val="20"/>
                <w:szCs w:val="20"/>
              </w:rPr>
              <w:t xml:space="preserve">SD-xxx-xxx</w:t>
            </w:r>
          </w:p>
        </w:tc>
        <w:tc>
          <w:tcPr>
            <w:tcW w:type="dxa" w:w="3610"/>
            <w:tcMar>
              <w:top w:type="dxa" w:w="60"/>
              <w:left w:type="dxa" w:w="100"/>
              <w:bottom w:type="dxa" w:w="60"/>
              <w:right w:type="dxa" w:w="100"/>
            </w:tcMar>
            <w:vAlign w:val="center"/>
          </w:tcPr>
          <w:p>
            <w:pPr>
              <w:spacing w:after="20" w:before="20"/>
            </w:pPr>
            <w:r>
              <w:rPr>
                <w:sz w:val="20"/>
                <w:szCs w:val="20"/>
              </w:rPr>
              <w:t xml:space="preserve">SD-AST-LIFE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SBO-nnn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SBO-001 Asset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Platform service</w:t>
            </w:r>
          </w:p>
        </w:tc>
        <w:tc>
          <w:tcPr>
            <w:tcW w:type="dxa" w:w="2347"/>
            <w:tcMar>
              <w:top w:type="dxa" w:w="60"/>
              <w:left w:type="dxa" w:w="100"/>
              <w:bottom w:type="dxa" w:w="60"/>
              <w:right w:type="dxa" w:w="100"/>
            </w:tcMar>
            <w:vAlign w:val="center"/>
          </w:tcPr>
          <w:p>
            <w:pPr>
              <w:spacing w:after="20" w:before="20"/>
            </w:pPr>
            <w:r>
              <w:rPr>
                <w:sz w:val="20"/>
                <w:szCs w:val="20"/>
              </w:rPr>
              <w:t xml:space="preserve">PS-nnn</w:t>
            </w:r>
          </w:p>
        </w:tc>
        <w:tc>
          <w:tcPr>
            <w:tcW w:type="dxa" w:w="3610"/>
            <w:tcMar>
              <w:top w:type="dxa" w:w="60"/>
              <w:left w:type="dxa" w:w="100"/>
              <w:bottom w:type="dxa" w:w="60"/>
              <w:right w:type="dxa" w:w="100"/>
            </w:tcMar>
            <w:vAlign w:val="center"/>
          </w:tcPr>
          <w:p>
            <w:pPr>
              <w:spacing w:after="20" w:before="20"/>
            </w:pPr>
            <w:r>
              <w:rPr>
                <w:sz w:val="20"/>
                <w:szCs w:val="20"/>
              </w:rPr>
              <w:t xml:space="preserve">PS-001 Workflow</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BP-004 Verify Vehicle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Business rule</w:t>
            </w:r>
          </w:p>
        </w:tc>
        <w:tc>
          <w:tcPr>
            <w:tcW w:type="dxa" w:w="2347"/>
            <w:tcMar>
              <w:top w:type="dxa" w:w="60"/>
              <w:left w:type="dxa" w:w="100"/>
              <w:bottom w:type="dxa" w:w="60"/>
              <w:right w:type="dxa" w:w="100"/>
            </w:tcMar>
            <w:vAlign w:val="center"/>
          </w:tcPr>
          <w:p>
            <w:pPr>
              <w:spacing w:after="20" w:before="20"/>
            </w:pPr>
            <w:r>
              <w:rPr>
                <w:sz w:val="20"/>
                <w:szCs w:val="20"/>
              </w:rPr>
              <w:t xml:space="preserve">BR-nnn</w:t>
            </w:r>
          </w:p>
        </w:tc>
        <w:tc>
          <w:tcPr>
            <w:tcW w:type="dxa" w:w="3610"/>
            <w:tcMar>
              <w:top w:type="dxa" w:w="60"/>
              <w:left w:type="dxa" w:w="100"/>
              <w:bottom w:type="dxa" w:w="60"/>
              <w:right w:type="dxa" w:w="100"/>
            </w:tcMar>
            <w:vAlign w:val="center"/>
          </w:tcPr>
          <w:p>
            <w:pPr>
              <w:spacing w:after="20" w:before="20"/>
            </w:pPr>
            <w:r>
              <w:rPr>
                <w:sz w:val="20"/>
                <w:szCs w:val="20"/>
              </w:rPr>
              <w:t xml:space="preserve">BR-210</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FR-&lt;MOD&gt;-nnn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FR-VAI-031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Screen</w:t>
            </w:r>
          </w:p>
        </w:tc>
        <w:tc>
          <w:tcPr>
            <w:tcW w:type="dxa" w:w="2347"/>
            <w:tcMar>
              <w:top w:type="dxa" w:w="60"/>
              <w:left w:type="dxa" w:w="100"/>
              <w:bottom w:type="dxa" w:w="60"/>
              <w:right w:type="dxa" w:w="100"/>
            </w:tcMar>
            <w:vAlign w:val="center"/>
          </w:tcPr>
          <w:p>
            <w:pPr>
              <w:spacing w:after="20" w:before="20"/>
            </w:pPr>
            <w:r>
              <w:rPr>
                <w:sz w:val="20"/>
                <w:szCs w:val="20"/>
              </w:rPr>
              <w:t xml:space="preserve">SCR-nnn</w:t>
            </w:r>
          </w:p>
        </w:tc>
        <w:tc>
          <w:tcPr>
            <w:tcW w:type="dxa" w:w="3610"/>
            <w:tcMar>
              <w:top w:type="dxa" w:w="60"/>
              <w:left w:type="dxa" w:w="100"/>
              <w:bottom w:type="dxa" w:w="60"/>
              <w:right w:type="dxa" w:w="100"/>
            </w:tcMar>
            <w:vAlign w:val="center"/>
          </w:tcPr>
          <w:p>
            <w:pPr>
              <w:spacing w:after="20" w:before="20"/>
            </w:pPr>
            <w:r>
              <w:rPr>
                <w:sz w:val="20"/>
                <w:szCs w:val="20"/>
              </w:rPr>
              <w:t xml:space="preserve">SCR-102 Asset List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API-034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Report</w:t>
            </w:r>
          </w:p>
        </w:tc>
        <w:tc>
          <w:tcPr>
            <w:tcW w:type="dxa" w:w="2347"/>
            <w:tcMar>
              <w:top w:type="dxa" w:w="60"/>
              <w:left w:type="dxa" w:w="100"/>
              <w:bottom w:type="dxa" w:w="60"/>
              <w:right w:type="dxa" w:w="100"/>
            </w:tcMar>
            <w:vAlign w:val="center"/>
          </w:tcPr>
          <w:p>
            <w:pPr>
              <w:spacing w:after="20" w:before="20"/>
            </w:pPr>
            <w:r>
              <w:rPr>
                <w:sz w:val="20"/>
                <w:szCs w:val="20"/>
              </w:rPr>
              <w:t xml:space="preserve">RPT-nnn</w:t>
            </w:r>
          </w:p>
        </w:tc>
        <w:tc>
          <w:tcPr>
            <w:tcW w:type="dxa" w:w="3610"/>
            <w:tcMar>
              <w:top w:type="dxa" w:w="60"/>
              <w:left w:type="dxa" w:w="100"/>
              <w:bottom w:type="dxa" w:w="60"/>
              <w:right w:type="dxa" w:w="100"/>
            </w:tcMar>
            <w:vAlign w:val="center"/>
          </w:tcPr>
          <w:p>
            <w:pPr>
              <w:spacing w:after="20" w:before="20"/>
            </w:pPr>
            <w:r>
              <w:rPr>
                <w:sz w:val="20"/>
                <w:szCs w:val="20"/>
              </w:rPr>
              <w:t xml:space="preserve">RPT-011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DSH-003</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User story</w:t>
            </w:r>
          </w:p>
        </w:tc>
        <w:tc>
          <w:tcPr>
            <w:tcW w:type="dxa" w:w="2347"/>
            <w:tcMar>
              <w:top w:type="dxa" w:w="60"/>
              <w:left w:type="dxa" w:w="100"/>
              <w:bottom w:type="dxa" w:w="60"/>
              <w:right w:type="dxa" w:w="100"/>
            </w:tcMar>
            <w:vAlign w:val="center"/>
          </w:tcPr>
          <w:p>
            <w:pPr>
              <w:spacing w:after="20" w:before="20"/>
            </w:pPr>
            <w:r>
              <w:rPr>
                <w:sz w:val="20"/>
                <w:szCs w:val="20"/>
              </w:rPr>
              <w:t xml:space="preserve">US-nnn</w:t>
            </w:r>
          </w:p>
        </w:tc>
        <w:tc>
          <w:tcPr>
            <w:tcW w:type="dxa" w:w="3610"/>
            <w:tcMar>
              <w:top w:type="dxa" w:w="60"/>
              <w:left w:type="dxa" w:w="100"/>
              <w:bottom w:type="dxa" w:w="60"/>
              <w:right w:type="dxa" w:w="100"/>
            </w:tcMar>
            <w:vAlign w:val="center"/>
          </w:tcPr>
          <w:p>
            <w:pPr>
              <w:spacing w:after="20" w:before="20"/>
            </w:pPr>
            <w:r>
              <w:rPr>
                <w:sz w:val="20"/>
                <w:szCs w:val="20"/>
              </w:rPr>
              <w:t xml:space="preserve">US-281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TC-415</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347"/>
            <w:tcMar>
              <w:top w:type="dxa" w:w="60"/>
              <w:left w:type="dxa" w:w="100"/>
              <w:bottom w:type="dxa" w:w="60"/>
              <w:right w:type="dxa" w:w="100"/>
            </w:tcMar>
            <w:vAlign w:val="center"/>
          </w:tcPr>
          <w:p>
            <w:pPr>
              <w:spacing w:after="20" w:before="20"/>
            </w:pPr>
            <w:r>
              <w:rPr>
                <w:sz w:val="20"/>
                <w:szCs w:val="20"/>
              </w:rPr>
              <w:t xml:space="preserve">AP-nnn</w:t>
            </w:r>
          </w:p>
        </w:tc>
        <w:tc>
          <w:tcPr>
            <w:tcW w:type="dxa" w:w="3610"/>
            <w:tcMar>
              <w:top w:type="dxa" w:w="60"/>
              <w:left w:type="dxa" w:w="100"/>
              <w:bottom w:type="dxa" w:w="60"/>
              <w:right w:type="dxa" w:w="100"/>
            </w:tcMar>
            <w:vAlign w:val="center"/>
          </w:tcPr>
          <w:p>
            <w:pPr>
              <w:spacing w:after="20" w:before="20"/>
            </w:pPr>
            <w:r>
              <w:rPr>
                <w:sz w:val="20"/>
                <w:szCs w:val="20"/>
              </w:rPr>
              <w:t xml:space="preserve">AP-001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EP-nnn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EP-001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Governance rule</w:t>
            </w:r>
          </w:p>
        </w:tc>
        <w:tc>
          <w:tcPr>
            <w:tcW w:type="dxa" w:w="2347"/>
            <w:tcMar>
              <w:top w:type="dxa" w:w="60"/>
              <w:left w:type="dxa" w:w="100"/>
              <w:bottom w:type="dxa" w:w="60"/>
              <w:right w:type="dxa" w:w="100"/>
            </w:tcMar>
            <w:vAlign w:val="center"/>
          </w:tcPr>
          <w:p>
            <w:pPr>
              <w:spacing w:after="20" w:before="20"/>
            </w:pPr>
            <w:r>
              <w:rPr>
                <w:sz w:val="20"/>
                <w:szCs w:val="20"/>
              </w:rPr>
              <w:t xml:space="preserve">GR-nnn</w:t>
            </w:r>
          </w:p>
        </w:tc>
        <w:tc>
          <w:tcPr>
            <w:tcW w:type="dxa" w:w="3610"/>
            <w:tcMar>
              <w:top w:type="dxa" w:w="60"/>
              <w:left w:type="dxa" w:w="100"/>
              <w:bottom w:type="dxa" w:w="60"/>
              <w:right w:type="dxa" w:w="100"/>
            </w:tcMar>
            <w:vAlign w:val="center"/>
          </w:tcPr>
          <w:p>
            <w:pPr>
              <w:spacing w:after="20" w:before="20"/>
            </w:pPr>
            <w:r>
              <w:rPr>
                <w:sz w:val="20"/>
                <w:szCs w:val="20"/>
              </w:rPr>
              <w:t xml:space="preserve">GR-001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GS-nnn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GS-001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347"/>
            <w:tcMar>
              <w:top w:type="dxa" w:w="60"/>
              <w:left w:type="dxa" w:w="100"/>
              <w:bottom w:type="dxa" w:w="60"/>
              <w:right w:type="dxa" w:w="100"/>
            </w:tcMar>
            <w:vAlign w:val="center"/>
          </w:tcPr>
          <w:p>
            <w:pPr>
              <w:spacing w:after="20" w:before="20"/>
            </w:pPr>
            <w:r>
              <w:rPr>
                <w:sz w:val="20"/>
                <w:szCs w:val="20"/>
              </w:rPr>
              <w:t xml:space="preserve">ADR-nnn</w:t>
            </w:r>
          </w:p>
        </w:tc>
        <w:tc>
          <w:tcPr>
            <w:tcW w:type="dxa" w:w="3610"/>
            <w:tcMar>
              <w:top w:type="dxa" w:w="60"/>
              <w:left w:type="dxa" w:w="100"/>
              <w:bottom w:type="dxa" w:w="60"/>
              <w:right w:type="dxa" w:w="100"/>
            </w:tcMar>
            <w:vAlign w:val="center"/>
          </w:tcPr>
          <w:p>
            <w:pPr>
              <w:spacing w:after="20" w:before="20"/>
            </w:pPr>
            <w:r>
              <w:rPr>
                <w:sz w:val="20"/>
                <w:szCs w:val="20"/>
              </w:rPr>
              <w:t xml:space="preserve">ADR-007</w:t>
            </w:r>
          </w:p>
        </w:tc>
      </w:tr>
    </w:tbl>
    <w:p>
      <w:pPr>
        <w:pStyle w:val="Heading2"/>
        <w:spacing w:after="120" w:before="260"/>
      </w:pPr>
      <w:r>
        <w:rPr>
          <w:b/>
          <w:bCs/>
          <w:color w:val="2E74B5"/>
          <w:sz w:val="25"/>
          <w:szCs w:val="25"/>
        </w:rPr>
        <w:t xml:space="preserve">14.3 Master traceability matrix</w:t>
      </w:r>
    </w:p>
    <w:p>
      <w:pPr>
        <w:spacing w:after="120" w:before="0"/>
      </w:pPr>
      <w:r>
        <w:t xml:space="preserve">A master matrix shall be maintained and generated from the documentation set. One illustrative row: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30"/>
        <w:gridCol w:w="1140"/>
        <w:gridCol w:w="760"/>
        <w:gridCol w:w="665"/>
        <w:gridCol w:w="760"/>
        <w:gridCol w:w="665"/>
        <w:gridCol w:w="950"/>
        <w:gridCol w:w="760"/>
        <w:gridCol w:w="665"/>
        <w:gridCol w:w="665"/>
        <w:gridCol w:w="666"/>
      </w:tblGrid>
      <w:tr>
        <w:trPr>
          <w:tblHeader/>
        </w:trPr>
        <w:tc>
          <w:tcPr>
            <w:tcW w:type="dxa" w:w="13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Vision</w:t>
            </w:r>
          </w:p>
        </w:tc>
        <w:tc>
          <w:tcPr>
            <w:tcW w:type="dxa" w:w="11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Process</w:t>
            </w:r>
          </w:p>
        </w:tc>
        <w:tc>
          <w:tcPr>
            <w:tcW w:type="dxa" w:w="9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API</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Story</w:t>
            </w:r>
          </w:p>
        </w:tc>
        <w:tc>
          <w:tcPr>
            <w:tcW w:type="dxa" w:w="6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r>
      <w:tr>
        <w:trPr>
          <w:cantSplit/>
        </w:trPr>
        <w:tc>
          <w:tcPr>
            <w:tcW w:type="dxa" w:w="1330"/>
            <w:tcMar>
              <w:top w:type="dxa" w:w="60"/>
              <w:left w:type="dxa" w:w="100"/>
              <w:bottom w:type="dxa" w:w="60"/>
              <w:right w:type="dxa" w:w="100"/>
            </w:tcMar>
            <w:vAlign w:val="center"/>
          </w:tcPr>
          <w:p>
            <w:pPr>
              <w:spacing w:after="20" w:before="20"/>
            </w:pPr>
            <w:r>
              <w:rPr>
                <w:sz w:val="20"/>
                <w:szCs w:val="20"/>
              </w:rPr>
              <w:t xml:space="preserve">Improve asset visibility</w:t>
            </w:r>
          </w:p>
        </w:tc>
        <w:tc>
          <w:tcPr>
            <w:tcW w:type="dxa" w:w="1140"/>
            <w:tcMar>
              <w:top w:type="dxa" w:w="60"/>
              <w:left w:type="dxa" w:w="100"/>
              <w:bottom w:type="dxa" w:w="60"/>
              <w:right w:type="dxa" w:w="100"/>
            </w:tcMar>
            <w:vAlign w:val="center"/>
          </w:tcPr>
          <w:p>
            <w:pPr>
              <w:spacing w:after="20" w:before="20"/>
            </w:pPr>
            <w:r>
              <w:rPr>
                <w:sz w:val="20"/>
                <w:szCs w:val="20"/>
              </w:rPr>
              <w:t xml:space="preserve">Visual Intelligence</w:t>
            </w:r>
          </w:p>
        </w:tc>
        <w:tc>
          <w:tcPr>
            <w:tcW w:type="dxa" w:w="760"/>
            <w:tcMar>
              <w:top w:type="dxa" w:w="60"/>
              <w:left w:type="dxa" w:w="100"/>
              <w:bottom w:type="dxa" w:w="60"/>
              <w:right w:type="dxa" w:w="100"/>
            </w:tcMar>
            <w:vAlign w:val="center"/>
          </w:tcPr>
          <w:p>
            <w:pPr>
              <w:spacing w:after="20" w:before="20"/>
            </w:pPr>
            <w:r>
              <w:rPr>
                <w:sz w:val="20"/>
                <w:szCs w:val="20"/>
              </w:rPr>
              <w:t xml:space="preserve">DOM-LOC</w:t>
            </w:r>
          </w:p>
        </w:tc>
        <w:tc>
          <w:tcPr>
            <w:tcW w:type="dxa" w:w="665"/>
            <w:tcMar>
              <w:top w:type="dxa" w:w="60"/>
              <w:left w:type="dxa" w:w="100"/>
              <w:bottom w:type="dxa" w:w="60"/>
              <w:right w:type="dxa" w:w="100"/>
            </w:tcMar>
            <w:vAlign w:val="center"/>
          </w:tcPr>
          <w:p>
            <w:pPr>
              <w:spacing w:after="20" w:before="20"/>
            </w:pPr>
            <w:r>
              <w:rPr>
                <w:sz w:val="20"/>
                <w:szCs w:val="20"/>
              </w:rPr>
              <w:t xml:space="preserve">SBO-004</w:t>
            </w:r>
          </w:p>
        </w:tc>
        <w:tc>
          <w:tcPr>
            <w:tcW w:type="dxa" w:w="760"/>
            <w:tcMar>
              <w:top w:type="dxa" w:w="60"/>
              <w:left w:type="dxa" w:w="100"/>
              <w:bottom w:type="dxa" w:w="60"/>
              <w:right w:type="dxa" w:w="100"/>
            </w:tcMar>
            <w:vAlign w:val="center"/>
          </w:tcPr>
          <w:p>
            <w:pPr>
              <w:spacing w:after="20" w:before="20"/>
            </w:pPr>
            <w:r>
              <w:rPr>
                <w:sz w:val="20"/>
                <w:szCs w:val="20"/>
              </w:rPr>
              <w:t xml:space="preserve">PS-Search</w:t>
            </w:r>
          </w:p>
        </w:tc>
        <w:tc>
          <w:tcPr>
            <w:tcW w:type="dxa" w:w="665"/>
            <w:tcMar>
              <w:top w:type="dxa" w:w="60"/>
              <w:left w:type="dxa" w:w="100"/>
              <w:bottom w:type="dxa" w:w="60"/>
              <w:right w:type="dxa" w:w="100"/>
            </w:tcMar>
            <w:vAlign w:val="center"/>
          </w:tcPr>
          <w:p>
            <w:pPr>
              <w:spacing w:after="20" w:before="20"/>
            </w:pPr>
            <w:r>
              <w:rPr>
                <w:sz w:val="20"/>
                <w:szCs w:val="20"/>
              </w:rPr>
              <w:t xml:space="preserve">BP-021</w:t>
            </w:r>
          </w:p>
        </w:tc>
        <w:tc>
          <w:tcPr>
            <w:tcW w:type="dxa" w:w="950"/>
            <w:tcMar>
              <w:top w:type="dxa" w:w="60"/>
              <w:left w:type="dxa" w:w="100"/>
              <w:bottom w:type="dxa" w:w="60"/>
              <w:right w:type="dxa" w:w="100"/>
            </w:tcMar>
            <w:vAlign w:val="center"/>
          </w:tcPr>
          <w:p>
            <w:pPr>
              <w:spacing w:after="20" w:before="20"/>
            </w:pPr>
            <w:r>
              <w:rPr>
                <w:sz w:val="20"/>
                <w:szCs w:val="20"/>
              </w:rPr>
              <w:t xml:space="preserve">FR-VAI-031</w:t>
            </w:r>
          </w:p>
        </w:tc>
        <w:tc>
          <w:tcPr>
            <w:tcW w:type="dxa" w:w="760"/>
            <w:tcMar>
              <w:top w:type="dxa" w:w="60"/>
              <w:left w:type="dxa" w:w="100"/>
              <w:bottom w:type="dxa" w:w="60"/>
              <w:right w:type="dxa" w:w="100"/>
            </w:tcMar>
            <w:vAlign w:val="center"/>
          </w:tcPr>
          <w:p>
            <w:pPr>
              <w:spacing w:after="20" w:before="20"/>
            </w:pPr>
            <w:r>
              <w:rPr>
                <w:sz w:val="20"/>
                <w:szCs w:val="20"/>
              </w:rPr>
              <w:t xml:space="preserve">SCR-102</w:t>
            </w:r>
          </w:p>
        </w:tc>
        <w:tc>
          <w:tcPr>
            <w:tcW w:type="dxa" w:w="665"/>
            <w:tcMar>
              <w:top w:type="dxa" w:w="60"/>
              <w:left w:type="dxa" w:w="100"/>
              <w:bottom w:type="dxa" w:w="60"/>
              <w:right w:type="dxa" w:w="100"/>
            </w:tcMar>
            <w:vAlign w:val="center"/>
          </w:tcPr>
          <w:p>
            <w:pPr>
              <w:spacing w:after="20" w:before="20"/>
            </w:pPr>
            <w:r>
              <w:rPr>
                <w:sz w:val="20"/>
                <w:szCs w:val="20"/>
              </w:rPr>
              <w:t xml:space="preserve">API-034</w:t>
            </w:r>
          </w:p>
        </w:tc>
        <w:tc>
          <w:tcPr>
            <w:tcW w:type="dxa" w:w="665"/>
            <w:tcMar>
              <w:top w:type="dxa" w:w="60"/>
              <w:left w:type="dxa" w:w="100"/>
              <w:bottom w:type="dxa" w:w="60"/>
              <w:right w:type="dxa" w:w="100"/>
            </w:tcMar>
            <w:vAlign w:val="center"/>
          </w:tcPr>
          <w:p>
            <w:pPr>
              <w:spacing w:after="20" w:before="20"/>
            </w:pPr>
            <w:r>
              <w:rPr>
                <w:sz w:val="20"/>
                <w:szCs w:val="20"/>
              </w:rPr>
              <w:t xml:space="preserve">US-281</w:t>
            </w:r>
          </w:p>
        </w:tc>
        <w:tc>
          <w:tcPr>
            <w:tcW w:type="dxa" w:w="666"/>
            <w:tcMar>
              <w:top w:type="dxa" w:w="60"/>
              <w:left w:type="dxa" w:w="100"/>
              <w:bottom w:type="dxa" w:w="60"/>
              <w:right w:type="dxa" w:w="100"/>
            </w:tcMar>
            <w:vAlign w:val="center"/>
          </w:tcPr>
          <w:p>
            <w:pPr>
              <w:spacing w:after="20" w:before="20"/>
            </w:pPr>
            <w:r>
              <w:rPr>
                <w:sz w:val="20"/>
                <w:szCs w:val="20"/>
              </w:rPr>
              <w:t xml:space="preserve">TC-415</w:t>
            </w:r>
          </w:p>
        </w:tc>
      </w:tr>
    </w:tbl>
    <w:p>
      <w:r>
        <w:br w:type="page"/>
      </w:r>
    </w:p>
    <w:p>
      <w:pPr>
        <w:pStyle w:val="Heading1"/>
        <w:spacing w:after="160" w:before="320"/>
      </w:pPr>
      <w:r>
        <w:rPr>
          <w:b/>
          <w:bCs/>
          <w:color w:val="1F4E79"/>
          <w:sz w:val="30"/>
          <w:szCs w:val="30"/>
        </w:rPr>
        <w:t xml:space="preserve">15. Architecture Baseline and Change Control</w:t>
      </w:r>
    </w:p>
    <w:p>
      <w:pPr>
        <w:spacing w:after="120" w:before="0"/>
      </w:pPr>
      <w:r>
        <w:t xml:space="preserve">The platform architecture is baselined by this document. The documentation framework, the five architectural dimensions, the domain set, the domain order, the governance rules and the principle register are frozen.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Correction of an error</w:t>
            </w:r>
          </w:p>
        </w:tc>
        <w:tc>
          <w:tcPr>
            <w:tcW w:type="dxa" w:w="4513"/>
            <w:tcMar>
              <w:top w:type="dxa" w:w="60"/>
              <w:left w:type="dxa" w:w="100"/>
              <w:bottom w:type="dxa" w:w="60"/>
              <w:right w:type="dxa" w:w="100"/>
            </w:tcMar>
            <w:vAlign w:val="center"/>
          </w:tcPr>
          <w:p>
            <w:pPr>
              <w:spacing w:after="20" w:before="20"/>
            </w:pPr>
            <w:r>
              <w:rPr>
                <w:sz w:val="20"/>
                <w:szCs w:val="20"/>
              </w:rPr>
              <w:t xml:space="preserve">Minor version increment of the affected document, recorded in the version history of the affected document.</w:t>
            </w:r>
          </w:p>
        </w:tc>
        <w:tc>
          <w:tcPr>
            <w:tcW w:type="dxa" w:w="2166"/>
            <w:tcMar>
              <w:top w:type="dxa" w:w="60"/>
              <w:left w:type="dxa" w:w="100"/>
              <w:bottom w:type="dxa" w:w="60"/>
              <w:right w:type="dxa" w:w="100"/>
            </w:tcMar>
            <w:vAlign w:val="center"/>
          </w:tcPr>
          <w:p>
            <w:pPr>
              <w:spacing w:after="20" w:before="20"/>
            </w:pPr>
            <w:r>
              <w:rPr>
                <w:sz w:val="20"/>
                <w:szCs w:val="20"/>
              </w:rPr>
              <w:t xml:space="preserve">Document owner</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Refinement or clarification that does not alter structure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recorded in the version history.</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owner and 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Issue discovered during downstream review</w:t>
            </w:r>
          </w:p>
        </w:tc>
        <w:tc>
          <w:tcPr>
            <w:tcW w:type="dxa" w:w="4513"/>
            <w:tcMar>
              <w:top w:type="dxa" w:w="60"/>
              <w:left w:type="dxa" w:w="100"/>
              <w:bottom w:type="dxa" w:w="60"/>
              <w:right w:type="dxa" w:w="100"/>
            </w:tcMar>
            <w:vAlign w:val="center"/>
          </w:tcPr>
          <w:p>
            <w:pPr>
              <w:spacing w:after="20" w:before="20"/>
            </w:pPr>
            <w:r>
              <w:rPr>
                <w:sz w:val="20"/>
                <w:szCs w:val="20"/>
              </w:rPr>
              <w:t xml:space="preserve">Recorded as a review note; resolved in the document where it belongs.</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Classification change to an object or attribute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Resolved in PDS-05; no change to this document.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Any structural architectural change — new domain, changed hosting, changed dimension, changed layering</w:t>
            </w:r>
          </w:p>
        </w:tc>
        <w:tc>
          <w:tcPr>
            <w:tcW w:type="dxa" w:w="4513"/>
            <w:tcMar>
              <w:top w:type="dxa" w:w="60"/>
              <w:left w:type="dxa" w:w="100"/>
              <w:bottom w:type="dxa" w:w="60"/>
              <w:right w:type="dxa" w:w="100"/>
            </w:tcMar>
            <w:vAlign w:val="center"/>
          </w:tcPr>
          <w:p>
            <w:pPr>
              <w:spacing w:after="20" w:before="20"/>
            </w:pPr>
            <w:r>
              <w:rPr>
                <w:sz w:val="20"/>
                <w:szCs w:val="20"/>
              </w:rPr>
              <w:t xml:space="preserve">Architecture Decision Record in PDS-14, then major version increment of every affected document.</w:t>
            </w:r>
          </w:p>
        </w:tc>
        <w:tc>
          <w:tcPr>
            <w:tcW w:type="dxa" w:w="2166"/>
            <w:tcMar>
              <w:top w:type="dxa" w:w="60"/>
              <w:left w:type="dxa" w:w="100"/>
              <w:bottom w:type="dxa" w:w="60"/>
              <w:right w:type="dxa" w:w="100"/>
            </w:tcMar>
            <w:vAlign w:val="center"/>
          </w:tcPr>
          <w:p>
            <w:pPr>
              <w:spacing w:after="20" w:before="20"/>
            </w:pPr>
            <w:r>
              <w:rPr>
                <w:sz w:val="20"/>
                <w:szCs w:val="20"/>
              </w:rPr>
              <w:t xml:space="preserve">Chief Architect and Product Owner</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Freeze rule  </w:t>
      </w:r>
      <w:r>
        <w:rPr>
          <w:sz w:val="20"/>
          <w:szCs w:val="20"/>
        </w:rPr>
        <w:t xml:space="preserve">No new architectural concepts shall be introduced during the generation of the remaining specification documents. Only corrections, refinements, and issues discovered during review are permitted.</w:t>
      </w:r>
    </w:p>
    <w:p>
      <w:pPr>
        <w:pStyle w:val="Heading2"/>
        <w:spacing w:after="120" w:before="260"/>
      </w:pPr>
      <w:r>
        <w:rPr>
          <w:b/>
          <w:bCs/>
          <w:color w:val="2E74B5"/>
          <w:sz w:val="25"/>
          <w:szCs w:val="25"/>
        </w:rPr>
        <w:t xml:space="preserve">15.1 Open items carried forward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5596"/>
            <w:tcMar>
              <w:top w:type="dxa" w:w="60"/>
              <w:left w:type="dxa" w:w="100"/>
              <w:bottom w:type="dxa" w:w="60"/>
              <w:right w:type="dxa" w:w="100"/>
            </w:tcMar>
            <w:vAlign w:val="center"/>
          </w:tcPr>
          <w:p>
            <w:pPr>
              <w:spacing w:after="20" w:before="20"/>
            </w:pPr>
            <w:r>
              <w:rPr>
                <w:sz w:val="20"/>
                <w:szCs w:val="20"/>
              </w:rPr>
              <w:t xml:space="preserve">Hosting of the Vehicle business object — DOM-OPS or DOM-SEC.</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Whether Search Index, Dashboard Definition and Report Definition are Shared Business Objects or Platform Configuration Objects.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5596"/>
            <w:tcMar>
              <w:top w:type="dxa" w:w="60"/>
              <w:left w:type="dxa" w:w="100"/>
              <w:bottom w:type="dxa" w:w="60"/>
              <w:right w:type="dxa" w:w="100"/>
            </w:tcMar>
            <w:vAlign w:val="center"/>
          </w:tcPr>
          <w:p>
            <w:pPr>
              <w:spacing w:after="20" w:before="20"/>
            </w:pPr>
            <w:r>
              <w:rPr>
                <w:sz w:val="20"/>
                <w:szCs w:val="20"/>
              </w:rPr>
              <w:t xml:space="preserve">Optionality of the Employee↔User and Contractor↔User associations.</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Separation of an asset's logical location from its visual position on a floor plan.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5596"/>
            <w:tcMar>
              <w:top w:type="dxa" w:w="60"/>
              <w:left w:type="dxa" w:w="100"/>
              <w:bottom w:type="dxa" w:w="60"/>
              <w:right w:type="dxa" w:w="100"/>
            </w:tcMar>
            <w:vAlign w:val="center"/>
          </w:tcPr>
          <w:p>
            <w:pPr>
              <w:spacing w:after="20" w:before="20"/>
            </w:pPr>
            <w:r>
              <w:rPr>
                <w:sz w:val="20"/>
                <w:szCs w:val="20"/>
              </w:rPr>
              <w:t xml:space="preserve">Separation of Custody from Ownership as distinct objects.</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 (contains, connected to, mounted on, backup for, accessory of) rather than parent/child only.</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5596"/>
            <w:tcMar>
              <w:top w:type="dxa" w:w="60"/>
              <w:left w:type="dxa" w:w="100"/>
              <w:bottom w:type="dxa" w:w="60"/>
              <w:right w:type="dxa" w:w="100"/>
            </w:tcMar>
            <w:vAlign w:val="center"/>
          </w:tcPr>
          <w:p>
            <w:pPr>
              <w:spacing w:after="20" w:before="20"/>
            </w:pPr>
            <w:r>
              <w:rPr>
                <w:sz w:val="20"/>
                <w:szCs w:val="20"/>
              </w:rPr>
              <w:t xml:space="preserve">Whether a generic Party abstraction is required once Visitor Management, Supplier Contacts or External Inspectors are introduced.</w:t>
            </w:r>
          </w:p>
        </w:tc>
        <w:tc>
          <w:tcPr>
            <w:tcW w:type="dxa" w:w="2708"/>
            <w:tcMar>
              <w:top w:type="dxa" w:w="60"/>
              <w:left w:type="dxa" w:w="100"/>
              <w:bottom w:type="dxa" w:w="60"/>
              <w:right w:type="dxa" w:w="100"/>
            </w:tcMar>
            <w:vAlign w:val="center"/>
          </w:tcPr>
          <w:p>
            <w:pPr>
              <w:spacing w:after="20" w:before="20"/>
            </w:pPr>
            <w:r>
              <w:rPr>
                <w:sz w:val="20"/>
                <w:szCs w:val="20"/>
              </w:rPr>
              <w:t xml:space="preserve">PDS-05 / future ADR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Detailed Odoo integration boundary and field-level mapping.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PDS-11 and CRS</w:t>
            </w:r>
          </w:p>
        </w:tc>
      </w:tr>
    </w:tbl>
    <w:p>
      <w:r>
        <w:br w:type="page"/>
      </w:r>
    </w:p>
    <w:p>
      <w:pPr>
        <w:pStyle w:val="Heading1"/>
        <w:spacing w:after="160" w:before="320"/>
      </w:pPr>
      <w:r>
        <w:rPr>
          <w:b/>
          <w:bCs/>
          <w:color w:val="1F4E79"/>
          <w:sz w:val="30"/>
          <w:szCs w:val="30"/>
        </w:rPr>
        <w:t xml:space="preserve">Appendix A — TEAIP Document Set (Frozen)</w:t>
      </w:r>
    </w:p>
    <w:p>
      <w:pPr>
        <w:pStyle w:val="Heading2"/>
        <w:spacing w:after="120" w:before="260"/>
      </w:pPr>
      <w:r>
        <w:rPr>
          <w:b/>
          <w:bCs/>
          <w:color w:val="2E74B5"/>
          <w:sz w:val="25"/>
          <w:szCs w:val="25"/>
        </w:rPr>
        <w:t xml:space="preserve">A.1 Product Design Specification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2527"/>
        <w:gridCol w:w="1625"/>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Group</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PDS-01</w:t>
            </w:r>
          </w:p>
        </w:tc>
        <w:tc>
          <w:tcPr>
            <w:tcW w:type="dxa" w:w="3971"/>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2527"/>
            <w:tcMar>
              <w:top w:type="dxa" w:w="60"/>
              <w:left w:type="dxa" w:w="100"/>
              <w:bottom w:type="dxa" w:w="60"/>
              <w:right w:type="dxa" w:w="100"/>
            </w:tcMar>
            <w:vAlign w:val="center"/>
          </w:tcPr>
          <w:p>
            <w:pPr>
              <w:spacing w:after="20" w:before="20"/>
            </w:pPr>
            <w:r>
              <w:rPr>
                <w:sz w:val="20"/>
                <w:szCs w:val="20"/>
              </w:rPr>
              <w:t xml:space="preserve">Foundation</w:t>
            </w:r>
          </w:p>
        </w:tc>
        <w:tc>
          <w:tcPr>
            <w:tcW w:type="dxa" w:w="1625"/>
            <w:tcMar>
              <w:top w:type="dxa" w:w="60"/>
              <w:left w:type="dxa" w:w="100"/>
              <w:bottom w:type="dxa" w:w="60"/>
              <w:right w:type="dxa" w:w="100"/>
            </w:tcMar>
            <w:vAlign w:val="center"/>
          </w:tcPr>
          <w:p>
            <w:pPr>
              <w:spacing w:after="20" w:before="20"/>
            </w:pPr>
            <w:r>
              <w:rPr>
                <w:sz w:val="20"/>
                <w:szCs w:val="20"/>
              </w:rPr>
              <w:t xml:space="preserve">v1.0 — this document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Foundation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PDS-03</w:t>
            </w:r>
          </w:p>
        </w:tc>
        <w:tc>
          <w:tcPr>
            <w:tcW w:type="dxa" w:w="3971"/>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2527"/>
            <w:tcMar>
              <w:top w:type="dxa" w:w="60"/>
              <w:left w:type="dxa" w:w="100"/>
              <w:bottom w:type="dxa" w:w="60"/>
              <w:right w:type="dxa" w:w="100"/>
            </w:tcMar>
            <w:vAlign w:val="center"/>
          </w:tcPr>
          <w:p>
            <w:pPr>
              <w:spacing w:after="20" w:before="20"/>
            </w:pPr>
            <w:r>
              <w:rPr>
                <w:sz w:val="20"/>
                <w:szCs w:val="20"/>
              </w:rPr>
              <w:t xml:space="preserve">Foundation</w:t>
            </w:r>
          </w:p>
        </w:tc>
        <w:tc>
          <w:tcPr>
            <w:tcW w:type="dxa" w:w="1625"/>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 (BDM)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PDS-05</w:t>
            </w:r>
          </w:p>
        </w:tc>
        <w:tc>
          <w:tcPr>
            <w:tcW w:type="dxa" w:w="3971"/>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2527"/>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PDS-07</w:t>
            </w:r>
          </w:p>
        </w:tc>
        <w:tc>
          <w:tcPr>
            <w:tcW w:type="dxa" w:w="3971"/>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2527"/>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PDS-09</w:t>
            </w:r>
          </w:p>
        </w:tc>
        <w:tc>
          <w:tcPr>
            <w:tcW w:type="dxa" w:w="3971"/>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2527"/>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PDS-10</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UI/UX Design System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Platform Experience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PDS-11</w:t>
            </w:r>
          </w:p>
        </w:tc>
        <w:tc>
          <w:tcPr>
            <w:tcW w:type="dxa" w:w="3971"/>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2527"/>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Technology Architecture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PDS-13</w:t>
            </w:r>
          </w:p>
        </w:tc>
        <w:tc>
          <w:tcPr>
            <w:tcW w:type="dxa" w:w="3971"/>
            <w:tcMar>
              <w:top w:type="dxa" w:w="60"/>
              <w:left w:type="dxa" w:w="100"/>
              <w:bottom w:type="dxa" w:w="60"/>
              <w:right w:type="dxa" w:w="100"/>
            </w:tcMar>
            <w:vAlign w:val="center"/>
          </w:tcPr>
          <w:p>
            <w:pPr>
              <w:spacing w:after="20" w:before="20"/>
            </w:pPr>
            <w:r>
              <w:rPr>
                <w:sz w:val="20"/>
                <w:szCs w:val="20"/>
              </w:rPr>
              <w:t xml:space="preserve">Deployment Architecture</w:t>
            </w:r>
          </w:p>
        </w:tc>
        <w:tc>
          <w:tcPr>
            <w:tcW w:type="dxa" w:w="2527"/>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 (ADR)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Appendix — Naming &amp; Coding Standards</w:t>
            </w:r>
          </w:p>
        </w:tc>
        <w:tc>
          <w:tcPr>
            <w:tcW w:type="dxa" w:w="2527"/>
            <w:tcMar>
              <w:top w:type="dxa" w:w="60"/>
              <w:left w:type="dxa" w:w="100"/>
              <w:bottom w:type="dxa" w:w="60"/>
              <w:right w:type="dxa" w:w="100"/>
            </w:tcMar>
            <w:vAlign w:val="center"/>
          </w:tcPr>
          <w:p>
            <w:pPr>
              <w:spacing w:after="20" w:before="20"/>
            </w:pPr>
            <w:r>
              <w:rPr>
                <w:sz w:val="20"/>
                <w:szCs w:val="20"/>
              </w:rPr>
              <w:t xml:space="preserve">Appendix</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bl>
    <w:p>
      <w:pPr>
        <w:pStyle w:val="Heading2"/>
        <w:spacing w:after="120" w:before="260"/>
      </w:pPr>
      <w:r>
        <w:rPr>
          <w:b/>
          <w:bCs/>
          <w:color w:val="2E74B5"/>
          <w:sz w:val="25"/>
          <w:szCs w:val="25"/>
        </w:rPr>
        <w:t xml:space="preserve">A.2 Downstream deliverables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4152"/>
        <w:gridCol w:w="1805"/>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Deliverable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Purpose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Estimated scale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Commercial Requirements Specification (CRS)</w:t>
            </w:r>
          </w:p>
        </w:tc>
        <w:tc>
          <w:tcPr>
            <w:tcW w:type="dxa" w:w="4152"/>
            <w:tcMar>
              <w:top w:type="dxa" w:w="60"/>
              <w:left w:type="dxa" w:w="100"/>
              <w:bottom w:type="dxa" w:w="60"/>
              <w:right w:type="dxa" w:w="100"/>
            </w:tcMar>
            <w:vAlign w:val="center"/>
          </w:tcPr>
          <w:p>
            <w:pPr>
              <w:spacing w:after="20" w:before="20"/>
            </w:pPr>
            <w:r>
              <w:rPr>
                <w:sz w:val="20"/>
                <w:szCs w:val="20"/>
              </w:rPr>
              <w:t xml:space="preserve">Commercial, business and functional requirements in seven parts.</w:t>
            </w:r>
          </w:p>
        </w:tc>
        <w:tc>
          <w:tcPr>
            <w:tcW w:type="dxa" w:w="1805"/>
            <w:tcMar>
              <w:top w:type="dxa" w:w="60"/>
              <w:left w:type="dxa" w:w="100"/>
              <w:bottom w:type="dxa" w:w="60"/>
              <w:right w:type="dxa" w:w="100"/>
            </w:tcMar>
            <w:vAlign w:val="center"/>
          </w:tcPr>
          <w:p>
            <w:pPr>
              <w:spacing w:after="20" w:before="20"/>
            </w:pPr>
            <w:r>
              <w:rPr>
                <w:sz w:val="20"/>
                <w:szCs w:val="20"/>
              </w:rPr>
              <w:t xml:space="preserve">~700–1,000 pages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Process Model (BPMN)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Executable process definitions implementing the capabilities.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Functional Specifications</w:t>
            </w:r>
          </w:p>
        </w:tc>
        <w:tc>
          <w:tcPr>
            <w:tcW w:type="dxa" w:w="4152"/>
            <w:tcMar>
              <w:top w:type="dxa" w:w="60"/>
              <w:left w:type="dxa" w:w="100"/>
              <w:bottom w:type="dxa" w:w="60"/>
              <w:right w:type="dxa" w:w="100"/>
            </w:tcMar>
            <w:vAlign w:val="center"/>
          </w:tcPr>
          <w:p>
            <w:pPr>
              <w:spacing w:after="20" w:before="20"/>
            </w:pPr>
            <w:r>
              <w:rPr>
                <w:sz w:val="20"/>
                <w:szCs w:val="20"/>
              </w:rPr>
              <w:t xml:space="preserve">Detailed behavior per functional requirement.</w:t>
            </w:r>
          </w:p>
        </w:tc>
        <w:tc>
          <w:tcPr>
            <w:tcW w:type="dxa" w:w="1805"/>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Screen Specifications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Screen-level design derived from PDS-10.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API Specifications</w:t>
            </w:r>
          </w:p>
        </w:tc>
        <w:tc>
          <w:tcPr>
            <w:tcW w:type="dxa" w:w="4152"/>
            <w:tcMar>
              <w:top w:type="dxa" w:w="60"/>
              <w:left w:type="dxa" w:w="100"/>
              <w:bottom w:type="dxa" w:w="60"/>
              <w:right w:type="dxa" w:w="100"/>
            </w:tcMar>
            <w:vAlign w:val="center"/>
          </w:tcPr>
          <w:p>
            <w:pPr>
              <w:spacing w:after="20" w:before="20"/>
            </w:pPr>
            <w:r>
              <w:rPr>
                <w:sz w:val="20"/>
                <w:szCs w:val="20"/>
              </w:rPr>
              <w:t xml:space="preserve">Contract for every public API.</w:t>
            </w:r>
          </w:p>
        </w:tc>
        <w:tc>
          <w:tcPr>
            <w:tcW w:type="dxa" w:w="1805"/>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Database Design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Physical model derived from PDS-05.</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Product Backlog</w:t>
            </w:r>
          </w:p>
        </w:tc>
        <w:tc>
          <w:tcPr>
            <w:tcW w:type="dxa" w:w="4152"/>
            <w:tcMar>
              <w:top w:type="dxa" w:w="60"/>
              <w:left w:type="dxa" w:w="100"/>
              <w:bottom w:type="dxa" w:w="60"/>
              <w:right w:type="dxa" w:w="100"/>
            </w:tcMar>
            <w:vAlign w:val="center"/>
          </w:tcPr>
          <w:p>
            <w:pPr>
              <w:spacing w:after="20" w:before="20"/>
            </w:pPr>
            <w:r>
              <w:rPr>
                <w:sz w:val="20"/>
                <w:szCs w:val="20"/>
              </w:rPr>
              <w:t xml:space="preserve">User stories traced through GS-001.</w:t>
            </w:r>
          </w:p>
        </w:tc>
        <w:tc>
          <w:tcPr>
            <w:tcW w:type="dxa" w:w="1805"/>
            <w:tcMar>
              <w:top w:type="dxa" w:w="60"/>
              <w:left w:type="dxa" w:w="100"/>
              <w:bottom w:type="dxa" w:w="60"/>
              <w:right w:type="dxa" w:w="100"/>
            </w:tcMar>
            <w:vAlign w:val="center"/>
          </w:tcPr>
          <w:p>
            <w:pPr>
              <w:spacing w:after="20" w:before="20"/>
            </w:pPr>
            <w:r>
              <w:rPr>
                <w:sz w:val="20"/>
                <w:szCs w:val="20"/>
              </w:rPr>
              <w:t xml:space="preserve">~1,000–2,000 stories</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PDS-01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PDS-01 — Platform Foundation &amp; Architecture</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PDS-01 Platform Foundation &amp; Architecture</dc:title>
  <dc:creator>Trangant</dc:creator>
  <dc:description>Product Design Specification</dc:description>
  <cp:lastModifiedBy>Un-named</cp:lastModifiedBy>
  <cp:revision>1</cp:revision>
  <dcterms:created xsi:type="dcterms:W3CDTF">2026-08-13T19:04:59.613Z</dcterms:created>
  <dcterms:modified xsi:type="dcterms:W3CDTF">2026-08-13T19:04:59.613Z</dcterms:modified>
</cp:coreProperties>
</file>

<file path=docProps/custom.xml><?xml version="1.0" encoding="utf-8"?>
<Properties xmlns="http://schemas.openxmlformats.org/officeDocument/2006/custom-properties" xmlns:vt="http://schemas.openxmlformats.org/officeDocument/2006/docPropsVTypes"/>
</file>