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2E74B5"/>
          <w:spacing w:val="60"/>
          <w:sz w:val="28"/>
          <w:szCs w:val="28"/>
        </w:rPr>
        <w:t xml:space="preserve">TRANGANT</w:t>
      </w:r>
    </w:p>
    <w:p>
      <w:pPr>
        <w:spacing w:after="600" w:before="60"/>
        <w:jc w:val="center"/>
      </w:pPr>
      <w:r>
        <w:rPr>
          <w:color w:val="595959"/>
          <w:sz w:val="22"/>
          <w:szCs w:val="22"/>
        </w:rPr>
        <w:t xml:space="preserve">Enterprise Asset Intelligence Platform</w:t>
      </w:r>
    </w:p>
    <w:p>
      <w:pPr>
        <w:pBdr>
          <w:bottom w:val="single" w:color="1F4E79" w:sz="12"/>
        </w:pBdr>
        <w:spacing w:after="0"/>
      </w:pPr>
      <w:r>
        <w:t xml:space="preserve"/>
      </w:r>
    </w:p>
    <w:p>
      <w:pPr>
        <w:spacing w:after="80" w:before="260"/>
        <w:jc w:val="center"/>
      </w:pPr>
      <w:r>
        <w:rPr>
          <w:b/>
          <w:bCs/>
          <w:color w:val="2E74B5"/>
          <w:sz w:val="26"/>
          <w:szCs w:val="26"/>
        </w:rPr>
        <w:t xml:space="preserve">PDS-03</w:t>
      </w:r>
    </w:p>
    <w:p>
      <w:pPr>
        <w:spacing w:after="100"/>
        <w:jc w:val="center"/>
      </w:pPr>
      <w:r>
        <w:rPr>
          <w:b/>
          <w:bCs/>
          <w:color w:val="1F4E79"/>
          <w:sz w:val="48"/>
          <w:szCs w:val="48"/>
        </w:rPr>
        <w:t xml:space="preserve">Core Platform Design</w:t>
      </w:r>
    </w:p>
    <w:p>
      <w:pPr>
        <w:spacing w:after="240"/>
        <w:jc w:val="center"/>
      </w:pPr>
      <w:r>
        <w:rPr>
          <w:color w:val="595959"/>
          <w:sz w:val="26"/>
          <w:szCs w:val="26"/>
        </w:rPr>
        <w:t xml:space="preserve">Product Design Specification</w:t>
      </w:r>
    </w:p>
    <w:p>
      <w:pPr>
        <w:pBdr>
          <w:bottom w:val="single" w:color="1F4E79" w:sz="12"/>
        </w:pBdr>
        <w:spacing w:after="0"/>
      </w:pPr>
      <w:r>
        <w:t xml:space="preserve"/>
      </w:r>
    </w:p>
    <w:p>
      <w:pPr>
        <w:spacing w:after="40" w:before="400"/>
        <w:jc w:val="center"/>
      </w:pPr>
      <w:r>
        <w:rPr>
          <w:b/>
          <w:bCs/>
          <w:sz w:val="24"/>
          <w:szCs w:val="24"/>
        </w:rPr>
        <w:t xml:space="preserve">Version 1.0</w:t>
      </w:r>
    </w:p>
    <w:p>
      <w:pPr>
        <w:spacing w:after="40"/>
        <w:jc w:val="center"/>
      </w:pPr>
      <w:r>
        <w:rPr>
          <w:color w:val="595959"/>
          <w:sz w:val="22"/>
          <w:szCs w:val="22"/>
        </w:rPr>
        <w:t xml:space="preserve">Status: Draft for Review</w:t>
      </w:r>
    </w:p>
    <w:p>
      <w:pPr>
        <w:spacing w:after="40"/>
        <w:jc w:val="center"/>
      </w:pPr>
      <w:r>
        <w:rPr>
          <w:color w:val="595959"/>
          <w:sz w:val="22"/>
          <w:szCs w:val="22"/>
        </w:rPr>
        <w:t xml:space="preserve">13 August 2026</w:t>
      </w:r>
    </w:p>
    <w:p>
      <w:pPr>
        <w:spacing w:before="1400"/>
        <w:jc w:val="center"/>
      </w:pPr>
      <w:r>
        <w:rPr>
          <w:i/>
          <w:iCs/>
          <w:color w:val="808080"/>
          <w:sz w:val="18"/>
          <w:szCs w:val="18"/>
        </w:rPr>
        <w:t xml:space="preserve">Confidential — Trangant internal and authorized recipients only.</w:t>
      </w:r>
    </w:p>
    <w:p>
      <w:r>
        <w:br w:type="page"/>
      </w:r>
    </w:p>
    <w:p>
      <w:pPr>
        <w:pStyle w:val="Heading1"/>
        <w:spacing w:after="160" w:before="320"/>
      </w:pPr>
      <w:r>
        <w:rPr>
          <w:b/>
          <w:bCs/>
          <w:color w:val="1F4E79"/>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Core Platform Design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Core Platform Team</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the mission, design rules, service inventory and cross-cutting obligations of the TEAIP Core Platform, including the capability-aware validation and metadata services that make progressive adoption possible.</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3069"/>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Establishes the principles this document implements.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Lists the DOM-PLT capabilities delivered by the services specified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PDS-04</w:t>
            </w:r>
          </w:p>
        </w:tc>
        <w:tc>
          <w:tcPr>
            <w:tcW w:type="dxa" w:w="3069"/>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4874"/>
            <w:tcMar>
              <w:top w:type="dxa" w:w="60"/>
              <w:left w:type="dxa" w:w="100"/>
              <w:bottom w:type="dxa" w:w="60"/>
              <w:right w:type="dxa" w:w="100"/>
            </w:tcMar>
            <w:vAlign w:val="center"/>
          </w:tcPr>
          <w:p>
            <w:pPr>
              <w:spacing w:after="20" w:before="20"/>
            </w:pPr>
            <w:r>
              <w:rPr>
                <w:sz w:val="20"/>
                <w:szCs w:val="20"/>
              </w:rPr>
              <w:t xml:space="preserve">Defines DOM-PLT, which hosts every object and service in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Applies the data classification model defined in §6 to every business object.</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PDS-07</w:t>
            </w:r>
          </w:p>
        </w:tc>
        <w:tc>
          <w:tcPr>
            <w:tcW w:type="dxa" w:w="3069"/>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4874"/>
            <w:tcMar>
              <w:top w:type="dxa" w:w="60"/>
              <w:left w:type="dxa" w:w="100"/>
              <w:bottom w:type="dxa" w:w="60"/>
              <w:right w:type="dxa" w:w="100"/>
            </w:tcMar>
            <w:vAlign w:val="center"/>
          </w:tcPr>
          <w:p>
            <w:pPr>
              <w:spacing w:after="20" w:before="20"/>
            </w:pPr>
            <w:r>
              <w:rPr>
                <w:sz w:val="20"/>
                <w:szCs w:val="20"/>
              </w:rPr>
              <w:t xml:space="preserve">Detailed service contracts. This document defines scope and obligation; PDS-07 defines the interface.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PDS-08</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Defines how a plug-in registers with and consumes these services.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PDS-10</w:t>
            </w:r>
          </w:p>
        </w:tc>
        <w:tc>
          <w:tcPr>
            <w:tcW w:type="dxa" w:w="3069"/>
            <w:tcMar>
              <w:top w:type="dxa" w:w="60"/>
              <w:left w:type="dxa" w:w="100"/>
              <w:bottom w:type="dxa" w:w="60"/>
              <w:right w:type="dxa" w:w="100"/>
            </w:tcMar>
            <w:vAlign w:val="center"/>
          </w:tcPr>
          <w:p>
            <w:pPr>
              <w:spacing w:after="20" w:before="20"/>
            </w:pPr>
            <w:r>
              <w:rPr>
                <w:sz w:val="20"/>
                <w:szCs w:val="20"/>
              </w:rPr>
              <w:t xml:space="preserve">UI/UX Design System</w:t>
            </w:r>
          </w:p>
        </w:tc>
        <w:tc>
          <w:tcPr>
            <w:tcW w:type="dxa" w:w="4874"/>
            <w:tcMar>
              <w:top w:type="dxa" w:w="60"/>
              <w:left w:type="dxa" w:w="100"/>
              <w:bottom w:type="dxa" w:w="60"/>
              <w:right w:type="dxa" w:w="100"/>
            </w:tcMar>
            <w:vAlign w:val="center"/>
          </w:tcPr>
          <w:p>
            <w:pPr>
              <w:spacing w:after="20" w:before="20"/>
            </w:pPr>
            <w:r>
              <w:rPr>
                <w:sz w:val="20"/>
                <w:szCs w:val="20"/>
              </w:rPr>
              <w:t xml:space="preserve">Consumes the Metadata Service to implement progressive disclosure.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PDS-11</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Specifies external adapters, including the optional Odoo integration.</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625"/>
        <w:gridCol w:w="3791"/>
        <w:gridCol w:w="1444"/>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791"/>
            <w:tcMar>
              <w:top w:type="dxa" w:w="60"/>
              <w:left w:type="dxa" w:w="100"/>
              <w:bottom w:type="dxa" w:w="60"/>
              <w:right w:type="dxa" w:w="100"/>
            </w:tcMar>
            <w:vAlign w:val="center"/>
          </w:tcPr>
          <w:p>
            <w:pPr>
              <w:spacing w:after="20" w:before="20"/>
            </w:pPr>
            <w:r>
              <w:rPr>
                <w:sz w:val="20"/>
                <w:szCs w:val="20"/>
              </w:rPr>
              <w:t xml:space="preserve">Service boundaries and absence of business logic in platform services</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Implementability and service level targets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Security Lead</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791"/>
            <w:tcMar>
              <w:top w:type="dxa" w:w="60"/>
              <w:left w:type="dxa" w:w="100"/>
              <w:bottom w:type="dxa" w:w="60"/>
              <w:right w:type="dxa" w:w="100"/>
            </w:tcMar>
            <w:vAlign w:val="center"/>
          </w:tcPr>
          <w:p>
            <w:pPr>
              <w:spacing w:after="20" w:before="20"/>
            </w:pPr>
            <w:r>
              <w:rPr>
                <w:sz w:val="20"/>
                <w:szCs w:val="20"/>
              </w:rPr>
              <w:t xml:space="preserve">Centralized enforcement of security obligations</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This document defines the Core Platform: its mission, the rules that govern it, the services it provides, the obligations it discharges on behalf of every business module, and the guarantees it offers to customers who adopt the platform incrementally.</w:t>
      </w:r>
    </w:p>
    <w:p>
      <w:pPr>
        <w:pStyle w:val="Heading2"/>
        <w:spacing w:after="120" w:before="260"/>
      </w:pPr>
      <w:r>
        <w:rPr>
          <w:b/>
          <w:bCs/>
          <w:color w:val="2E74B5"/>
          <w:sz w:val="25"/>
          <w:szCs w:val="25"/>
        </w:rPr>
        <w:t xml:space="preserve">2.2 Scope</w:t>
      </w:r>
    </w:p>
    <w:p>
      <w:pPr>
        <w:spacing w:after="120" w:before="0"/>
      </w:pPr>
      <w:r>
        <w:t xml:space="preserve">In scope: the Core Platform mission and design rules; the inventory of core platform services with identifiers, scope and obligations; the data classification model; the mechanisms that implement progressive adoption and capability-driven validation; the shared business object service contract; platform non-functional obligations; and the integration boundary.</w:t>
      </w:r>
    </w:p>
    <w:p>
      <w:pPr>
        <w:spacing w:after="120" w:before="0"/>
      </w:pPr>
      <w:r>
        <w:t xml:space="preserve">Out of scope: individual service interface definitions (PDS-07); plug-in registration mechanics (PDS-08); business object attributes (PDS-05); user interface behavior (PDS-10); technology selection and deployment topology (PDS-12, PDS-13).</w:t>
      </w:r>
    </w:p>
    <w:p>
      <w:pPr>
        <w:pStyle w:val="Heading2"/>
        <w:spacing w:after="120" w:before="260"/>
      </w:pPr>
      <w:r>
        <w:rPr>
          <w:b/>
          <w:bCs/>
          <w:color w:val="2E74B5"/>
          <w:sz w:val="25"/>
          <w:szCs w:val="25"/>
        </w:rPr>
        <w:t xml:space="preserve">2.3 Relationship to the domain model</w:t>
      </w:r>
    </w:p>
    <w:p>
      <w:pPr>
        <w:spacing w:after="120" w:before="0"/>
      </w:pPr>
      <w:r>
        <w:t xml:space="preserve">Everything specified in this document is hosted by a single business domain: DOM-PLT — Platform Services. DOM-PLT is the root domain. It depends on no other domain, and every other domain depends on it. Where this document refers to "the Core Platform", the corresponding domain in PDS-04 is DOM-PLT.</w:t>
      </w:r>
    </w:p>
    <w:p>
      <w:r>
        <w:br w:type="page"/>
      </w:r>
    </w:p>
    <w:p>
      <w:pPr>
        <w:pStyle w:val="Heading1"/>
        <w:spacing w:after="160" w:before="320"/>
      </w:pPr>
      <w:r>
        <w:rPr>
          <w:b/>
          <w:bCs/>
          <w:color w:val="1F4E79"/>
          <w:sz w:val="30"/>
          <w:szCs w:val="30"/>
        </w:rPr>
        <w:t xml:space="preserve">3. Core Platform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The Core Platform provides all shared business objects and enterprise services. Business modules must reuse these services and must not redefine shared entities or duplicate platform logic.</w:t>
      </w:r>
    </w:p>
    <w:p>
      <w:pPr>
        <w:spacing w:after="120" w:before="0"/>
      </w:pPr>
      <w:r>
        <w:t xml:space="preserve">Expressed as an obligation rather than a description: the Core Platform exists so that a business module can be written containing nothing but business logic. Every concern that is not specific to a single business domain — identity, structure, location, workflow, notification, audit, search, documents, configuration, reporting, integration, scheduling, storage, capability state and validation — is discharged by the platform on the module's behalf.</w:t>
      </w:r>
    </w:p>
    <w:p>
      <w:pPr>
        <w:pStyle w:val="Heading2"/>
        <w:spacing w:after="120" w:before="260"/>
      </w:pPr>
      <w:r>
        <w:rPr>
          <w:b/>
          <w:bCs/>
          <w:color w:val="2E74B5"/>
          <w:sz w:val="25"/>
          <w:szCs w:val="25"/>
        </w:rPr>
        <w:t xml:space="preserve">3.1 What the Core Platform guarantees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610"/>
        <w:gridCol w:w="4694"/>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Guarantee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Consequence for a module author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CG-01</w:t>
            </w:r>
          </w:p>
        </w:tc>
        <w:tc>
          <w:tcPr>
            <w:tcW w:type="dxa" w:w="3610"/>
            <w:tcMar>
              <w:top w:type="dxa" w:w="60"/>
              <w:left w:type="dxa" w:w="100"/>
              <w:bottom w:type="dxa" w:w="60"/>
              <w:right w:type="dxa" w:w="100"/>
            </w:tcMar>
            <w:vAlign w:val="center"/>
          </w:tcPr>
          <w:p>
            <w:pPr>
              <w:spacing w:after="20" w:before="20"/>
            </w:pPr>
            <w:r>
              <w:rPr>
                <w:sz w:val="20"/>
                <w:szCs w:val="20"/>
              </w:rPr>
              <w:t xml:space="preserve">One canonical definition exists for every shared business entity.</w:t>
            </w:r>
          </w:p>
        </w:tc>
        <w:tc>
          <w:tcPr>
            <w:tcW w:type="dxa" w:w="4694"/>
            <w:tcMar>
              <w:top w:type="dxa" w:w="60"/>
              <w:left w:type="dxa" w:w="100"/>
              <w:bottom w:type="dxa" w:w="60"/>
              <w:right w:type="dxa" w:w="100"/>
            </w:tcMar>
            <w:vAlign w:val="center"/>
          </w:tcPr>
          <w:p>
            <w:pPr>
              <w:spacing w:after="20" w:before="20"/>
            </w:pPr>
            <w:r>
              <w:rPr>
                <w:sz w:val="20"/>
                <w:szCs w:val="20"/>
              </w:rPr>
              <w:t xml:space="preserve">You never define Asset, Vehicle, Building or Employee. You consume them.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CG-02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Every shared capability is available as a service.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You never implement approval routing, notification, audit writing or search.</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CG-03</w:t>
            </w:r>
          </w:p>
        </w:tc>
        <w:tc>
          <w:tcPr>
            <w:tcW w:type="dxa" w:w="3610"/>
            <w:tcMar>
              <w:top w:type="dxa" w:w="60"/>
              <w:left w:type="dxa" w:w="100"/>
              <w:bottom w:type="dxa" w:w="60"/>
              <w:right w:type="dxa" w:w="100"/>
            </w:tcMar>
            <w:vAlign w:val="center"/>
          </w:tcPr>
          <w:p>
            <w:pPr>
              <w:spacing w:after="20" w:before="20"/>
            </w:pPr>
            <w:r>
              <w:rPr>
                <w:sz w:val="20"/>
                <w:szCs w:val="20"/>
              </w:rPr>
              <w:t xml:space="preserve">Security is enforced centrally.</w:t>
            </w:r>
          </w:p>
        </w:tc>
        <w:tc>
          <w:tcPr>
            <w:tcW w:type="dxa" w:w="4694"/>
            <w:tcMar>
              <w:top w:type="dxa" w:w="60"/>
              <w:left w:type="dxa" w:w="100"/>
              <w:bottom w:type="dxa" w:w="60"/>
              <w:right w:type="dxa" w:w="100"/>
            </w:tcMar>
            <w:vAlign w:val="center"/>
          </w:tcPr>
          <w:p>
            <w:pPr>
              <w:spacing w:after="20" w:before="20"/>
            </w:pPr>
            <w:r>
              <w:rPr>
                <w:sz w:val="20"/>
                <w:szCs w:val="20"/>
              </w:rPr>
              <w:t xml:space="preserve">You never write an authorization check. You declare the permission your action requires.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CG-04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Validation is resolved from enabled capabilities.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You never hardcode a mandatory field. You declare classification and the platform resolves it.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CG-05</w:t>
            </w:r>
          </w:p>
        </w:tc>
        <w:tc>
          <w:tcPr>
            <w:tcW w:type="dxa" w:w="3610"/>
            <w:tcMar>
              <w:top w:type="dxa" w:w="60"/>
              <w:left w:type="dxa" w:w="100"/>
              <w:bottom w:type="dxa" w:w="60"/>
              <w:right w:type="dxa" w:w="100"/>
            </w:tcMar>
            <w:vAlign w:val="center"/>
          </w:tcPr>
          <w:p>
            <w:pPr>
              <w:spacing w:after="20" w:before="20"/>
            </w:pPr>
            <w:r>
              <w:rPr>
                <w:sz w:val="20"/>
                <w:szCs w:val="20"/>
              </w:rPr>
              <w:t xml:space="preserve">Field visibility and Basic/Advanced grouping are metadata-driven.</w:t>
            </w:r>
          </w:p>
        </w:tc>
        <w:tc>
          <w:tcPr>
            <w:tcW w:type="dxa" w:w="4694"/>
            <w:tcMar>
              <w:top w:type="dxa" w:w="60"/>
              <w:left w:type="dxa" w:w="100"/>
              <w:bottom w:type="dxa" w:w="60"/>
              <w:right w:type="dxa" w:w="100"/>
            </w:tcMar>
            <w:vAlign w:val="center"/>
          </w:tcPr>
          <w:p>
            <w:pPr>
              <w:spacing w:after="20" w:before="20"/>
            </w:pPr>
            <w:r>
              <w:rPr>
                <w:sz w:val="20"/>
                <w:szCs w:val="20"/>
              </w:rPr>
              <w:t xml:space="preserve">You never build two versions of a screen.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CG-06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Enabling a capability adds structure without migration.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You never write an upgrade script to switch a capability 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CG-07</w:t>
            </w:r>
          </w:p>
        </w:tc>
        <w:tc>
          <w:tcPr>
            <w:tcW w:type="dxa" w:w="3610"/>
            <w:tcMar>
              <w:top w:type="dxa" w:w="60"/>
              <w:left w:type="dxa" w:w="100"/>
              <w:bottom w:type="dxa" w:w="60"/>
              <w:right w:type="dxa" w:w="100"/>
            </w:tcMar>
            <w:vAlign w:val="center"/>
          </w:tcPr>
          <w:p>
            <w:pPr>
              <w:spacing w:after="20" w:before="20"/>
            </w:pPr>
            <w:r>
              <w:rPr>
                <w:sz w:val="20"/>
                <w:szCs w:val="20"/>
              </w:rPr>
              <w:t xml:space="preserve">Every object supports attachments, audit history and configurable status.</w:t>
            </w:r>
          </w:p>
        </w:tc>
        <w:tc>
          <w:tcPr>
            <w:tcW w:type="dxa" w:w="4694"/>
            <w:tcMar>
              <w:top w:type="dxa" w:w="60"/>
              <w:left w:type="dxa" w:w="100"/>
              <w:bottom w:type="dxa" w:w="60"/>
              <w:right w:type="dxa" w:w="100"/>
            </w:tcMar>
            <w:vAlign w:val="center"/>
          </w:tcPr>
          <w:p>
            <w:pPr>
              <w:spacing w:after="20" w:before="20"/>
            </w:pPr>
            <w:r>
              <w:rPr>
                <w:sz w:val="20"/>
                <w:szCs w:val="20"/>
              </w:rPr>
              <w:t xml:space="preserve">You never build a document store or a history table.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CG-08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Every service is stateless and horizontally scalable.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You do not design for platform scale; you inherit it.</w:t>
            </w:r>
          </w:p>
        </w:tc>
      </w:tr>
    </w:tbl>
    <w:p>
      <w:r>
        <w:br w:type="page"/>
      </w:r>
    </w:p>
    <w:p>
      <w:pPr>
        <w:pStyle w:val="Heading1"/>
        <w:spacing w:after="160" w:before="320"/>
      </w:pPr>
      <w:r>
        <w:rPr>
          <w:b/>
          <w:bCs/>
          <w:color w:val="1F4E79"/>
          <w:sz w:val="30"/>
          <w:szCs w:val="30"/>
        </w:rPr>
        <w:t xml:space="preserve">4. Platform Design Rules</w:t>
      </w:r>
    </w:p>
    <w:p>
      <w:pPr>
        <w:pStyle w:val="Heading2"/>
        <w:spacing w:after="120" w:before="260"/>
      </w:pPr>
      <w:r>
        <w:rPr>
          <w:b/>
          <w:bCs/>
          <w:color w:val="2E74B5"/>
          <w:sz w:val="25"/>
          <w:szCs w:val="25"/>
        </w:rPr>
        <w:t xml:space="preserve">4.1 Foundational rules</w:t>
      </w:r>
    </w:p>
    <w:p>
      <w:pPr>
        <w:pStyle w:val="ListParagraph"/>
        <w:numPr>
          <w:ilvl w:val="0"/>
          <w:numId w:val="2"/>
        </w:numPr>
        <w:spacing w:after="60"/>
      </w:pPr>
      <w:r>
        <w:t xml:space="preserve">Every business object shall expose CRUD services through the platform API.</w:t>
      </w:r>
    </w:p>
    <w:p>
      <w:pPr>
        <w:pStyle w:val="ListParagraph"/>
        <w:numPr>
          <w:ilvl w:val="0"/>
          <w:numId w:val="2"/>
        </w:numPr>
        <w:spacing w:after="60"/>
      </w:pPr>
      <w:r>
        <w:t xml:space="preserve">Every business object shall support attachments, audit history and configurable statuses where applicable.</w:t>
      </w:r>
    </w:p>
    <w:p>
      <w:pPr>
        <w:pStyle w:val="ListParagraph"/>
        <w:numPr>
          <w:ilvl w:val="0"/>
          <w:numId w:val="2"/>
        </w:numPr>
        <w:spacing w:after="60"/>
      </w:pPr>
      <w:r>
        <w:t xml:space="preserve">Platform services shall be stateless and reusable.</w:t>
      </w:r>
    </w:p>
    <w:p>
      <w:pPr>
        <w:pStyle w:val="ListParagraph"/>
        <w:numPr>
          <w:ilvl w:val="0"/>
          <w:numId w:val="2"/>
        </w:numPr>
        <w:spacing w:after="60"/>
      </w:pPr>
      <w:r>
        <w:t xml:space="preserve">Plug-ins communicate through APIs and events only.</w:t>
      </w:r>
    </w:p>
    <w:p>
      <w:pPr>
        <w:pStyle w:val="ListParagraph"/>
        <w:numPr>
          <w:ilvl w:val="0"/>
          <w:numId w:val="2"/>
        </w:numPr>
        <w:spacing w:after="60"/>
      </w:pPr>
      <w:r>
        <w:t xml:space="preserve">All security enforcement is centralized in the Core Platform.</w:t>
      </w:r>
    </w:p>
    <w:p>
      <w:pPr>
        <w:pStyle w:val="Heading2"/>
        <w:spacing w:after="120" w:before="260"/>
      </w:pPr>
      <w:r>
        <w:rPr>
          <w:b/>
          <w:bCs/>
          <w:color w:val="2E74B5"/>
          <w:sz w:val="25"/>
          <w:szCs w:val="25"/>
        </w:rPr>
        <w:t xml:space="preserve">4.2 Further architectural rules</w:t>
      </w:r>
    </w:p>
    <w:p>
      <w:pPr>
        <w:pStyle w:val="ListParagraph"/>
        <w:numPr>
          <w:ilvl w:val="0"/>
          <w:numId w:val="2"/>
        </w:numPr>
        <w:spacing w:after="60"/>
      </w:pPr>
      <w:r>
        <w:t xml:space="preserve">A platform service shall never implement business-specific logic (GR-006).</w:t>
      </w:r>
    </w:p>
    <w:p>
      <w:pPr>
        <w:pStyle w:val="ListParagraph"/>
        <w:numPr>
          <w:ilvl w:val="0"/>
          <w:numId w:val="2"/>
        </w:numPr>
        <w:spacing w:after="60"/>
      </w:pPr>
      <w:r>
        <w:t xml:space="preserve">A platform service shall be consumable by every domain without modification.</w:t>
      </w:r>
    </w:p>
    <w:p>
      <w:pPr>
        <w:pStyle w:val="ListParagraph"/>
        <w:numPr>
          <w:ilvl w:val="0"/>
          <w:numId w:val="2"/>
        </w:numPr>
        <w:spacing w:after="60"/>
      </w:pPr>
      <w:r>
        <w:t xml:space="preserve">The Core Platform shall never depend on a plug-in, an external ERP, or a hardware vendor.</w:t>
      </w:r>
    </w:p>
    <w:p>
      <w:pPr>
        <w:pStyle w:val="ListParagraph"/>
        <w:numPr>
          <w:ilvl w:val="0"/>
          <w:numId w:val="2"/>
        </w:numPr>
        <w:spacing w:after="60"/>
      </w:pPr>
      <w:r>
        <w:t xml:space="preserve">Every platform service shall be versioned independently and shall support at least one previous version.</w:t>
      </w:r>
    </w:p>
    <w:p>
      <w:pPr>
        <w:pStyle w:val="ListParagraph"/>
        <w:numPr>
          <w:ilvl w:val="0"/>
          <w:numId w:val="2"/>
        </w:numPr>
        <w:spacing w:after="60"/>
      </w:pPr>
      <w:r>
        <w:t xml:space="preserve">Every platform service shall emit audit records for state-changing operations without the caller having to request it.</w:t>
      </w:r>
    </w:p>
    <w:p>
      <w:pPr>
        <w:pStyle w:val="ListParagraph"/>
        <w:numPr>
          <w:ilvl w:val="0"/>
          <w:numId w:val="2"/>
        </w:numPr>
        <w:spacing w:after="60"/>
      </w:pPr>
      <w:r>
        <w:t xml:space="preserve">No platform service shall require a business domain to be enabled in order to function.</w:t>
      </w:r>
    </w:p>
    <w:p>
      <w:pPr>
        <w:pStyle w:val="Heading2"/>
        <w:spacing w:after="120" w:before="260"/>
      </w:pPr>
      <w:r>
        <w:rPr>
          <w:b/>
          <w:bCs/>
          <w:color w:val="2E74B5"/>
          <w:sz w:val="25"/>
          <w:szCs w:val="25"/>
        </w:rPr>
        <w:t xml:space="preserve">4.3 Prohibited in the Core Platform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3430"/>
        <w:gridCol w:w="2888"/>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Prohibited</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Where it belongs</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Business-specific validation, such as "an asset must have an RFID tag"</w:t>
            </w:r>
          </w:p>
        </w:tc>
        <w:tc>
          <w:tcPr>
            <w:tcW w:type="dxa" w:w="3430"/>
            <w:tcMar>
              <w:top w:type="dxa" w:w="60"/>
              <w:left w:type="dxa" w:w="100"/>
              <w:bottom w:type="dxa" w:w="60"/>
              <w:right w:type="dxa" w:w="100"/>
            </w:tcMar>
            <w:vAlign w:val="center"/>
          </w:tcPr>
          <w:p>
            <w:pPr>
              <w:spacing w:after="20" w:before="20"/>
            </w:pPr>
            <w:r>
              <w:rPr>
                <w:sz w:val="20"/>
                <w:szCs w:val="20"/>
              </w:rPr>
              <w:t xml:space="preserve">Violates GR-006. The requirement is customer-configuration-specific, not universal.</w:t>
            </w:r>
          </w:p>
        </w:tc>
        <w:tc>
          <w:tcPr>
            <w:tcW w:type="dxa" w:w="2888"/>
            <w:tcMar>
              <w:top w:type="dxa" w:w="60"/>
              <w:left w:type="dxa" w:w="100"/>
              <w:bottom w:type="dxa" w:w="60"/>
              <w:right w:type="dxa" w:w="100"/>
            </w:tcMar>
            <w:vAlign w:val="center"/>
          </w:tcPr>
          <w:p>
            <w:pPr>
              <w:spacing w:after="20" w:before="20"/>
            </w:pPr>
            <w:r>
              <w:rPr>
                <w:sz w:val="20"/>
                <w:szCs w:val="20"/>
              </w:rPr>
              <w:t xml:space="preserve">Validation Profile configuration resolved by PS-014</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Business process orchestration, such as the loading verification sequence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The Core Platform provides the workflow engine, not the workflow content.</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DOM-SEC capabilities and the CRS</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Knowledge of module names or module-specific tables</w:t>
            </w:r>
          </w:p>
        </w:tc>
        <w:tc>
          <w:tcPr>
            <w:tcW w:type="dxa" w:w="3430"/>
            <w:tcMar>
              <w:top w:type="dxa" w:w="60"/>
              <w:left w:type="dxa" w:w="100"/>
              <w:bottom w:type="dxa" w:w="60"/>
              <w:right w:type="dxa" w:w="100"/>
            </w:tcMar>
            <w:vAlign w:val="center"/>
          </w:tcPr>
          <w:p>
            <w:pPr>
              <w:spacing w:after="20" w:before="20"/>
            </w:pPr>
            <w:r>
              <w:rPr>
                <w:sz w:val="20"/>
                <w:szCs w:val="20"/>
              </w:rPr>
              <w:t xml:space="preserve">Would create a dependency from Layer 1 to Layer 2.</w:t>
            </w:r>
          </w:p>
        </w:tc>
        <w:tc>
          <w:tcPr>
            <w:tcW w:type="dxa" w:w="2888"/>
            <w:tcMar>
              <w:top w:type="dxa" w:w="60"/>
              <w:left w:type="dxa" w:w="100"/>
              <w:bottom w:type="dxa" w:w="60"/>
              <w:right w:type="dxa" w:w="100"/>
            </w:tcMar>
            <w:vAlign w:val="center"/>
          </w:tcPr>
          <w:p>
            <w:pPr>
              <w:spacing w:after="20" w:before="20"/>
            </w:pPr>
            <w:r>
              <w:rPr>
                <w:sz w:val="20"/>
                <w:szCs w:val="20"/>
              </w:rPr>
              <w:t xml:space="preserve">Plug-in Framework registration metadata</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Direct hardware protocol handling</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Reader, camera and PLC protocols change independently of the platform.</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Layer 3 connectors via the Integration Framework</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Reporting content, such as a specific inventory report</w:t>
            </w:r>
          </w:p>
        </w:tc>
        <w:tc>
          <w:tcPr>
            <w:tcW w:type="dxa" w:w="3430"/>
            <w:tcMar>
              <w:top w:type="dxa" w:w="60"/>
              <w:left w:type="dxa" w:w="100"/>
              <w:bottom w:type="dxa" w:w="60"/>
              <w:right w:type="dxa" w:w="100"/>
            </w:tcMar>
            <w:vAlign w:val="center"/>
          </w:tcPr>
          <w:p>
            <w:pPr>
              <w:spacing w:after="20" w:before="20"/>
            </w:pPr>
            <w:r>
              <w:rPr>
                <w:sz w:val="20"/>
                <w:szCs w:val="20"/>
              </w:rPr>
              <w:t xml:space="preserve">The Core Platform provides the reporting engine, not report definitions.</w:t>
            </w:r>
          </w:p>
        </w:tc>
        <w:tc>
          <w:tcPr>
            <w:tcW w:type="dxa" w:w="2888"/>
            <w:tcMar>
              <w:top w:type="dxa" w:w="60"/>
              <w:left w:type="dxa" w:w="100"/>
              <w:bottom w:type="dxa" w:w="60"/>
              <w:right w:type="dxa" w:w="100"/>
            </w:tcMar>
            <w:vAlign w:val="center"/>
          </w:tcPr>
          <w:p>
            <w:pPr>
              <w:spacing w:after="20" w:before="20"/>
            </w:pPr>
            <w:r>
              <w:rPr>
                <w:sz w:val="20"/>
                <w:szCs w:val="20"/>
              </w:rPr>
              <w:t xml:space="preserve">DOM-INT and PDS-07 reporting framework</w:t>
            </w:r>
          </w:p>
        </w:tc>
      </w:tr>
    </w:tbl>
    <w:p>
      <w:pPr>
        <w:pStyle w:val="Heading2"/>
        <w:spacing w:after="120" w:before="260"/>
      </w:pPr>
      <w:r>
        <w:rPr>
          <w:b/>
          <w:bCs/>
          <w:color w:val="2E74B5"/>
          <w:sz w:val="25"/>
          <w:szCs w:val="25"/>
        </w:rPr>
        <w:t xml:space="preserve">4.4 Capability-aware validation is mandatory</w:t>
      </w:r>
    </w:p>
    <w:p>
      <w:pPr>
        <w:spacing w:after="120" w:before="0"/>
      </w:pPr>
      <w:r>
        <w:t xml:space="preserve">Core Platform services shall support capability-aware validation. A service that validates input shall resolve the effective rule set from three inputs — the object definition, the tenant's enabled capability set, and the tenant's validation profile — and never from hardcoded constants.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Test  </w:t>
      </w:r>
      <w:r>
        <w:rPr>
          <w:sz w:val="20"/>
          <w:szCs w:val="20"/>
        </w:rPr>
        <w:t xml:space="preserve">A Core Platform service passes this rule if the same code path, running for two tenants with different enabled capabilities, produces different mandatory field sets with no branching on module or customer identity.</w:t>
      </w:r>
    </w:p>
    <w:p>
      <w:r>
        <w:br w:type="page"/>
      </w:r>
    </w:p>
    <w:p>
      <w:pPr>
        <w:pStyle w:val="Heading1"/>
        <w:spacing w:after="160" w:before="320"/>
      </w:pPr>
      <w:r>
        <w:rPr>
          <w:b/>
          <w:bCs/>
          <w:color w:val="1F4E79"/>
          <w:sz w:val="30"/>
          <w:szCs w:val="30"/>
        </w:rPr>
        <w:t xml:space="preserve">5. Core Platform Services</w:t>
      </w:r>
    </w:p>
    <w:p>
      <w:pPr>
        <w:spacing w:after="120" w:before="0"/>
      </w:pPr>
      <w:r>
        <w:t xml:space="preserve">Seventeen services constitute the Core Platform. Fourteen are hosted by DOM-PLT; three (PS-001, PS-002, PS-003) are exposed as platform services while their objects are hosted by DOM-IAM, DOM-ENT and DOM-LOC respectively, as set out in §9. Detailed interface contracts are specified in PDS-07.</w:t>
      </w:r>
    </w:p>
    <w:p>
      <w:pPr>
        <w:pStyle w:val="Heading2"/>
        <w:spacing w:after="120" w:before="260"/>
      </w:pPr>
      <w:r>
        <w:rPr>
          <w:b/>
          <w:bCs/>
          <w:color w:val="2E74B5"/>
          <w:sz w:val="25"/>
          <w:szCs w:val="25"/>
        </w:rPr>
        <w:t xml:space="preserve">5.0 Service inventory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2166"/>
        <w:gridCol w:w="1986"/>
        <w:gridCol w:w="3971"/>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Responsibilities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PS-001</w:t>
            </w:r>
          </w:p>
        </w:tc>
        <w:tc>
          <w:tcPr>
            <w:tcW w:type="dxa" w:w="2166"/>
            <w:tcMar>
              <w:top w:type="dxa" w:w="60"/>
              <w:left w:type="dxa" w:w="100"/>
              <w:bottom w:type="dxa" w:w="60"/>
              <w:right w:type="dxa" w:w="100"/>
            </w:tcMar>
            <w:vAlign w:val="center"/>
          </w:tcPr>
          <w:p>
            <w:pPr>
              <w:spacing w:after="20" w:before="20"/>
            </w:pPr>
            <w:r>
              <w:rPr>
                <w:sz w:val="20"/>
                <w:szCs w:val="20"/>
              </w:rPr>
              <w:t xml:space="preserve">Identity &amp; Access</w:t>
            </w:r>
          </w:p>
        </w:tc>
        <w:tc>
          <w:tcPr>
            <w:tcW w:type="dxa" w:w="1986"/>
            <w:tcMar>
              <w:top w:type="dxa" w:w="60"/>
              <w:left w:type="dxa" w:w="100"/>
              <w:bottom w:type="dxa" w:w="60"/>
              <w:right w:type="dxa" w:w="100"/>
            </w:tcMar>
            <w:vAlign w:val="center"/>
          </w:tcPr>
          <w:p>
            <w:pPr>
              <w:spacing w:after="20" w:before="20"/>
            </w:pPr>
            <w:r>
              <w:rPr>
                <w:sz w:val="20"/>
                <w:szCs w:val="20"/>
              </w:rPr>
              <w:t xml:space="preserve">Delegated to DOM-IAM</w:t>
            </w:r>
          </w:p>
        </w:tc>
        <w:tc>
          <w:tcPr>
            <w:tcW w:type="dxa" w:w="3971"/>
            <w:tcMar>
              <w:top w:type="dxa" w:w="60"/>
              <w:left w:type="dxa" w:w="100"/>
              <w:bottom w:type="dxa" w:w="60"/>
              <w:right w:type="dxa" w:w="100"/>
            </w:tcMar>
            <w:vAlign w:val="center"/>
          </w:tcPr>
          <w:p>
            <w:pPr>
              <w:spacing w:after="20" w:before="20"/>
            </w:pPr>
            <w:r>
              <w:rPr>
                <w:sz w:val="20"/>
                <w:szCs w:val="20"/>
              </w:rPr>
              <w:t xml:space="preserve">Authentication, SSO, MFA, users, roles, permissions, sessions, API clients, scope enforcement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PS-002</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Delegated to DOM-ENT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Organizations, business units, departments, cost centers, employees, contractors, teams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PS-003</w:t>
            </w:r>
          </w:p>
        </w:tc>
        <w:tc>
          <w:tcPr>
            <w:tcW w:type="dxa" w:w="2166"/>
            <w:tcMar>
              <w:top w:type="dxa" w:w="60"/>
              <w:left w:type="dxa" w:w="100"/>
              <w:bottom w:type="dxa" w:w="60"/>
              <w:right w:type="dxa" w:w="100"/>
            </w:tcMar>
            <w:vAlign w:val="center"/>
          </w:tcPr>
          <w:p>
            <w:pPr>
              <w:spacing w:after="20" w:before="20"/>
            </w:pPr>
            <w:r>
              <w:rPr>
                <w:sz w:val="20"/>
                <w:szCs w:val="20"/>
              </w:rPr>
              <w:t xml:space="preserve">Location Service</w:t>
            </w:r>
          </w:p>
        </w:tc>
        <w:tc>
          <w:tcPr>
            <w:tcW w:type="dxa" w:w="1986"/>
            <w:tcMar>
              <w:top w:type="dxa" w:w="60"/>
              <w:left w:type="dxa" w:w="100"/>
              <w:bottom w:type="dxa" w:w="60"/>
              <w:right w:type="dxa" w:w="100"/>
            </w:tcMar>
            <w:vAlign w:val="center"/>
          </w:tcPr>
          <w:p>
            <w:pPr>
              <w:spacing w:after="20" w:before="20"/>
            </w:pPr>
            <w:r>
              <w:rPr>
                <w:sz w:val="20"/>
                <w:szCs w:val="20"/>
              </w:rPr>
              <w:t xml:space="preserve">Delegated to DOM-LOC</w:t>
            </w:r>
          </w:p>
        </w:tc>
        <w:tc>
          <w:tcPr>
            <w:tcW w:type="dxa" w:w="3971"/>
            <w:tcMar>
              <w:top w:type="dxa" w:w="60"/>
              <w:left w:type="dxa" w:w="100"/>
              <w:bottom w:type="dxa" w:w="60"/>
              <w:right w:type="dxa" w:w="100"/>
            </w:tcMar>
            <w:vAlign w:val="center"/>
          </w:tcPr>
          <w:p>
            <w:pPr>
              <w:spacing w:after="20" w:before="20"/>
            </w:pPr>
            <w:r>
              <w:rPr>
                <w:sz w:val="20"/>
                <w:szCs w:val="20"/>
              </w:rPr>
              <w:t xml:space="preserve">Campus, site, building, floor, room, zone, warehouse, storage location, gate, floor plan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PS-004</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Platform-wide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Canonical entity registry, extension attributes, object lifecycle and status framework</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PS-005</w:t>
            </w:r>
          </w:p>
        </w:tc>
        <w:tc>
          <w:tcPr>
            <w:tcW w:type="dxa" w:w="2166"/>
            <w:tcMar>
              <w:top w:type="dxa" w:w="60"/>
              <w:left w:type="dxa" w:w="100"/>
              <w:bottom w:type="dxa" w:w="60"/>
              <w:right w:type="dxa" w:w="100"/>
            </w:tcMar>
            <w:vAlign w:val="center"/>
          </w:tcPr>
          <w:p>
            <w:pPr>
              <w:spacing w:after="20" w:before="20"/>
            </w:pPr>
            <w:r>
              <w:rPr>
                <w:sz w:val="20"/>
                <w:szCs w:val="20"/>
              </w:rPr>
              <w:t xml:space="preserve">Workflow Engine</w:t>
            </w:r>
          </w:p>
        </w:tc>
        <w:tc>
          <w:tcPr>
            <w:tcW w:type="dxa" w:w="1986"/>
            <w:tcMar>
              <w:top w:type="dxa" w:w="60"/>
              <w:left w:type="dxa" w:w="100"/>
              <w:bottom w:type="dxa" w:w="60"/>
              <w:right w:type="dxa" w:w="100"/>
            </w:tcMar>
            <w:vAlign w:val="center"/>
          </w:tcPr>
          <w:p>
            <w:pPr>
              <w:spacing w:after="20" w:before="20"/>
            </w:pPr>
            <w:r>
              <w:rPr>
                <w:sz w:val="20"/>
                <w:szCs w:val="20"/>
              </w:rPr>
              <w:t xml:space="preserve">SD-PLT-WF</w:t>
            </w:r>
          </w:p>
        </w:tc>
        <w:tc>
          <w:tcPr>
            <w:tcW w:type="dxa" w:w="3971"/>
            <w:tcMar>
              <w:top w:type="dxa" w:w="60"/>
              <w:left w:type="dxa" w:w="100"/>
              <w:bottom w:type="dxa" w:w="60"/>
              <w:right w:type="dxa" w:w="100"/>
            </w:tcMar>
            <w:vAlign w:val="center"/>
          </w:tcPr>
          <w:p>
            <w:pPr>
              <w:spacing w:after="20" w:before="20"/>
            </w:pPr>
            <w:r>
              <w:rPr>
                <w:sz w:val="20"/>
                <w:szCs w:val="20"/>
              </w:rPr>
              <w:t xml:space="preserve">Configurable approval workflows, escalation, delegation, step routing, workflow instances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PS-006</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Notification Engine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Email, SMS, push and in-app notification, templates, queueing, retry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PS-007</w:t>
            </w:r>
          </w:p>
        </w:tc>
        <w:tc>
          <w:tcPr>
            <w:tcW w:type="dxa" w:w="2166"/>
            <w:tcMar>
              <w:top w:type="dxa" w:w="60"/>
              <w:left w:type="dxa" w:w="100"/>
              <w:bottom w:type="dxa" w:w="60"/>
              <w:right w:type="dxa" w:w="100"/>
            </w:tcMar>
            <w:vAlign w:val="center"/>
          </w:tcPr>
          <w:p>
            <w:pPr>
              <w:spacing w:after="20" w:before="20"/>
            </w:pPr>
            <w:r>
              <w:rPr>
                <w:sz w:val="20"/>
                <w:szCs w:val="20"/>
              </w:rPr>
              <w:t xml:space="preserve">Audit Service</w:t>
            </w:r>
          </w:p>
        </w:tc>
        <w:tc>
          <w:tcPr>
            <w:tcW w:type="dxa" w:w="1986"/>
            <w:tcMar>
              <w:top w:type="dxa" w:w="60"/>
              <w:left w:type="dxa" w:w="100"/>
              <w:bottom w:type="dxa" w:w="60"/>
              <w:right w:type="dxa" w:w="100"/>
            </w:tcMar>
            <w:vAlign w:val="center"/>
          </w:tcPr>
          <w:p>
            <w:pPr>
              <w:spacing w:after="20" w:before="20"/>
            </w:pPr>
            <w:r>
              <w:rPr>
                <w:sz w:val="20"/>
                <w:szCs w:val="20"/>
              </w:rPr>
              <w:t xml:space="preserve">SD-PLT-AUD</w:t>
            </w:r>
          </w:p>
        </w:tc>
        <w:tc>
          <w:tcPr>
            <w:tcW w:type="dxa" w:w="3971"/>
            <w:tcMar>
              <w:top w:type="dxa" w:w="60"/>
              <w:left w:type="dxa" w:w="100"/>
              <w:bottom w:type="dxa" w:w="60"/>
              <w:right w:type="dxa" w:w="100"/>
            </w:tcMar>
            <w:vAlign w:val="center"/>
          </w:tcPr>
          <w:p>
            <w:pPr>
              <w:spacing w:after="20" w:before="20"/>
            </w:pPr>
            <w:r>
              <w:rPr>
                <w:sz w:val="20"/>
                <w:szCs w:val="20"/>
              </w:rPr>
              <w:t xml:space="preserve">Immutable audit log, activity history, change comparison, compliance extraction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PS-008</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Search Service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Global indexed search, full-text search, saved searches, advanced filtering</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PS-009</w:t>
            </w:r>
          </w:p>
        </w:tc>
        <w:tc>
          <w:tcPr>
            <w:tcW w:type="dxa" w:w="2166"/>
            <w:tcMar>
              <w:top w:type="dxa" w:w="60"/>
              <w:left w:type="dxa" w:w="100"/>
              <w:bottom w:type="dxa" w:w="60"/>
              <w:right w:type="dxa" w:w="100"/>
            </w:tcMar>
            <w:vAlign w:val="center"/>
          </w:tcPr>
          <w:p>
            <w:pPr>
              <w:spacing w:after="20" w:before="20"/>
            </w:pPr>
            <w:r>
              <w:rPr>
                <w:sz w:val="20"/>
                <w:szCs w:val="20"/>
              </w:rPr>
              <w:t xml:space="preserve">Document Service</w:t>
            </w:r>
          </w:p>
        </w:tc>
        <w:tc>
          <w:tcPr>
            <w:tcW w:type="dxa" w:w="1986"/>
            <w:tcMar>
              <w:top w:type="dxa" w:w="60"/>
              <w:left w:type="dxa" w:w="100"/>
              <w:bottom w:type="dxa" w:w="60"/>
              <w:right w:type="dxa" w:w="100"/>
            </w:tcMar>
            <w:vAlign w:val="center"/>
          </w:tcPr>
          <w:p>
            <w:pPr>
              <w:spacing w:after="20" w:before="20"/>
            </w:pPr>
            <w:r>
              <w:rPr>
                <w:sz w:val="20"/>
                <w:szCs w:val="20"/>
              </w:rPr>
              <w:t xml:space="preserve">SD-PLT-DOC</w:t>
            </w:r>
          </w:p>
        </w:tc>
        <w:tc>
          <w:tcPr>
            <w:tcW w:type="dxa" w:w="3971"/>
            <w:tcMar>
              <w:top w:type="dxa" w:w="60"/>
              <w:left w:type="dxa" w:w="100"/>
              <w:bottom w:type="dxa" w:w="60"/>
              <w:right w:type="dxa" w:w="100"/>
            </w:tcMar>
            <w:vAlign w:val="center"/>
          </w:tcPr>
          <w:p>
            <w:pPr>
              <w:spacing w:after="20" w:before="20"/>
            </w:pPr>
            <w:r>
              <w:rPr>
                <w:sz w:val="20"/>
                <w:szCs w:val="20"/>
              </w:rPr>
              <w:t xml:space="preserve">Attachments, images, manuals, certificates, versioning, preview, classification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PS-010</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Configuration Service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Lookup values, numbering schemes, statuses, feature flags, tenant settings, localization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PS-011</w:t>
            </w:r>
          </w:p>
        </w:tc>
        <w:tc>
          <w:tcPr>
            <w:tcW w:type="dxa" w:w="2166"/>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986"/>
            <w:tcMar>
              <w:top w:type="dxa" w:w="60"/>
              <w:left w:type="dxa" w:w="100"/>
              <w:bottom w:type="dxa" w:w="60"/>
              <w:right w:type="dxa" w:w="100"/>
            </w:tcMar>
            <w:vAlign w:val="center"/>
          </w:tcPr>
          <w:p>
            <w:pPr>
              <w:spacing w:after="20" w:before="20"/>
            </w:pPr>
            <w:r>
              <w:rPr>
                <w:sz w:val="20"/>
                <w:szCs w:val="20"/>
              </w:rPr>
              <w:t xml:space="preserve">SD-PLT-RPT</w:t>
            </w:r>
          </w:p>
        </w:tc>
        <w:tc>
          <w:tcPr>
            <w:tcW w:type="dxa" w:w="3971"/>
            <w:tcMar>
              <w:top w:type="dxa" w:w="60"/>
              <w:left w:type="dxa" w:w="100"/>
              <w:bottom w:type="dxa" w:w="60"/>
              <w:right w:type="dxa" w:w="100"/>
            </w:tcMar>
            <w:vAlign w:val="center"/>
          </w:tcPr>
          <w:p>
            <w:pPr>
              <w:spacing w:after="20" w:before="20"/>
            </w:pPr>
            <w:r>
              <w:rPr>
                <w:sz w:val="20"/>
                <w:szCs w:val="20"/>
              </w:rPr>
              <w:t xml:space="preserve">Metadata-driven reporting engine, dashboard rendering, export, scheduled distribution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PS-012</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REST APIs, webhooks, event publishing and subscription, ERP adapters, RFID and device connectors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PS-013</w:t>
            </w:r>
          </w:p>
        </w:tc>
        <w:tc>
          <w:tcPr>
            <w:tcW w:type="dxa" w:w="2166"/>
            <w:tcMar>
              <w:top w:type="dxa" w:w="60"/>
              <w:left w:type="dxa" w:w="100"/>
              <w:bottom w:type="dxa" w:w="60"/>
              <w:right w:type="dxa" w:w="100"/>
            </w:tcMar>
            <w:vAlign w:val="center"/>
          </w:tcPr>
          <w:p>
            <w:pPr>
              <w:spacing w:after="20" w:before="20"/>
            </w:pPr>
            <w:r>
              <w:rPr>
                <w:sz w:val="20"/>
                <w:szCs w:val="20"/>
              </w:rPr>
              <w:t xml:space="preserve">Capability Registry</w:t>
            </w:r>
          </w:p>
        </w:tc>
        <w:tc>
          <w:tcPr>
            <w:tcW w:type="dxa" w:w="1986"/>
            <w:tcMar>
              <w:top w:type="dxa" w:w="60"/>
              <w:left w:type="dxa" w:w="100"/>
              <w:bottom w:type="dxa" w:w="60"/>
              <w:right w:type="dxa" w:w="100"/>
            </w:tcMar>
            <w:vAlign w:val="center"/>
          </w:tcPr>
          <w:p>
            <w:pPr>
              <w:spacing w:after="20" w:before="20"/>
            </w:pPr>
            <w:r>
              <w:rPr>
                <w:sz w:val="20"/>
                <w:szCs w:val="20"/>
              </w:rPr>
              <w:t xml:space="preserve">SD-PLT-CAP</w:t>
            </w:r>
          </w:p>
        </w:tc>
        <w:tc>
          <w:tcPr>
            <w:tcW w:type="dxa" w:w="3971"/>
            <w:tcMar>
              <w:top w:type="dxa" w:w="60"/>
              <w:left w:type="dxa" w:w="100"/>
              <w:bottom w:type="dxa" w:w="60"/>
              <w:right w:type="dxa" w:w="100"/>
            </w:tcMar>
            <w:vAlign w:val="center"/>
          </w:tcPr>
          <w:p>
            <w:pPr>
              <w:spacing w:after="20" w:before="20"/>
            </w:pPr>
            <w:r>
              <w:rPr>
                <w:sz w:val="20"/>
                <w:szCs w:val="20"/>
              </w:rPr>
              <w:t xml:space="preserve">Licensed and enabled capability state per tenant; capability lifecycle events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PS-014</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Validation Service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Resolution of the effective mandatory field set from definition, capabilities and profile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PS-015</w:t>
            </w:r>
          </w:p>
        </w:tc>
        <w:tc>
          <w:tcPr>
            <w:tcW w:type="dxa" w:w="2166"/>
            <w:tcMar>
              <w:top w:type="dxa" w:w="60"/>
              <w:left w:type="dxa" w:w="100"/>
              <w:bottom w:type="dxa" w:w="60"/>
              <w:right w:type="dxa" w:w="100"/>
            </w:tcMar>
            <w:vAlign w:val="center"/>
          </w:tcPr>
          <w:p>
            <w:pPr>
              <w:spacing w:after="20" w:before="20"/>
            </w:pPr>
            <w:r>
              <w:rPr>
                <w:sz w:val="20"/>
                <w:szCs w:val="20"/>
              </w:rPr>
              <w:t xml:space="preserve">Metadata Service</w:t>
            </w:r>
          </w:p>
        </w:tc>
        <w:tc>
          <w:tcPr>
            <w:tcW w:type="dxa" w:w="1986"/>
            <w:tcMar>
              <w:top w:type="dxa" w:w="60"/>
              <w:left w:type="dxa" w:w="100"/>
              <w:bottom w:type="dxa" w:w="60"/>
              <w:right w:type="dxa" w:w="100"/>
            </w:tcMar>
            <w:vAlign w:val="center"/>
          </w:tcPr>
          <w:p>
            <w:pPr>
              <w:spacing w:after="20" w:before="20"/>
            </w:pPr>
            <w:r>
              <w:rPr>
                <w:sz w:val="20"/>
                <w:szCs w:val="20"/>
              </w:rPr>
              <w:t xml:space="preserve">SD-PLT-CAP</w:t>
            </w:r>
          </w:p>
        </w:tc>
        <w:tc>
          <w:tcPr>
            <w:tcW w:type="dxa" w:w="3971"/>
            <w:tcMar>
              <w:top w:type="dxa" w:w="60"/>
              <w:left w:type="dxa" w:w="100"/>
              <w:bottom w:type="dxa" w:w="60"/>
              <w:right w:type="dxa" w:w="100"/>
            </w:tcMar>
            <w:vAlign w:val="center"/>
          </w:tcPr>
          <w:p>
            <w:pPr>
              <w:spacing w:after="20" w:before="20"/>
            </w:pPr>
            <w:r>
              <w:rPr>
                <w:sz w:val="20"/>
                <w:szCs w:val="20"/>
              </w:rPr>
              <w:t xml:space="preserve">Field visibility, Basic/Advanced grouping, labels, help text and layout metadata</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PS-016</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Job Scheduler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Scheduled job definition, execution, monitoring and retry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PS-017</w:t>
            </w:r>
          </w:p>
        </w:tc>
        <w:tc>
          <w:tcPr>
            <w:tcW w:type="dxa" w:w="2166"/>
            <w:tcMar>
              <w:top w:type="dxa" w:w="60"/>
              <w:left w:type="dxa" w:w="100"/>
              <w:bottom w:type="dxa" w:w="60"/>
              <w:right w:type="dxa" w:w="100"/>
            </w:tcMar>
            <w:vAlign w:val="center"/>
          </w:tcPr>
          <w:p>
            <w:pPr>
              <w:spacing w:after="20" w:before="20"/>
            </w:pPr>
            <w:r>
              <w:rPr>
                <w:sz w:val="20"/>
                <w:szCs w:val="20"/>
              </w:rPr>
              <w:t xml:space="preserve">File Storage</w:t>
            </w:r>
          </w:p>
        </w:tc>
        <w:tc>
          <w:tcPr>
            <w:tcW w:type="dxa" w:w="1986"/>
            <w:tcMar>
              <w:top w:type="dxa" w:w="60"/>
              <w:left w:type="dxa" w:w="100"/>
              <w:bottom w:type="dxa" w:w="60"/>
              <w:right w:type="dxa" w:w="100"/>
            </w:tcMar>
            <w:vAlign w:val="center"/>
          </w:tcPr>
          <w:p>
            <w:pPr>
              <w:spacing w:after="20" w:before="20"/>
            </w:pPr>
            <w:r>
              <w:rPr>
                <w:sz w:val="20"/>
                <w:szCs w:val="20"/>
              </w:rPr>
              <w:t xml:space="preserve">SD-PLT-FILE</w:t>
            </w:r>
          </w:p>
        </w:tc>
        <w:tc>
          <w:tcPr>
            <w:tcW w:type="dxa" w:w="3971"/>
            <w:tcMar>
              <w:top w:type="dxa" w:w="60"/>
              <w:left w:type="dxa" w:w="100"/>
              <w:bottom w:type="dxa" w:w="60"/>
              <w:right w:type="dxa" w:w="100"/>
            </w:tcMar>
            <w:vAlign w:val="center"/>
          </w:tcPr>
          <w:p>
            <w:pPr>
              <w:spacing w:after="20" w:before="20"/>
            </w:pPr>
            <w:r>
              <w:rPr>
                <w:sz w:val="20"/>
                <w:szCs w:val="20"/>
              </w:rPr>
              <w:t xml:space="preserve">Storage abstraction, retrieval, quota enforcement, retention and purge</w:t>
            </w:r>
          </w:p>
        </w:tc>
      </w:tr>
    </w:tbl>
    <w:p>
      <w:pPr>
        <w:pStyle w:val="Heading2"/>
        <w:spacing w:after="120" w:before="260"/>
      </w:pPr>
      <w:r>
        <w:rPr>
          <w:b/>
          <w:bCs/>
          <w:color w:val="2E74B5"/>
          <w:sz w:val="25"/>
          <w:szCs w:val="25"/>
        </w:rPr>
        <w:t xml:space="preserve">5.1 PS-001 — Identity &amp; Access</w:t>
      </w:r>
    </w:p>
    <w:p>
      <w:pPr>
        <w:spacing w:after="120" w:before="0"/>
      </w:pPr>
      <w:r>
        <w:rPr>
          <w:i/>
          <w:iCs/>
        </w:rPr>
        <w:t xml:space="preserve">Authentication and authorization for every actor: human users, handheld devices and machine clients.</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Authenticate by password, single sign-on (SAML, OIDC), certificate or device credential.</w:t>
      </w:r>
    </w:p>
    <w:p>
      <w:pPr>
        <w:pStyle w:val="ListParagraph"/>
        <w:numPr>
          <w:ilvl w:val="0"/>
          <w:numId w:val="3"/>
        </w:numPr>
        <w:spacing w:after="60"/>
      </w:pPr>
      <w:r>
        <w:t xml:space="preserve">Enforce multi-factor authentication where the credential policy requires it.</w:t>
      </w:r>
    </w:p>
    <w:p>
      <w:pPr>
        <w:pStyle w:val="ListParagraph"/>
        <w:numPr>
          <w:ilvl w:val="0"/>
          <w:numId w:val="3"/>
        </w:numPr>
        <w:spacing w:after="60"/>
      </w:pPr>
      <w:r>
        <w:t xml:space="preserve">Evaluate every authorization request centrally; no module evaluates permissions.</w:t>
      </w:r>
    </w:p>
    <w:p>
      <w:pPr>
        <w:pStyle w:val="ListParagraph"/>
        <w:numPr>
          <w:ilvl w:val="0"/>
          <w:numId w:val="3"/>
        </w:numPr>
        <w:spacing w:after="60"/>
      </w:pPr>
      <w:r>
        <w:t xml:space="preserve">Enforce organizational, location and departmental data scope on every query.</w:t>
      </w:r>
    </w:p>
    <w:p>
      <w:pPr>
        <w:pStyle w:val="ListParagraph"/>
        <w:numPr>
          <w:ilvl w:val="0"/>
          <w:numId w:val="3"/>
        </w:numPr>
        <w:spacing w:after="60"/>
      </w:pPr>
      <w:r>
        <w:t xml:space="preserve">Apply field-level masking to restricted attributes.</w:t>
      </w:r>
    </w:p>
    <w:p>
      <w:pPr>
        <w:pStyle w:val="ListParagraph"/>
        <w:numPr>
          <w:ilvl w:val="0"/>
          <w:numId w:val="3"/>
        </w:numPr>
        <w:spacing w:after="60"/>
      </w:pPr>
      <w:r>
        <w:t xml:space="preserve">Resolve the capability-aware menu and action set for the current actor.</w:t>
      </w:r>
    </w:p>
    <w:p>
      <w:pPr>
        <w:pStyle w:val="ListParagraph"/>
        <w:numPr>
          <w:ilvl w:val="0"/>
          <w:numId w:val="3"/>
        </w:numPr>
        <w:spacing w:after="60"/>
      </w:pPr>
      <w:r>
        <w:t xml:space="preserve">Manage sessions, tokens, API keys and their revocation.</w:t>
      </w:r>
    </w:p>
    <w:p>
      <w:pPr>
        <w:pStyle w:val="Heading3"/>
        <w:spacing w:after="100" w:before="200"/>
      </w:pPr>
      <w:r>
        <w:rPr>
          <w:b/>
          <w:bCs/>
          <w:color w:val="404040"/>
          <w:sz w:val="22"/>
          <w:szCs w:val="22"/>
        </w:rPr>
        <w:t xml:space="preserve">Ownership</w:t>
      </w:r>
    </w:p>
    <w:p>
      <w:pPr>
        <w:spacing w:after="120" w:before="0"/>
      </w:pPr>
      <w:r>
        <w:t xml:space="preserve">The domain of record is DOM-IAM. The Core Platform exposes it as a service so that no module ever contains access logic.</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No business module shall contain an authorization decision.</w:t>
      </w:r>
    </w:p>
    <w:p>
      <w:pPr>
        <w:pStyle w:val="ListParagraph"/>
        <w:numPr>
          <w:ilvl w:val="0"/>
          <w:numId w:val="3"/>
        </w:numPr>
        <w:spacing w:after="60"/>
      </w:pPr>
      <w:r>
        <w:t xml:space="preserve">Every authentication and authorization decision shall be audited.</w:t>
      </w:r>
    </w:p>
    <w:p>
      <w:pPr>
        <w:pStyle w:val="ListParagraph"/>
        <w:numPr>
          <w:ilvl w:val="0"/>
          <w:numId w:val="3"/>
        </w:numPr>
        <w:spacing w:after="60"/>
      </w:pPr>
      <w:r>
        <w:t xml:space="preserve">Denial shall be the default for any permission not explicitly granted.</w:t>
      </w:r>
    </w:p>
    <w:p>
      <w:pPr>
        <w:pStyle w:val="Heading2"/>
        <w:spacing w:after="120" w:before="260"/>
      </w:pPr>
      <w:r>
        <w:rPr>
          <w:b/>
          <w:bCs/>
          <w:color w:val="2E74B5"/>
          <w:sz w:val="25"/>
          <w:szCs w:val="25"/>
        </w:rPr>
        <w:t xml:space="preserve">5.2 PS-002 — Enterprise Structure</w:t>
      </w:r>
    </w:p>
    <w:p>
      <w:pPr>
        <w:spacing w:after="120" w:before="0"/>
      </w:pPr>
      <w:r>
        <w:rPr>
          <w:i/>
          <w:iCs/>
        </w:rPr>
        <w:t xml:space="preserve">The single authoritative organizational model shared across the platform.</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Maintain organizations, business units, departments, teams and cost centers.</w:t>
      </w:r>
    </w:p>
    <w:p>
      <w:pPr>
        <w:pStyle w:val="ListParagraph"/>
        <w:numPr>
          <w:ilvl w:val="0"/>
          <w:numId w:val="3"/>
        </w:numPr>
        <w:spacing w:after="60"/>
      </w:pPr>
      <w:r>
        <w:t xml:space="preserve">Maintain employee and contractor master data and their organizational relationships.</w:t>
      </w:r>
    </w:p>
    <w:p>
      <w:pPr>
        <w:pStyle w:val="ListParagraph"/>
        <w:numPr>
          <w:ilvl w:val="0"/>
          <w:numId w:val="3"/>
        </w:numPr>
        <w:spacing w:after="60"/>
      </w:pPr>
      <w:r>
        <w:t xml:space="preserve">Provide organizational hierarchy traversal for scope resolution.</w:t>
      </w:r>
    </w:p>
    <w:p>
      <w:pPr>
        <w:pStyle w:val="ListParagraph"/>
        <w:numPr>
          <w:ilvl w:val="0"/>
          <w:numId w:val="3"/>
        </w:numPr>
        <w:spacing w:after="60"/>
      </w:pPr>
      <w:r>
        <w:t xml:space="preserve">Publish organizational change events consumed by every dependent domain.</w:t>
      </w:r>
    </w:p>
    <w:p>
      <w:pPr>
        <w:pStyle w:val="Heading3"/>
        <w:spacing w:after="100" w:before="200"/>
      </w:pPr>
      <w:r>
        <w:rPr>
          <w:b/>
          <w:bCs/>
          <w:color w:val="404040"/>
          <w:sz w:val="22"/>
          <w:szCs w:val="22"/>
        </w:rPr>
        <w:t xml:space="preserve">Ownership</w:t>
      </w:r>
    </w:p>
    <w:p>
      <w:pPr>
        <w:spacing w:after="120" w:before="0"/>
      </w:pPr>
      <w:r>
        <w:t xml:space="preserve">The domain of record is DOM-ENT. No plug-in shall redefine enterprise structures.</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Only Name is Required on an Organization; only Name is Required on an Employee (EP-001).</w:t>
      </w:r>
    </w:p>
    <w:p>
      <w:pPr>
        <w:pStyle w:val="ListParagraph"/>
        <w:numPr>
          <w:ilvl w:val="0"/>
          <w:numId w:val="3"/>
        </w:numPr>
        <w:spacing w:after="60"/>
      </w:pPr>
      <w:r>
        <w:t xml:space="preserve">Department archival shall never orphan a dependent record; consumers are notified by event.</w:t>
      </w:r>
    </w:p>
    <w:p>
      <w:pPr>
        <w:pStyle w:val="Heading2"/>
        <w:spacing w:after="120" w:before="260"/>
      </w:pPr>
      <w:r>
        <w:rPr>
          <w:b/>
          <w:bCs/>
          <w:color w:val="2E74B5"/>
          <w:sz w:val="25"/>
          <w:szCs w:val="25"/>
        </w:rPr>
        <w:t xml:space="preserve">5.3 PS-003 — Location Service</w:t>
      </w:r>
    </w:p>
    <w:p>
      <w:pPr>
        <w:spacing w:after="120" w:before="0"/>
      </w:pPr>
      <w:r>
        <w:rPr>
          <w:i/>
          <w:iCs/>
        </w:rPr>
        <w:t xml:space="preserve">The unified spatial hierarchy consumed by assets, operations, security and intelligence.</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Maintain campus, site, building, floor, room and zone hierarchy.</w:t>
      </w:r>
    </w:p>
    <w:p>
      <w:pPr>
        <w:pStyle w:val="ListParagraph"/>
        <w:numPr>
          <w:ilvl w:val="0"/>
          <w:numId w:val="3"/>
        </w:numPr>
        <w:spacing w:after="60"/>
      </w:pPr>
      <w:r>
        <w:t xml:space="preserve">Maintain warehouse structure: areas, aisles, racks, shelves and bins.</w:t>
      </w:r>
    </w:p>
    <w:p>
      <w:pPr>
        <w:pStyle w:val="ListParagraph"/>
        <w:numPr>
          <w:ilvl w:val="0"/>
          <w:numId w:val="3"/>
        </w:numPr>
        <w:spacing w:after="60"/>
      </w:pPr>
      <w:r>
        <w:t xml:space="preserve">Maintain gates, loading bays, parking and inspection areas.</w:t>
      </w:r>
    </w:p>
    <w:p>
      <w:pPr>
        <w:pStyle w:val="ListParagraph"/>
        <w:numPr>
          <w:ilvl w:val="0"/>
          <w:numId w:val="3"/>
        </w:numPr>
        <w:spacing w:after="60"/>
      </w:pPr>
      <w:r>
        <w:t xml:space="preserve">Manage CAD and floor plan references and their versions.</w:t>
      </w:r>
    </w:p>
    <w:p>
      <w:pPr>
        <w:pStyle w:val="ListParagraph"/>
        <w:numPr>
          <w:ilvl w:val="0"/>
          <w:numId w:val="3"/>
        </w:numPr>
        <w:spacing w:after="60"/>
      </w:pPr>
      <w:r>
        <w:t xml:space="preserve">Provide spatial containment and traversal queries.</w:t>
      </w:r>
    </w:p>
    <w:p>
      <w:pPr>
        <w:pStyle w:val="Heading3"/>
        <w:spacing w:after="100" w:before="200"/>
      </w:pPr>
      <w:r>
        <w:rPr>
          <w:b/>
          <w:bCs/>
          <w:color w:val="404040"/>
          <w:sz w:val="22"/>
          <w:szCs w:val="22"/>
        </w:rPr>
        <w:t xml:space="preserve">Ownership</w:t>
      </w:r>
    </w:p>
    <w:p>
      <w:pPr>
        <w:spacing w:after="120" w:before="0"/>
      </w:pPr>
      <w:r>
        <w:t xml:space="preserve">The domain of record is DOM-LOC. Asset location is not a location responsibility; it is asset data.</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Only Name is Required on a Building; only Name and Code are Required on a Warehouse (EP-001).</w:t>
      </w:r>
    </w:p>
    <w:p>
      <w:pPr>
        <w:pStyle w:val="ListParagraph"/>
        <w:numPr>
          <w:ilvl w:val="0"/>
          <w:numId w:val="3"/>
        </w:numPr>
        <w:spacing w:after="60"/>
      </w:pPr>
      <w:r>
        <w:t xml:space="preserve">Every level below Warehouse is Capability-Dependent and shall be absent from the interface when the Warehouse structure capability is disabled (EP-002).</w:t>
      </w:r>
    </w:p>
    <w:p>
      <w:pPr>
        <w:pStyle w:val="ListParagraph"/>
        <w:numPr>
          <w:ilvl w:val="0"/>
          <w:numId w:val="3"/>
        </w:numPr>
        <w:spacing w:after="60"/>
      </w:pPr>
      <w:r>
        <w:t xml:space="preserve">A Room is the generic enclosed operational space, not only an office.</w:t>
      </w:r>
    </w:p>
    <w:p>
      <w:pPr>
        <w:pStyle w:val="Heading2"/>
        <w:spacing w:after="120" w:before="260"/>
      </w:pPr>
      <w:r>
        <w:rPr>
          <w:b/>
          <w:bCs/>
          <w:color w:val="2E74B5"/>
          <w:sz w:val="25"/>
          <w:szCs w:val="25"/>
        </w:rPr>
        <w:t xml:space="preserve">5.4 PS-004 — Shared Business Objects</w:t>
      </w:r>
    </w:p>
    <w:p>
      <w:pPr>
        <w:spacing w:after="120" w:before="0"/>
      </w:pPr>
      <w:r>
        <w:rPr>
          <w:i/>
          <w:iCs/>
        </w:rPr>
        <w:t xml:space="preserve">The canonical entity registry and the framework every business object inherits.</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Register every shared business object with its hosting domain, identifier and version.</w:t>
      </w:r>
    </w:p>
    <w:p>
      <w:pPr>
        <w:pStyle w:val="ListParagraph"/>
        <w:numPr>
          <w:ilvl w:val="0"/>
          <w:numId w:val="3"/>
        </w:numPr>
        <w:spacing w:after="60"/>
      </w:pPr>
      <w:r>
        <w:t xml:space="preserve">Provide the extension attribute mechanism, namespaced per contributing module.</w:t>
      </w:r>
    </w:p>
    <w:p>
      <w:pPr>
        <w:pStyle w:val="ListParagraph"/>
        <w:numPr>
          <w:ilvl w:val="0"/>
          <w:numId w:val="3"/>
        </w:numPr>
        <w:spacing w:after="60"/>
      </w:pPr>
      <w:r>
        <w:t xml:space="preserve">Provide the configurable status and lifecycle framework.</w:t>
      </w:r>
    </w:p>
    <w:p>
      <w:pPr>
        <w:pStyle w:val="ListParagraph"/>
        <w:numPr>
          <w:ilvl w:val="0"/>
          <w:numId w:val="3"/>
        </w:numPr>
        <w:spacing w:after="60"/>
      </w:pPr>
      <w:r>
        <w:t xml:space="preserve">Provide identity and uniqueness enforcement.</w:t>
      </w:r>
    </w:p>
    <w:p>
      <w:pPr>
        <w:pStyle w:val="ListParagraph"/>
        <w:numPr>
          <w:ilvl w:val="0"/>
          <w:numId w:val="3"/>
        </w:numPr>
        <w:spacing w:after="60"/>
      </w:pPr>
      <w:r>
        <w:t xml:space="preserve">Prevent registration of a duplicate or conflicting definition.</w:t>
      </w:r>
    </w:p>
    <w:p>
      <w:pPr>
        <w:pStyle w:val="Heading3"/>
        <w:spacing w:after="100" w:before="200"/>
      </w:pPr>
      <w:r>
        <w:rPr>
          <w:b/>
          <w:bCs/>
          <w:color w:val="404040"/>
          <w:sz w:val="22"/>
          <w:szCs w:val="22"/>
        </w:rPr>
        <w:t xml:space="preserve">Ownership</w:t>
      </w:r>
    </w:p>
    <w:p>
      <w:pPr>
        <w:spacing w:after="120" w:before="0"/>
      </w:pPr>
      <w:r>
        <w:t xml:space="preserve">Hosted platform-wide. This is the service that makes AP-001 enforceable rather than aspirational.</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An object may be registered by exactly one hosting domain (GR-001).</w:t>
      </w:r>
    </w:p>
    <w:p>
      <w:pPr>
        <w:pStyle w:val="ListParagraph"/>
        <w:numPr>
          <w:ilvl w:val="0"/>
          <w:numId w:val="3"/>
        </w:numPr>
        <w:spacing w:after="60"/>
      </w:pPr>
      <w:r>
        <w:t xml:space="preserve">An extension attribute shall never be usable as an identity, uniqueness or integrity key on the host object.</w:t>
      </w:r>
    </w:p>
    <w:p>
      <w:pPr>
        <w:pStyle w:val="ListParagraph"/>
        <w:numPr>
          <w:ilvl w:val="0"/>
          <w:numId w:val="3"/>
        </w:numPr>
        <w:spacing w:after="60"/>
      </w:pPr>
      <w:r>
        <w:t xml:space="preserve">A module's extensions shall be removable without affecting the host object.</w:t>
      </w:r>
    </w:p>
    <w:p>
      <w:pPr>
        <w:pStyle w:val="Heading2"/>
        <w:spacing w:after="120" w:before="260"/>
      </w:pPr>
      <w:r>
        <w:rPr>
          <w:b/>
          <w:bCs/>
          <w:color w:val="2E74B5"/>
          <w:sz w:val="25"/>
          <w:szCs w:val="25"/>
        </w:rPr>
        <w:t xml:space="preserve">5.5 PS-005 — Workflow Engine</w:t>
      </w:r>
    </w:p>
    <w:p>
      <w:pPr>
        <w:spacing w:after="120" w:before="0"/>
      </w:pPr>
      <w:r>
        <w:rPr>
          <w:i/>
          <w:iCs/>
        </w:rPr>
        <w:t xml:space="preserve">Configurable approval and orchestration without embedded business content.</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Define workflows as configuration, not code.</w:t>
      </w:r>
    </w:p>
    <w:p>
      <w:pPr>
        <w:pStyle w:val="ListParagraph"/>
        <w:numPr>
          <w:ilvl w:val="0"/>
          <w:numId w:val="3"/>
        </w:numPr>
        <w:spacing w:after="60"/>
      </w:pPr>
      <w:r>
        <w:t xml:space="preserve">Execute workflow instances with step routing, parallel and sequential approval.</w:t>
      </w:r>
    </w:p>
    <w:p>
      <w:pPr>
        <w:pStyle w:val="ListParagraph"/>
        <w:numPr>
          <w:ilvl w:val="0"/>
          <w:numId w:val="3"/>
        </w:numPr>
        <w:spacing w:after="60"/>
      </w:pPr>
      <w:r>
        <w:t xml:space="preserve">Support escalation on timeout and delegation of approval authority.</w:t>
      </w:r>
    </w:p>
    <w:p>
      <w:pPr>
        <w:pStyle w:val="ListParagraph"/>
        <w:numPr>
          <w:ilvl w:val="0"/>
          <w:numId w:val="3"/>
        </w:numPr>
        <w:spacing w:after="60"/>
      </w:pPr>
      <w:r>
        <w:t xml:space="preserve">Expose approval tasks to the actor's work queue.</w:t>
      </w:r>
    </w:p>
    <w:p>
      <w:pPr>
        <w:pStyle w:val="ListParagraph"/>
        <w:numPr>
          <w:ilvl w:val="0"/>
          <w:numId w:val="3"/>
        </w:numPr>
        <w:spacing w:after="60"/>
      </w:pPr>
      <w:r>
        <w:t xml:space="preserve">Publish workflow lifecycle events.</w:t>
      </w:r>
    </w:p>
    <w:p>
      <w:pPr>
        <w:pStyle w:val="Heading3"/>
        <w:spacing w:after="100" w:before="200"/>
      </w:pPr>
      <w:r>
        <w:rPr>
          <w:b/>
          <w:bCs/>
          <w:color w:val="404040"/>
          <w:sz w:val="22"/>
          <w:szCs w:val="22"/>
        </w:rPr>
        <w:t xml:space="preserve">Ownership</w:t>
      </w:r>
    </w:p>
    <w:p>
      <w:pPr>
        <w:spacing w:after="120" w:before="0"/>
      </w:pPr>
      <w:r>
        <w:t xml:space="preserve">Hosted by DOM-PLT, SD-PLT-WF. Consumed by every domain that requires approval — notably asset exit authorization and permit approval in DOM-SEC.</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The engine shall contain no knowledge of what is being approved.</w:t>
      </w:r>
    </w:p>
    <w:p>
      <w:pPr>
        <w:pStyle w:val="ListParagraph"/>
        <w:numPr>
          <w:ilvl w:val="0"/>
          <w:numId w:val="3"/>
        </w:numPr>
        <w:spacing w:after="60"/>
      </w:pPr>
      <w:r>
        <w:t xml:space="preserve">A workflow definition shall be modifiable without redeployment.</w:t>
      </w:r>
    </w:p>
    <w:p>
      <w:pPr>
        <w:pStyle w:val="ListParagraph"/>
        <w:numPr>
          <w:ilvl w:val="0"/>
          <w:numId w:val="3"/>
        </w:numPr>
        <w:spacing w:after="60"/>
      </w:pPr>
      <w:r>
        <w:t xml:space="preserve">Segregation of duties shall be enforceable as a workflow constraint.</w:t>
      </w:r>
    </w:p>
    <w:p>
      <w:pPr>
        <w:pStyle w:val="Heading2"/>
        <w:spacing w:after="120" w:before="260"/>
      </w:pPr>
      <w:r>
        <w:rPr>
          <w:b/>
          <w:bCs/>
          <w:color w:val="2E74B5"/>
          <w:sz w:val="25"/>
          <w:szCs w:val="25"/>
        </w:rPr>
        <w:t xml:space="preserve">5.6 PS-006 — Notification Engine</w:t>
      </w:r>
    </w:p>
    <w:p>
      <w:pPr>
        <w:spacing w:after="120" w:before="0"/>
      </w:pPr>
      <w:r>
        <w:rPr>
          <w:i/>
          <w:iCs/>
        </w:rPr>
        <w:t xml:space="preserve">All outbound communication, on every channel.</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Deliver email, SMS, push and in-app notifications.</w:t>
      </w:r>
    </w:p>
    <w:p>
      <w:pPr>
        <w:pStyle w:val="ListParagraph"/>
        <w:numPr>
          <w:ilvl w:val="0"/>
          <w:numId w:val="3"/>
        </w:numPr>
        <w:spacing w:after="60"/>
      </w:pPr>
      <w:r>
        <w:t xml:space="preserve">Manage templates with localization and parameter substitution.</w:t>
      </w:r>
    </w:p>
    <w:p>
      <w:pPr>
        <w:pStyle w:val="ListParagraph"/>
        <w:numPr>
          <w:ilvl w:val="0"/>
          <w:numId w:val="3"/>
        </w:numPr>
        <w:spacing w:after="60"/>
      </w:pPr>
      <w:r>
        <w:t xml:space="preserve">Queue, throttle and retry failed deliveries.</w:t>
      </w:r>
    </w:p>
    <w:p>
      <w:pPr>
        <w:pStyle w:val="ListParagraph"/>
        <w:numPr>
          <w:ilvl w:val="0"/>
          <w:numId w:val="3"/>
        </w:numPr>
        <w:spacing w:after="60"/>
      </w:pPr>
      <w:r>
        <w:t xml:space="preserve">Record delivery outcome and expose it for audit.</w:t>
      </w:r>
    </w:p>
    <w:p>
      <w:pPr>
        <w:pStyle w:val="ListParagraph"/>
        <w:numPr>
          <w:ilvl w:val="0"/>
          <w:numId w:val="3"/>
        </w:numPr>
        <w:spacing w:after="60"/>
      </w:pPr>
      <w:r>
        <w:t xml:space="preserve">Respect the recipient's notification preferences and quiet hours.</w:t>
      </w:r>
    </w:p>
    <w:p>
      <w:pPr>
        <w:pStyle w:val="Heading3"/>
        <w:spacing w:after="100" w:before="200"/>
      </w:pPr>
      <w:r>
        <w:rPr>
          <w:b/>
          <w:bCs/>
          <w:color w:val="404040"/>
          <w:sz w:val="22"/>
          <w:szCs w:val="22"/>
        </w:rPr>
        <w:t xml:space="preserve">Ownership</w:t>
      </w:r>
    </w:p>
    <w:p>
      <w:pPr>
        <w:spacing w:after="120" w:before="0"/>
      </w:pPr>
      <w:r>
        <w:t xml:space="preserve">Hosted by DOM-PLT, SD-PLT-NTF.</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Security alarms shall have a guaranteed-delivery path with escalation on non-acknowledgment.</w:t>
      </w:r>
    </w:p>
    <w:p>
      <w:pPr>
        <w:pStyle w:val="ListParagraph"/>
        <w:numPr>
          <w:ilvl w:val="0"/>
          <w:numId w:val="3"/>
        </w:numPr>
        <w:spacing w:after="60"/>
      </w:pPr>
      <w:r>
        <w:t xml:space="preserve">No module shall send a message directly.</w:t>
      </w:r>
    </w:p>
    <w:p>
      <w:pPr>
        <w:pStyle w:val="Heading2"/>
        <w:spacing w:after="120" w:before="260"/>
      </w:pPr>
      <w:r>
        <w:rPr>
          <w:b/>
          <w:bCs/>
          <w:color w:val="2E74B5"/>
          <w:sz w:val="25"/>
          <w:szCs w:val="25"/>
        </w:rPr>
        <w:t xml:space="preserve">5.7 PS-007 — Audit Service</w:t>
      </w:r>
    </w:p>
    <w:p>
      <w:pPr>
        <w:spacing w:after="120" w:before="0"/>
      </w:pPr>
      <w:r>
        <w:rPr>
          <w:i/>
          <w:iCs/>
        </w:rPr>
        <w:t xml:space="preserve">The immutable record of what happened, when and by whom.</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Record every state-changing operation automatically, without the caller requesting it.</w:t>
      </w:r>
    </w:p>
    <w:p>
      <w:pPr>
        <w:pStyle w:val="ListParagraph"/>
        <w:numPr>
          <w:ilvl w:val="0"/>
          <w:numId w:val="3"/>
        </w:numPr>
        <w:spacing w:after="60"/>
      </w:pPr>
      <w:r>
        <w:t xml:space="preserve">Provide activity history per object and per actor.</w:t>
      </w:r>
    </w:p>
    <w:p>
      <w:pPr>
        <w:pStyle w:val="ListParagraph"/>
        <w:numPr>
          <w:ilvl w:val="0"/>
          <w:numId w:val="3"/>
        </w:numPr>
        <w:spacing w:after="60"/>
      </w:pPr>
      <w:r>
        <w:t xml:space="preserve">Provide before-and-after change comparison.</w:t>
      </w:r>
    </w:p>
    <w:p>
      <w:pPr>
        <w:pStyle w:val="ListParagraph"/>
        <w:numPr>
          <w:ilvl w:val="0"/>
          <w:numId w:val="3"/>
        </w:numPr>
        <w:spacing w:after="60"/>
      </w:pPr>
      <w:r>
        <w:t xml:space="preserve">Provide compliance extraction with defined retention.</w:t>
      </w:r>
    </w:p>
    <w:p>
      <w:pPr>
        <w:pStyle w:val="Heading3"/>
        <w:spacing w:after="100" w:before="200"/>
      </w:pPr>
      <w:r>
        <w:rPr>
          <w:b/>
          <w:bCs/>
          <w:color w:val="404040"/>
          <w:sz w:val="22"/>
          <w:szCs w:val="22"/>
        </w:rPr>
        <w:t xml:space="preserve">Ownership</w:t>
      </w:r>
    </w:p>
    <w:p>
      <w:pPr>
        <w:spacing w:after="120" w:before="0"/>
      </w:pPr>
      <w:r>
        <w:t xml:space="preserve">Hosted by DOM-PLT, SD-PLT-AUD.</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Audit records shall be append-only and tamper-evident.</w:t>
      </w:r>
    </w:p>
    <w:p>
      <w:pPr>
        <w:pStyle w:val="ListParagraph"/>
        <w:numPr>
          <w:ilvl w:val="0"/>
          <w:numId w:val="3"/>
        </w:numPr>
        <w:spacing w:after="60"/>
      </w:pPr>
      <w:r>
        <w:t xml:space="preserve">Audit shall never be disableable by configuration.</w:t>
      </w:r>
    </w:p>
    <w:p>
      <w:pPr>
        <w:pStyle w:val="ListParagraph"/>
        <w:numPr>
          <w:ilvl w:val="0"/>
          <w:numId w:val="3"/>
        </w:numPr>
        <w:spacing w:after="60"/>
      </w:pPr>
      <w:r>
        <w:t xml:space="preserve">Audit write latency shall not gate the business transaction.</w:t>
      </w:r>
    </w:p>
    <w:p>
      <w:pPr>
        <w:pStyle w:val="Heading2"/>
        <w:spacing w:after="120" w:before="260"/>
      </w:pPr>
      <w:r>
        <w:rPr>
          <w:b/>
          <w:bCs/>
          <w:color w:val="2E74B5"/>
          <w:sz w:val="25"/>
          <w:szCs w:val="25"/>
        </w:rPr>
        <w:t xml:space="preserve">5.8 PS-008 — Search Service</w:t>
      </w:r>
    </w:p>
    <w:p>
      <w:pPr>
        <w:spacing w:after="120" w:before="0"/>
      </w:pPr>
      <w:r>
        <w:rPr>
          <w:i/>
          <w:iCs/>
        </w:rPr>
        <w:t xml:space="preserve">One search across the whole platform.</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Provide global indexed search across every registered object.</w:t>
      </w:r>
    </w:p>
    <w:p>
      <w:pPr>
        <w:pStyle w:val="ListParagraph"/>
        <w:numPr>
          <w:ilvl w:val="0"/>
          <w:numId w:val="3"/>
        </w:numPr>
        <w:spacing w:after="60"/>
      </w:pPr>
      <w:r>
        <w:t xml:space="preserve">Provide full-text search over documents and descriptive fields.</w:t>
      </w:r>
    </w:p>
    <w:p>
      <w:pPr>
        <w:pStyle w:val="ListParagraph"/>
        <w:numPr>
          <w:ilvl w:val="0"/>
          <w:numId w:val="3"/>
        </w:numPr>
        <w:spacing w:after="60"/>
      </w:pPr>
      <w:r>
        <w:t xml:space="preserve">Provide saved searches and advanced filter composition.</w:t>
      </w:r>
    </w:p>
    <w:p>
      <w:pPr>
        <w:pStyle w:val="ListParagraph"/>
        <w:numPr>
          <w:ilvl w:val="0"/>
          <w:numId w:val="3"/>
        </w:numPr>
        <w:spacing w:after="60"/>
      </w:pPr>
      <w:r>
        <w:t xml:space="preserve">Respect the caller's access scope in every result set.</w:t>
      </w:r>
    </w:p>
    <w:p>
      <w:pPr>
        <w:pStyle w:val="Heading3"/>
        <w:spacing w:after="100" w:before="200"/>
      </w:pPr>
      <w:r>
        <w:rPr>
          <w:b/>
          <w:bCs/>
          <w:color w:val="404040"/>
          <w:sz w:val="22"/>
          <w:szCs w:val="22"/>
        </w:rPr>
        <w:t xml:space="preserve">Ownership</w:t>
      </w:r>
    </w:p>
    <w:p>
      <w:pPr>
        <w:spacing w:after="120" w:before="0"/>
      </w:pPr>
      <w:r>
        <w:t xml:space="preserve">Hosted by DOM-PLT, SD-PLT-SCH. Supports the search-first user experience principle.</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A result the actor is not permitted to see shall never appear, not even as a redacted row.</w:t>
      </w:r>
    </w:p>
    <w:p>
      <w:pPr>
        <w:pStyle w:val="ListParagraph"/>
        <w:numPr>
          <w:ilvl w:val="0"/>
          <w:numId w:val="3"/>
        </w:numPr>
        <w:spacing w:after="60"/>
      </w:pPr>
      <w:r>
        <w:t xml:space="preserve">Index update shall be asynchronous and shall not gate the business transaction.</w:t>
      </w:r>
    </w:p>
    <w:p>
      <w:pPr>
        <w:pStyle w:val="Heading2"/>
        <w:spacing w:after="120" w:before="260"/>
      </w:pPr>
      <w:r>
        <w:rPr>
          <w:b/>
          <w:bCs/>
          <w:color w:val="2E74B5"/>
          <w:sz w:val="25"/>
          <w:szCs w:val="25"/>
        </w:rPr>
        <w:t xml:space="preserve">5.9 PS-009 — Document Service</w:t>
      </w:r>
    </w:p>
    <w:p>
      <w:pPr>
        <w:spacing w:after="120" w:before="0"/>
      </w:pPr>
      <w:r>
        <w:rPr>
          <w:i/>
          <w:iCs/>
        </w:rPr>
        <w:t xml:space="preserve">Every attachment, image, manual and certificate.</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Store and retrieve attachments against any business object.</w:t>
      </w:r>
    </w:p>
    <w:p>
      <w:pPr>
        <w:pStyle w:val="ListParagraph"/>
        <w:numPr>
          <w:ilvl w:val="0"/>
          <w:numId w:val="3"/>
        </w:numPr>
        <w:spacing w:after="60"/>
      </w:pPr>
      <w:r>
        <w:t xml:space="preserve">Provide versioning, preview and classification.</w:t>
      </w:r>
    </w:p>
    <w:p>
      <w:pPr>
        <w:pStyle w:val="ListParagraph"/>
        <w:numPr>
          <w:ilvl w:val="0"/>
          <w:numId w:val="3"/>
        </w:numPr>
        <w:spacing w:after="60"/>
      </w:pPr>
      <w:r>
        <w:t xml:space="preserve">Enforce type and size policy per object and per tenant.</w:t>
      </w:r>
    </w:p>
    <w:p>
      <w:pPr>
        <w:pStyle w:val="ListParagraph"/>
        <w:numPr>
          <w:ilvl w:val="0"/>
          <w:numId w:val="3"/>
        </w:numPr>
        <w:spacing w:after="60"/>
      </w:pPr>
      <w:r>
        <w:t xml:space="preserve">Delegate physical storage to PS-017.</w:t>
      </w:r>
    </w:p>
    <w:p>
      <w:pPr>
        <w:pStyle w:val="Heading3"/>
        <w:spacing w:after="100" w:before="200"/>
      </w:pPr>
      <w:r>
        <w:rPr>
          <w:b/>
          <w:bCs/>
          <w:color w:val="404040"/>
          <w:sz w:val="22"/>
          <w:szCs w:val="22"/>
        </w:rPr>
        <w:t xml:space="preserve">Ownership</w:t>
      </w:r>
    </w:p>
    <w:p>
      <w:pPr>
        <w:spacing w:after="120" w:before="0"/>
      </w:pPr>
      <w:r>
        <w:t xml:space="preserve">Hosted by DOM-PLT, SD-PLT-DOC.</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Every business object shall support attachments without the hosting domain implementing anything.</w:t>
      </w:r>
    </w:p>
    <w:p>
      <w:pPr>
        <w:pStyle w:val="ListParagraph"/>
        <w:numPr>
          <w:ilvl w:val="0"/>
          <w:numId w:val="3"/>
        </w:numPr>
        <w:spacing w:after="60"/>
      </w:pPr>
      <w:r>
        <w:t xml:space="preserve">Evidence documents in DOM-SEC shall additionally support sealing and immutability.</w:t>
      </w:r>
    </w:p>
    <w:p>
      <w:pPr>
        <w:pStyle w:val="Heading2"/>
        <w:spacing w:after="120" w:before="260"/>
      </w:pPr>
      <w:r>
        <w:rPr>
          <w:b/>
          <w:bCs/>
          <w:color w:val="2E74B5"/>
          <w:sz w:val="25"/>
          <w:szCs w:val="25"/>
        </w:rPr>
        <w:t xml:space="preserve">5.10 PS-010 — Configuration Service</w:t>
      </w:r>
    </w:p>
    <w:p>
      <w:pPr>
        <w:spacing w:after="120" w:before="0"/>
      </w:pPr>
      <w:r>
        <w:rPr>
          <w:i/>
          <w:iCs/>
        </w:rPr>
        <w:t xml:space="preserve">Everything a customer can change without code.</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Manage lookup values, statuses and classification lists.</w:t>
      </w:r>
    </w:p>
    <w:p>
      <w:pPr>
        <w:pStyle w:val="ListParagraph"/>
        <w:numPr>
          <w:ilvl w:val="0"/>
          <w:numId w:val="3"/>
        </w:numPr>
        <w:spacing w:after="60"/>
      </w:pPr>
      <w:r>
        <w:t xml:space="preserve">Manage numbering schemes per object and per tenant.</w:t>
      </w:r>
    </w:p>
    <w:p>
      <w:pPr>
        <w:pStyle w:val="ListParagraph"/>
        <w:numPr>
          <w:ilvl w:val="0"/>
          <w:numId w:val="3"/>
        </w:numPr>
        <w:spacing w:after="60"/>
      </w:pPr>
      <w:r>
        <w:t xml:space="preserve">Manage feature flags and tenant settings.</w:t>
      </w:r>
    </w:p>
    <w:p>
      <w:pPr>
        <w:pStyle w:val="ListParagraph"/>
        <w:numPr>
          <w:ilvl w:val="0"/>
          <w:numId w:val="3"/>
        </w:numPr>
        <w:spacing w:after="60"/>
      </w:pPr>
      <w:r>
        <w:t xml:space="preserve">Manage localization resources.</w:t>
      </w:r>
    </w:p>
    <w:p>
      <w:pPr>
        <w:pStyle w:val="ListParagraph"/>
        <w:numPr>
          <w:ilvl w:val="0"/>
          <w:numId w:val="3"/>
        </w:numPr>
        <w:spacing w:after="60"/>
      </w:pPr>
      <w:r>
        <w:t xml:space="preserve">Publish configuration change events.</w:t>
      </w:r>
    </w:p>
    <w:p>
      <w:pPr>
        <w:pStyle w:val="Heading3"/>
        <w:spacing w:after="100" w:before="200"/>
      </w:pPr>
      <w:r>
        <w:rPr>
          <w:b/>
          <w:bCs/>
          <w:color w:val="404040"/>
          <w:sz w:val="22"/>
          <w:szCs w:val="22"/>
        </w:rPr>
        <w:t xml:space="preserve">Ownership</w:t>
      </w:r>
    </w:p>
    <w:p>
      <w:pPr>
        <w:spacing w:after="120" w:before="0"/>
      </w:pPr>
      <w:r>
        <w:t xml:space="preserve">Hosted by DOM-PLT, SD-PLT-CFG. This service is how AP-006 is realized.</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Any behavior that differs between customers shall be expressed here, never in a code branch.</w:t>
      </w:r>
    </w:p>
    <w:p>
      <w:pPr>
        <w:pStyle w:val="ListParagraph"/>
        <w:numPr>
          <w:ilvl w:val="0"/>
          <w:numId w:val="3"/>
        </w:numPr>
        <w:spacing w:after="60"/>
      </w:pPr>
      <w:r>
        <w:t xml:space="preserve">Sensitive configuration values shall be encrypted at rest.</w:t>
      </w:r>
    </w:p>
    <w:p>
      <w:pPr>
        <w:pStyle w:val="Heading2"/>
        <w:spacing w:after="120" w:before="260"/>
      </w:pPr>
      <w:r>
        <w:rPr>
          <w:b/>
          <w:bCs/>
          <w:color w:val="2E74B5"/>
          <w:sz w:val="25"/>
          <w:szCs w:val="25"/>
        </w:rPr>
        <w:t xml:space="preserve">5.11 PS-011 — Reporting Framework</w:t>
      </w:r>
    </w:p>
    <w:p>
      <w:pPr>
        <w:spacing w:after="120" w:before="0"/>
      </w:pPr>
      <w:r>
        <w:rPr>
          <w:i/>
          <w:iCs/>
        </w:rPr>
        <w:t xml:space="preserve">One reporting engine for the entire platform.</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Execute metadata-driven report definitions.</w:t>
      </w:r>
    </w:p>
    <w:p>
      <w:pPr>
        <w:pStyle w:val="ListParagraph"/>
        <w:numPr>
          <w:ilvl w:val="0"/>
          <w:numId w:val="3"/>
        </w:numPr>
        <w:spacing w:after="60"/>
      </w:pPr>
      <w:r>
        <w:t xml:space="preserve">Render dashboards and widgets.</w:t>
      </w:r>
    </w:p>
    <w:p>
      <w:pPr>
        <w:pStyle w:val="ListParagraph"/>
        <w:numPr>
          <w:ilvl w:val="0"/>
          <w:numId w:val="3"/>
        </w:numPr>
        <w:spacing w:after="60"/>
      </w:pPr>
      <w:r>
        <w:t xml:space="preserve">Export to PDF, Excel and CSV.</w:t>
      </w:r>
    </w:p>
    <w:p>
      <w:pPr>
        <w:pStyle w:val="ListParagraph"/>
        <w:numPr>
          <w:ilvl w:val="0"/>
          <w:numId w:val="3"/>
        </w:numPr>
        <w:spacing w:after="60"/>
      </w:pPr>
      <w:r>
        <w:t xml:space="preserve">Schedule and distribute reports.</w:t>
      </w:r>
    </w:p>
    <w:p>
      <w:pPr>
        <w:pStyle w:val="ListParagraph"/>
        <w:numPr>
          <w:ilvl w:val="0"/>
          <w:numId w:val="3"/>
        </w:numPr>
        <w:spacing w:after="60"/>
      </w:pPr>
      <w:r>
        <w:t xml:space="preserve">Expose a query surface for the Intelligent Assistant.</w:t>
      </w:r>
    </w:p>
    <w:p>
      <w:pPr>
        <w:pStyle w:val="Heading3"/>
        <w:spacing w:after="100" w:before="200"/>
      </w:pPr>
      <w:r>
        <w:rPr>
          <w:b/>
          <w:bCs/>
          <w:color w:val="404040"/>
          <w:sz w:val="22"/>
          <w:szCs w:val="22"/>
        </w:rPr>
        <w:t xml:space="preserve">Ownership</w:t>
      </w:r>
    </w:p>
    <w:p>
      <w:pPr>
        <w:spacing w:after="120" w:before="0"/>
      </w:pPr>
      <w:r>
        <w:t xml:space="preserve">Hosted by DOM-PLT, SD-PLT-RPT. Report and dashboard content is defined by DOM-INT; the engine is a platform service.</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Every module shall contribute to this framework rather than building its own reports.</w:t>
      </w:r>
    </w:p>
    <w:p>
      <w:pPr>
        <w:pStyle w:val="ListParagraph"/>
        <w:numPr>
          <w:ilvl w:val="0"/>
          <w:numId w:val="3"/>
        </w:numPr>
        <w:spacing w:after="60"/>
      </w:pPr>
      <w:r>
        <w:t xml:space="preserve">AI and natural-language queries shall operate on this framework and never on transactional stores.</w:t>
      </w:r>
    </w:p>
    <w:p>
      <w:pPr>
        <w:pStyle w:val="ListParagraph"/>
        <w:numPr>
          <w:ilvl w:val="0"/>
          <w:numId w:val="3"/>
        </w:numPr>
        <w:spacing w:after="60"/>
      </w:pPr>
      <w:r>
        <w:t xml:space="preserve">Scheduled distribution shall apply the recipient's access scope, not the author's.</w:t>
      </w:r>
    </w:p>
    <w:p>
      <w:pPr>
        <w:pStyle w:val="Heading2"/>
        <w:spacing w:after="120" w:before="260"/>
      </w:pPr>
      <w:r>
        <w:rPr>
          <w:b/>
          <w:bCs/>
          <w:color w:val="2E74B5"/>
          <w:sz w:val="25"/>
          <w:szCs w:val="25"/>
        </w:rPr>
        <w:t xml:space="preserve">5.12 PS-012 — Integration Framework</w:t>
      </w:r>
    </w:p>
    <w:p>
      <w:pPr>
        <w:spacing w:after="120" w:before="0"/>
      </w:pPr>
      <w:r>
        <w:rPr>
          <w:i/>
          <w:iCs/>
        </w:rPr>
        <w:t xml:space="preserve">Every boundary with the world outside the platform.</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Expose versioned REST APIs for every business object and service.</w:t>
      </w:r>
    </w:p>
    <w:p>
      <w:pPr>
        <w:pStyle w:val="ListParagraph"/>
        <w:numPr>
          <w:ilvl w:val="0"/>
          <w:numId w:val="3"/>
        </w:numPr>
        <w:spacing w:after="60"/>
      </w:pPr>
      <w:r>
        <w:t xml:space="preserve">Publish and subscribe to domain events.</w:t>
      </w:r>
    </w:p>
    <w:p>
      <w:pPr>
        <w:pStyle w:val="ListParagraph"/>
        <w:numPr>
          <w:ilvl w:val="0"/>
          <w:numId w:val="3"/>
        </w:numPr>
        <w:spacing w:after="60"/>
      </w:pPr>
      <w:r>
        <w:t xml:space="preserve">Provide webhook registration and delivery.</w:t>
      </w:r>
    </w:p>
    <w:p>
      <w:pPr>
        <w:pStyle w:val="ListParagraph"/>
        <w:numPr>
          <w:ilvl w:val="0"/>
          <w:numId w:val="3"/>
        </w:numPr>
        <w:spacing w:after="60"/>
      </w:pPr>
      <w:r>
        <w:t xml:space="preserve">Host ERP adapters, including the optional Odoo integration.</w:t>
      </w:r>
    </w:p>
    <w:p>
      <w:pPr>
        <w:pStyle w:val="ListParagraph"/>
        <w:numPr>
          <w:ilvl w:val="0"/>
          <w:numId w:val="3"/>
        </w:numPr>
        <w:spacing w:after="60"/>
      </w:pPr>
      <w:r>
        <w:t xml:space="preserve">Host RFID reader, ANPR camera, sensor and handheld connectors.</w:t>
      </w:r>
    </w:p>
    <w:p>
      <w:pPr>
        <w:pStyle w:val="ListParagraph"/>
        <w:numPr>
          <w:ilvl w:val="0"/>
          <w:numId w:val="3"/>
        </w:numPr>
        <w:spacing w:after="60"/>
      </w:pPr>
      <w:r>
        <w:t xml:space="preserve">Register and monitor connector health.</w:t>
      </w:r>
    </w:p>
    <w:p>
      <w:pPr>
        <w:pStyle w:val="Heading3"/>
        <w:spacing w:after="100" w:before="200"/>
      </w:pPr>
      <w:r>
        <w:rPr>
          <w:b/>
          <w:bCs/>
          <w:color w:val="404040"/>
          <w:sz w:val="22"/>
          <w:szCs w:val="22"/>
        </w:rPr>
        <w:t xml:space="preserve">Ownership</w:t>
      </w:r>
    </w:p>
    <w:p>
      <w:pPr>
        <w:spacing w:after="120" w:before="0"/>
      </w:pPr>
      <w:r>
        <w:t xml:space="preserve">Hosted by DOM-PLT, SD-PLT-INT.</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The Core Platform shall never depend on an external ERP being present.</w:t>
      </w:r>
    </w:p>
    <w:p>
      <w:pPr>
        <w:pStyle w:val="ListParagraph"/>
        <w:numPr>
          <w:ilvl w:val="0"/>
          <w:numId w:val="3"/>
        </w:numPr>
        <w:spacing w:after="60"/>
      </w:pPr>
      <w:r>
        <w:t xml:space="preserve">A connector's absence shall degrade gracefully and shall never block platform operation.</w:t>
      </w:r>
    </w:p>
    <w:p>
      <w:pPr>
        <w:pStyle w:val="ListParagraph"/>
        <w:numPr>
          <w:ilvl w:val="0"/>
          <w:numId w:val="3"/>
        </w:numPr>
        <w:spacing w:after="60"/>
      </w:pPr>
      <w:r>
        <w:t xml:space="preserve">Hardware protocol handling belongs in Layer 3, not in a business module.</w:t>
      </w:r>
    </w:p>
    <w:p>
      <w:pPr>
        <w:pStyle w:val="Heading2"/>
        <w:spacing w:after="120" w:before="260"/>
      </w:pPr>
      <w:r>
        <w:rPr>
          <w:b/>
          <w:bCs/>
          <w:color w:val="2E74B5"/>
          <w:sz w:val="25"/>
          <w:szCs w:val="25"/>
        </w:rPr>
        <w:t xml:space="preserve">5.13 PS-013 — Capability Registry</w:t>
      </w:r>
    </w:p>
    <w:p>
      <w:pPr>
        <w:spacing w:after="120" w:before="0"/>
      </w:pPr>
      <w:r>
        <w:rPr>
          <w:i/>
          <w:iCs/>
        </w:rPr>
        <w:t xml:space="preserve">The authoritative record of what this tenant has licensed and enabled.</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Register every capability declared in PDS-02.</w:t>
      </w:r>
    </w:p>
    <w:p>
      <w:pPr>
        <w:pStyle w:val="ListParagraph"/>
        <w:numPr>
          <w:ilvl w:val="0"/>
          <w:numId w:val="3"/>
        </w:numPr>
        <w:spacing w:after="60"/>
      </w:pPr>
      <w:r>
        <w:t xml:space="preserve">Record licensed and enabled state per tenant.</w:t>
      </w:r>
    </w:p>
    <w:p>
      <w:pPr>
        <w:pStyle w:val="ListParagraph"/>
        <w:numPr>
          <w:ilvl w:val="0"/>
          <w:numId w:val="3"/>
        </w:numPr>
        <w:spacing w:after="60"/>
      </w:pPr>
      <w:r>
        <w:t xml:space="preserve">Enable and disable capabilities without redeployment.</w:t>
      </w:r>
    </w:p>
    <w:p>
      <w:pPr>
        <w:pStyle w:val="ListParagraph"/>
        <w:numPr>
          <w:ilvl w:val="0"/>
          <w:numId w:val="3"/>
        </w:numPr>
        <w:spacing w:after="60"/>
      </w:pPr>
      <w:r>
        <w:t xml:space="preserve">Publish CapabilityEnabled and CapabilityDisabled events.</w:t>
      </w:r>
    </w:p>
    <w:p>
      <w:pPr>
        <w:pStyle w:val="ListParagraph"/>
        <w:numPr>
          <w:ilvl w:val="0"/>
          <w:numId w:val="3"/>
        </w:numPr>
        <w:spacing w:after="60"/>
      </w:pPr>
      <w:r>
        <w:t xml:space="preserve">Expose the enabled capability set to PS-014, PS-015 and DOM-IAM.</w:t>
      </w:r>
    </w:p>
    <w:p>
      <w:pPr>
        <w:pStyle w:val="Heading3"/>
        <w:spacing w:after="100" w:before="200"/>
      </w:pPr>
      <w:r>
        <w:rPr>
          <w:b/>
          <w:bCs/>
          <w:color w:val="404040"/>
          <w:sz w:val="22"/>
          <w:szCs w:val="22"/>
        </w:rPr>
        <w:t xml:space="preserve">Ownership</w:t>
      </w:r>
    </w:p>
    <w:p>
      <w:pPr>
        <w:spacing w:after="120" w:before="0"/>
      </w:pPr>
      <w:r>
        <w:t xml:space="preserve">Hosted by DOM-PLT, SD-PLT-CAP. Exists to satisfy EP-001 and EP-002 centrally.</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Licensing state and enablement state shall be distinguishable — a customer may license a capability before enabling it.</w:t>
      </w:r>
    </w:p>
    <w:p>
      <w:pPr>
        <w:pStyle w:val="ListParagraph"/>
        <w:numPr>
          <w:ilvl w:val="0"/>
          <w:numId w:val="3"/>
        </w:numPr>
        <w:spacing w:after="60"/>
      </w:pPr>
      <w:r>
        <w:t xml:space="preserve">Disabling a capability shall never delete data captured while it was enabled.</w:t>
      </w:r>
    </w:p>
    <w:p>
      <w:pPr>
        <w:pStyle w:val="Heading2"/>
        <w:spacing w:after="120" w:before="260"/>
      </w:pPr>
      <w:r>
        <w:rPr>
          <w:b/>
          <w:bCs/>
          <w:color w:val="2E74B5"/>
          <w:sz w:val="25"/>
          <w:szCs w:val="25"/>
        </w:rPr>
        <w:t xml:space="preserve">5.14 PS-014 — Validation Service</w:t>
      </w:r>
    </w:p>
    <w:p>
      <w:pPr>
        <w:spacing w:after="120" w:before="0"/>
      </w:pPr>
      <w:r>
        <w:rPr>
          <w:i/>
          <w:iCs/>
        </w:rPr>
        <w:t xml:space="preserve">The single resolver of what is mandatory, for this tenant, right now.</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Resolve the effective mandatory field set from the object definition, the enabled capability set and the tenant validation profile.</w:t>
      </w:r>
    </w:p>
    <w:p>
      <w:pPr>
        <w:pStyle w:val="ListParagraph"/>
        <w:numPr>
          <w:ilvl w:val="0"/>
          <w:numId w:val="3"/>
        </w:numPr>
        <w:spacing w:after="60"/>
      </w:pPr>
      <w:r>
        <w:t xml:space="preserve">Expose the resolved rule set to the API layer and the user interface identically.</w:t>
      </w:r>
    </w:p>
    <w:p>
      <w:pPr>
        <w:pStyle w:val="ListParagraph"/>
        <w:numPr>
          <w:ilvl w:val="0"/>
          <w:numId w:val="3"/>
        </w:numPr>
        <w:spacing w:after="60"/>
      </w:pPr>
      <w:r>
        <w:t xml:space="preserve">Report Recommended fields that are unpopulated, without blocking.</w:t>
      </w:r>
    </w:p>
    <w:p>
      <w:pPr>
        <w:pStyle w:val="ListParagraph"/>
        <w:numPr>
          <w:ilvl w:val="0"/>
          <w:numId w:val="3"/>
        </w:numPr>
        <w:spacing w:after="60"/>
      </w:pPr>
      <w:r>
        <w:t xml:space="preserve">Provide a deterministic explanation of why a field is mandatory.</w:t>
      </w:r>
    </w:p>
    <w:p>
      <w:pPr>
        <w:pStyle w:val="Heading3"/>
        <w:spacing w:after="100" w:before="200"/>
      </w:pPr>
      <w:r>
        <w:rPr>
          <w:b/>
          <w:bCs/>
          <w:color w:val="404040"/>
          <w:sz w:val="22"/>
          <w:szCs w:val="22"/>
        </w:rPr>
        <w:t xml:space="preserve">Ownership</w:t>
      </w:r>
    </w:p>
    <w:p>
      <w:pPr>
        <w:spacing w:after="120" w:before="0"/>
      </w:pPr>
      <w:r>
        <w:t xml:space="preserve">Hosted by DOM-PLT, SD-PLT-CAP.</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No module shall hardcode a mandatory field.</w:t>
      </w:r>
    </w:p>
    <w:p>
      <w:pPr>
        <w:pStyle w:val="ListParagraph"/>
        <w:numPr>
          <w:ilvl w:val="0"/>
          <w:numId w:val="3"/>
        </w:numPr>
        <w:spacing w:after="60"/>
      </w:pPr>
      <w:r>
        <w:t xml:space="preserve">A field shall be mandatory because the tenant's configuration requires it, never because the platform arbitrarily requires it.</w:t>
      </w:r>
    </w:p>
    <w:p>
      <w:pPr>
        <w:pStyle w:val="ListParagraph"/>
        <w:numPr>
          <w:ilvl w:val="0"/>
          <w:numId w:val="3"/>
        </w:numPr>
        <w:spacing w:after="60"/>
      </w:pPr>
      <w:r>
        <w:t xml:space="preserve">The explanation of a validation failure shall name the capability or profile that caused it.</w:t>
      </w:r>
    </w:p>
    <w:p>
      <w:pPr>
        <w:pStyle w:val="Heading2"/>
        <w:spacing w:after="120" w:before="260"/>
      </w:pPr>
      <w:r>
        <w:rPr>
          <w:b/>
          <w:bCs/>
          <w:color w:val="2E74B5"/>
          <w:sz w:val="25"/>
          <w:szCs w:val="25"/>
        </w:rPr>
        <w:t xml:space="preserve">5.15 PS-015 — Metadata Service</w:t>
      </w:r>
    </w:p>
    <w:p>
      <w:pPr>
        <w:spacing w:after="120" w:before="0"/>
      </w:pPr>
      <w:r>
        <w:rPr>
          <w:i/>
          <w:iCs/>
        </w:rPr>
        <w:t xml:space="preserve">The single source of what the user sees.</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Resolve field visibility from the enabled capability set.</w:t>
      </w:r>
    </w:p>
    <w:p>
      <w:pPr>
        <w:pStyle w:val="ListParagraph"/>
        <w:numPr>
          <w:ilvl w:val="0"/>
          <w:numId w:val="3"/>
        </w:numPr>
        <w:spacing w:after="60"/>
      </w:pPr>
      <w:r>
        <w:t xml:space="preserve">Provide Basic and Advanced field grouping per object and per screen.</w:t>
      </w:r>
    </w:p>
    <w:p>
      <w:pPr>
        <w:pStyle w:val="ListParagraph"/>
        <w:numPr>
          <w:ilvl w:val="0"/>
          <w:numId w:val="3"/>
        </w:numPr>
        <w:spacing w:after="60"/>
      </w:pPr>
      <w:r>
        <w:t xml:space="preserve">Provide labels, help text and layout hints with localization.</w:t>
      </w:r>
    </w:p>
    <w:p>
      <w:pPr>
        <w:pStyle w:val="ListParagraph"/>
        <w:numPr>
          <w:ilvl w:val="0"/>
          <w:numId w:val="3"/>
        </w:numPr>
        <w:spacing w:after="60"/>
      </w:pPr>
      <w:r>
        <w:t xml:space="preserve">Expose the same metadata to web, tablet and handheld clients.</w:t>
      </w:r>
    </w:p>
    <w:p>
      <w:pPr>
        <w:pStyle w:val="Heading3"/>
        <w:spacing w:after="100" w:before="200"/>
      </w:pPr>
      <w:r>
        <w:rPr>
          <w:b/>
          <w:bCs/>
          <w:color w:val="404040"/>
          <w:sz w:val="22"/>
          <w:szCs w:val="22"/>
        </w:rPr>
        <w:t xml:space="preserve">Ownership</w:t>
      </w:r>
    </w:p>
    <w:p>
      <w:pPr>
        <w:spacing w:after="120" w:before="0"/>
      </w:pPr>
      <w:r>
        <w:t xml:space="preserve">Hosted by DOM-PLT, SD-PLT-CAP. Makes EP-003 implementable without per-screen code.</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Where a capability is absent, its fields shall not be rendered at all — not merely marked optional.</w:t>
      </w:r>
    </w:p>
    <w:p>
      <w:pPr>
        <w:pStyle w:val="ListParagraph"/>
        <w:numPr>
          <w:ilvl w:val="0"/>
          <w:numId w:val="3"/>
        </w:numPr>
        <w:spacing w:after="60"/>
      </w:pPr>
      <w:r>
        <w:t xml:space="preserve">A screen shall not implement its own Basic/Advanced logic.</w:t>
      </w:r>
    </w:p>
    <w:p>
      <w:pPr>
        <w:pStyle w:val="Heading2"/>
        <w:spacing w:after="120" w:before="260"/>
      </w:pPr>
      <w:r>
        <w:rPr>
          <w:b/>
          <w:bCs/>
          <w:color w:val="2E74B5"/>
          <w:sz w:val="25"/>
          <w:szCs w:val="25"/>
        </w:rPr>
        <w:t xml:space="preserve">5.16 PS-016 — Job Scheduler</w:t>
      </w:r>
    </w:p>
    <w:p>
      <w:pPr>
        <w:spacing w:after="120" w:before="0"/>
      </w:pPr>
      <w:r>
        <w:rPr>
          <w:i/>
          <w:iCs/>
        </w:rPr>
        <w:t xml:space="preserve">Deferred and recurring work.</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Define scheduled jobs as configuration.</w:t>
      </w:r>
    </w:p>
    <w:p>
      <w:pPr>
        <w:pStyle w:val="ListParagraph"/>
        <w:numPr>
          <w:ilvl w:val="0"/>
          <w:numId w:val="3"/>
        </w:numPr>
        <w:spacing w:after="60"/>
      </w:pPr>
      <w:r>
        <w:t xml:space="preserve">Execute, monitor and retry jobs with backoff.</w:t>
      </w:r>
    </w:p>
    <w:p>
      <w:pPr>
        <w:pStyle w:val="ListParagraph"/>
        <w:numPr>
          <w:ilvl w:val="0"/>
          <w:numId w:val="3"/>
        </w:numPr>
        <w:spacing w:after="60"/>
      </w:pPr>
      <w:r>
        <w:t xml:space="preserve">Expose job outcome and history.</w:t>
      </w:r>
    </w:p>
    <w:p>
      <w:pPr>
        <w:pStyle w:val="ListParagraph"/>
        <w:numPr>
          <w:ilvl w:val="0"/>
          <w:numId w:val="3"/>
        </w:numPr>
        <w:spacing w:after="60"/>
      </w:pPr>
      <w:r>
        <w:t xml:space="preserve">Support tenant-scoped and platform-scoped schedules.</w:t>
      </w:r>
    </w:p>
    <w:p>
      <w:pPr>
        <w:pStyle w:val="Heading3"/>
        <w:spacing w:after="100" w:before="200"/>
      </w:pPr>
      <w:r>
        <w:rPr>
          <w:b/>
          <w:bCs/>
          <w:color w:val="404040"/>
          <w:sz w:val="22"/>
          <w:szCs w:val="22"/>
        </w:rPr>
        <w:t xml:space="preserve">Ownership</w:t>
      </w:r>
    </w:p>
    <w:p>
      <w:pPr>
        <w:spacing w:after="120" w:before="0"/>
      </w:pPr>
      <w:r>
        <w:t xml:space="preserve">Hosted by DOM-PLT, SD-PLT-SCHD.</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A failed job shall be visible, retriable and audited.</w:t>
      </w:r>
    </w:p>
    <w:p>
      <w:pPr>
        <w:pStyle w:val="ListParagraph"/>
        <w:numPr>
          <w:ilvl w:val="0"/>
          <w:numId w:val="3"/>
        </w:numPr>
        <w:spacing w:after="60"/>
      </w:pPr>
      <w:r>
        <w:t xml:space="preserve">Scheduled report distribution and KPI computation shall use this service.</w:t>
      </w:r>
    </w:p>
    <w:p>
      <w:pPr>
        <w:pStyle w:val="Heading2"/>
        <w:spacing w:after="120" w:before="260"/>
      </w:pPr>
      <w:r>
        <w:rPr>
          <w:b/>
          <w:bCs/>
          <w:color w:val="2E74B5"/>
          <w:sz w:val="25"/>
          <w:szCs w:val="25"/>
        </w:rPr>
        <w:t xml:space="preserve">5.17 PS-017 — File Storage</w:t>
      </w:r>
    </w:p>
    <w:p>
      <w:pPr>
        <w:spacing w:after="120" w:before="0"/>
      </w:pPr>
      <w:r>
        <w:rPr>
          <w:i/>
          <w:iCs/>
        </w:rPr>
        <w:t xml:space="preserve">Physical storage abstraction.</w:t>
      </w:r>
    </w:p>
    <w:p>
      <w:pPr>
        <w:pStyle w:val="Heading3"/>
        <w:spacing w:after="100" w:before="200"/>
      </w:pPr>
      <w:r>
        <w:rPr>
          <w:b/>
          <w:bCs/>
          <w:color w:val="404040"/>
          <w:sz w:val="22"/>
          <w:szCs w:val="22"/>
        </w:rPr>
        <w:t xml:space="preserve">Responsibilities</w:t>
      </w:r>
    </w:p>
    <w:p>
      <w:pPr>
        <w:pStyle w:val="ListParagraph"/>
        <w:numPr>
          <w:ilvl w:val="0"/>
          <w:numId w:val="3"/>
        </w:numPr>
        <w:spacing w:after="60"/>
      </w:pPr>
      <w:r>
        <w:t xml:space="preserve">Store, retrieve and purge files independently of the storage backend.</w:t>
      </w:r>
    </w:p>
    <w:p>
      <w:pPr>
        <w:pStyle w:val="ListParagraph"/>
        <w:numPr>
          <w:ilvl w:val="0"/>
          <w:numId w:val="3"/>
        </w:numPr>
        <w:spacing w:after="60"/>
      </w:pPr>
      <w:r>
        <w:t xml:space="preserve">Enforce quota per tenant.</w:t>
      </w:r>
    </w:p>
    <w:p>
      <w:pPr>
        <w:pStyle w:val="ListParagraph"/>
        <w:numPr>
          <w:ilvl w:val="0"/>
          <w:numId w:val="3"/>
        </w:numPr>
        <w:spacing w:after="60"/>
      </w:pPr>
      <w:r>
        <w:t xml:space="preserve">Apply retention and lawful disposal policy.</w:t>
      </w:r>
    </w:p>
    <w:p>
      <w:pPr>
        <w:pStyle w:val="ListParagraph"/>
        <w:numPr>
          <w:ilvl w:val="0"/>
          <w:numId w:val="3"/>
        </w:numPr>
        <w:spacing w:after="60"/>
      </w:pPr>
      <w:r>
        <w:t xml:space="preserve">Support encryption at rest and integrity verification.</w:t>
      </w:r>
    </w:p>
    <w:p>
      <w:pPr>
        <w:pStyle w:val="Heading3"/>
        <w:spacing w:after="100" w:before="200"/>
      </w:pPr>
      <w:r>
        <w:rPr>
          <w:b/>
          <w:bCs/>
          <w:color w:val="404040"/>
          <w:sz w:val="22"/>
          <w:szCs w:val="22"/>
        </w:rPr>
        <w:t xml:space="preserve">Ownership</w:t>
      </w:r>
    </w:p>
    <w:p>
      <w:pPr>
        <w:spacing w:after="120" w:before="0"/>
      </w:pPr>
      <w:r>
        <w:t xml:space="preserve">Hosted by DOM-PLT, SD-PLT-FILE. Consumed by PS-009 and by DOM-SEC evidence capture.</w:t>
      </w:r>
    </w:p>
    <w:p>
      <w:pPr>
        <w:pStyle w:val="Heading3"/>
        <w:spacing w:after="100" w:before="200"/>
      </w:pPr>
      <w:r>
        <w:rPr>
          <w:b/>
          <w:bCs/>
          <w:color w:val="404040"/>
          <w:sz w:val="22"/>
          <w:szCs w:val="22"/>
        </w:rPr>
        <w:t xml:space="preserve">Binding obligations</w:t>
      </w:r>
    </w:p>
    <w:p>
      <w:pPr>
        <w:pStyle w:val="ListParagraph"/>
        <w:numPr>
          <w:ilvl w:val="0"/>
          <w:numId w:val="3"/>
        </w:numPr>
        <w:spacing w:after="60"/>
      </w:pPr>
      <w:r>
        <w:t xml:space="preserve">Sealed evidence files shall be immutable and integrity-verifiable for the full retention period.</w:t>
      </w:r>
    </w:p>
    <w:p>
      <w:pPr>
        <w:pStyle w:val="ListParagraph"/>
        <w:numPr>
          <w:ilvl w:val="0"/>
          <w:numId w:val="3"/>
        </w:numPr>
        <w:spacing w:after="60"/>
      </w:pPr>
      <w:r>
        <w:t xml:space="preserve">The storage backend shall be replaceable without changing any consumer.</w:t>
      </w:r>
    </w:p>
    <w:p>
      <w:r>
        <w:br w:type="page"/>
      </w:r>
    </w:p>
    <w:p>
      <w:pPr>
        <w:pStyle w:val="Heading1"/>
        <w:spacing w:after="160" w:before="320"/>
      </w:pPr>
      <w:r>
        <w:rPr>
          <w:b/>
          <w:bCs/>
          <w:color w:val="1F4E79"/>
          <w:sz w:val="30"/>
          <w:szCs w:val="30"/>
        </w:rPr>
        <w:t xml:space="preserve">6. Data Philosophy — Required, Recommended, Optional, Capability-Dependent</w:t>
      </w:r>
    </w:p>
    <w:p>
      <w:pPr>
        <w:spacing w:after="120" w:before="0"/>
      </w:pPr>
      <w:r>
        <w:t xml:space="preserve">It is not sufficient to require that every business object expose CRUD and support attachments, audit and status. The platform must also define the mechanism by which it serves customers who do not yet hold complete data — which is the majority of customers at the point of purchase.</w:t>
      </w:r>
    </w:p>
    <w:p>
      <w:pPr>
        <w:pStyle w:val="Heading2"/>
        <w:spacing w:after="120" w:before="260"/>
      </w:pPr>
      <w:r>
        <w:rPr>
          <w:b/>
          <w:bCs/>
          <w:color w:val="2E74B5"/>
          <w:sz w:val="25"/>
          <w:szCs w:val="25"/>
        </w:rPr>
        <w:t xml:space="preserve">6.1 The four classes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2708"/>
        <w:gridCol w:w="3249"/>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behavior</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Required</w:t>
            </w:r>
          </w:p>
        </w:tc>
        <w:tc>
          <w:tcPr>
            <w:tcW w:type="dxa" w:w="2708"/>
            <w:tcMar>
              <w:top w:type="dxa" w:w="60"/>
              <w:left w:type="dxa" w:w="100"/>
              <w:bottom w:type="dxa" w:w="60"/>
              <w:right w:type="dxa" w:w="100"/>
            </w:tcMar>
            <w:vAlign w:val="center"/>
          </w:tcPr>
          <w:p>
            <w:pPr>
              <w:spacing w:after="20" w:before="20"/>
            </w:pPr>
            <w:r>
              <w:rPr>
                <w:sz w:val="20"/>
                <w:szCs w:val="20"/>
              </w:rPr>
              <w:t xml:space="preserve">Without it the object cannot exist or be identified.</w:t>
            </w:r>
          </w:p>
        </w:tc>
        <w:tc>
          <w:tcPr>
            <w:tcW w:type="dxa" w:w="3249"/>
            <w:tcMar>
              <w:top w:type="dxa" w:w="60"/>
              <w:left w:type="dxa" w:w="100"/>
              <w:bottom w:type="dxa" w:w="60"/>
              <w:right w:type="dxa" w:w="100"/>
            </w:tcMar>
            <w:vAlign w:val="center"/>
          </w:tcPr>
          <w:p>
            <w:pPr>
              <w:spacing w:after="20" w:before="20"/>
            </w:pPr>
            <w:r>
              <w:rPr>
                <w:sz w:val="20"/>
                <w:szCs w:val="20"/>
              </w:rPr>
              <w:t xml:space="preserve">Enforced always, in every configuration. Cannot be disabled by configuration.</w:t>
            </w:r>
          </w:p>
        </w:tc>
        <w:tc>
          <w:tcPr>
            <w:tcW w:type="dxa" w:w="1264"/>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Materially improves platform value but is not needed to operate.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Presented in Basic mode, reported by the data quality capability, never blocking.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PS-014, PS-015, CAP-INT-039</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Optional</w:t>
            </w:r>
          </w:p>
        </w:tc>
        <w:tc>
          <w:tcPr>
            <w:tcW w:type="dxa" w:w="2708"/>
            <w:tcMar>
              <w:top w:type="dxa" w:w="60"/>
              <w:left w:type="dxa" w:w="100"/>
              <w:bottom w:type="dxa" w:w="60"/>
              <w:right w:type="dxa" w:w="100"/>
            </w:tcMar>
            <w:vAlign w:val="center"/>
          </w:tcPr>
          <w:p>
            <w:pPr>
              <w:spacing w:after="20" w:before="20"/>
            </w:pPr>
            <w:r>
              <w:rPr>
                <w:sz w:val="20"/>
                <w:szCs w:val="20"/>
              </w:rPr>
              <w:t xml:space="preserve">Useful to some organizations, irrelevant to others.</w:t>
            </w:r>
          </w:p>
        </w:tc>
        <w:tc>
          <w:tcPr>
            <w:tcW w:type="dxa" w:w="3249"/>
            <w:tcMar>
              <w:top w:type="dxa" w:w="60"/>
              <w:left w:type="dxa" w:w="100"/>
              <w:bottom w:type="dxa" w:w="60"/>
              <w:right w:type="dxa" w:w="100"/>
            </w:tcMar>
            <w:vAlign w:val="center"/>
          </w:tcPr>
          <w:p>
            <w:pPr>
              <w:spacing w:after="20" w:before="20"/>
            </w:pPr>
            <w:r>
              <w:rPr>
                <w:sz w:val="20"/>
                <w:szCs w:val="20"/>
              </w:rPr>
              <w:t xml:space="preserve">Available in Advanced mode. Never enforced.</w:t>
            </w:r>
          </w:p>
        </w:tc>
        <w:tc>
          <w:tcPr>
            <w:tcW w:type="dxa" w:w="1264"/>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Meaningful only when a specific capability is enabled.</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Absent from the interface when the capability is disabled. May become Required when the capability is enabled and the tenant profile demands 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PS-013, PS-014, PS-015</w:t>
            </w:r>
          </w:p>
        </w:tc>
      </w:tr>
    </w:tbl>
    <w:p>
      <w:pPr>
        <w:pStyle w:val="Heading2"/>
        <w:spacing w:after="120" w:before="260"/>
      </w:pPr>
      <w:r>
        <w:rPr>
          <w:b/>
          <w:bCs/>
          <w:color w:val="2E74B5"/>
          <w:sz w:val="25"/>
          <w:szCs w:val="25"/>
        </w:rPr>
        <w:t xml:space="preserve">6.2 Every object carries this classification</w:t>
      </w:r>
    </w:p>
    <w:p>
      <w:pPr>
        <w:spacing w:after="120" w:before="0"/>
      </w:pPr>
      <w:r>
        <w:t xml:space="preserve">Every business object in PDS-05 shall classify every attribute. The classification is data, not code, and it is resolved at runtime by PS-014.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1805"/>
        <w:gridCol w:w="2347"/>
        <w:gridCol w:w="3430"/>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Business Object</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Required</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Representative Recommended</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Representative Capability-Dependent</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Asset</w:t>
            </w:r>
          </w:p>
        </w:tc>
        <w:tc>
          <w:tcPr>
            <w:tcW w:type="dxa" w:w="1805"/>
            <w:tcMar>
              <w:top w:type="dxa" w:w="60"/>
              <w:left w:type="dxa" w:w="100"/>
              <w:bottom w:type="dxa" w:w="60"/>
              <w:right w:type="dxa" w:w="100"/>
            </w:tcMar>
            <w:vAlign w:val="center"/>
          </w:tcPr>
          <w:p>
            <w:pPr>
              <w:spacing w:after="20" w:before="20"/>
            </w:pPr>
            <w:r>
              <w:rPr>
                <w:sz w:val="20"/>
                <w:szCs w:val="20"/>
              </w:rPr>
              <w:t xml:space="preserve">Name, Asset Type, Status</w:t>
            </w:r>
          </w:p>
        </w:tc>
        <w:tc>
          <w:tcPr>
            <w:tcW w:type="dxa" w:w="2347"/>
            <w:tcMar>
              <w:top w:type="dxa" w:w="60"/>
              <w:left w:type="dxa" w:w="100"/>
              <w:bottom w:type="dxa" w:w="60"/>
              <w:right w:type="dxa" w:w="100"/>
            </w:tcMar>
            <w:vAlign w:val="center"/>
          </w:tcPr>
          <w:p>
            <w:pPr>
              <w:spacing w:after="20" w:before="20"/>
            </w:pPr>
            <w:r>
              <w:rPr>
                <w:sz w:val="20"/>
                <w:szCs w:val="20"/>
              </w:rPr>
              <w:t xml:space="preserve">Category, Custodian, Location, Purchase Date</w:t>
            </w:r>
          </w:p>
        </w:tc>
        <w:tc>
          <w:tcPr>
            <w:tcW w:type="dxa" w:w="3430"/>
            <w:tcMar>
              <w:top w:type="dxa" w:w="60"/>
              <w:left w:type="dxa" w:w="100"/>
              <w:bottom w:type="dxa" w:w="60"/>
              <w:right w:type="dxa" w:w="100"/>
            </w:tcMar>
            <w:vAlign w:val="center"/>
          </w:tcPr>
          <w:p>
            <w:pPr>
              <w:spacing w:after="20" w:before="20"/>
            </w:pPr>
            <w:r>
              <w:rPr>
                <w:sz w:val="20"/>
                <w:szCs w:val="20"/>
              </w:rPr>
              <w:t xml:space="preserve">RFID Tag (RFID), Barcode (Barcode), X/Y Position (Visual Intelligence), Storage Bin (Warehouse), Depreciation Method (Depreciation)</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Name, Code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Site, Manager</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Warehouse Area, Storage Location, Bin, RFID Zone, Indoor Map (Warehouse structure and Visual Intelligence)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Building</w:t>
            </w:r>
          </w:p>
        </w:tc>
        <w:tc>
          <w:tcPr>
            <w:tcW w:type="dxa" w:w="1805"/>
            <w:tcMar>
              <w:top w:type="dxa" w:w="60"/>
              <w:left w:type="dxa" w:w="100"/>
              <w:bottom w:type="dxa" w:w="60"/>
              <w:right w:type="dxa" w:w="100"/>
            </w:tcMar>
            <w:vAlign w:val="center"/>
          </w:tcPr>
          <w:p>
            <w:pPr>
              <w:spacing w:after="20" w:before="20"/>
            </w:pPr>
            <w:r>
              <w:rPr>
                <w:sz w:val="20"/>
                <w:szCs w:val="20"/>
              </w:rPr>
              <w:t xml:space="preserve">Name</w:t>
            </w:r>
          </w:p>
        </w:tc>
        <w:tc>
          <w:tcPr>
            <w:tcW w:type="dxa" w:w="2347"/>
            <w:tcMar>
              <w:top w:type="dxa" w:w="60"/>
              <w:left w:type="dxa" w:w="100"/>
              <w:bottom w:type="dxa" w:w="60"/>
              <w:right w:type="dxa" w:w="100"/>
            </w:tcMar>
            <w:vAlign w:val="center"/>
          </w:tcPr>
          <w:p>
            <w:pPr>
              <w:spacing w:after="20" w:before="20"/>
            </w:pPr>
            <w:r>
              <w:rPr>
                <w:sz w:val="20"/>
                <w:szCs w:val="20"/>
              </w:rPr>
              <w:t xml:space="preserve">Site, Address</w:t>
            </w:r>
          </w:p>
        </w:tc>
        <w:tc>
          <w:tcPr>
            <w:tcW w:type="dxa" w:w="3430"/>
            <w:tcMar>
              <w:top w:type="dxa" w:w="60"/>
              <w:left w:type="dxa" w:w="100"/>
              <w:bottom w:type="dxa" w:w="60"/>
              <w:right w:type="dxa" w:w="100"/>
            </w:tcMar>
            <w:vAlign w:val="center"/>
          </w:tcPr>
          <w:p>
            <w:pPr>
              <w:spacing w:after="20" w:before="20"/>
            </w:pPr>
            <w:r>
              <w:rPr>
                <w:sz w:val="20"/>
                <w:szCs w:val="20"/>
              </w:rPr>
              <w:t xml:space="preserve">Floor Plan, Coordinates (Visual Intelligence), RFID Zone (RFID)</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Department, Manager, Job Title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Badge Reference (Gate Control), Security Clearance (Security), Linked User (any interactive access)</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Vehicle</w:t>
            </w:r>
          </w:p>
        </w:tc>
        <w:tc>
          <w:tcPr>
            <w:tcW w:type="dxa" w:w="1805"/>
            <w:tcMar>
              <w:top w:type="dxa" w:w="60"/>
              <w:left w:type="dxa" w:w="100"/>
              <w:bottom w:type="dxa" w:w="60"/>
              <w:right w:type="dxa" w:w="100"/>
            </w:tcMar>
            <w:vAlign w:val="center"/>
          </w:tcPr>
          <w:p>
            <w:pPr>
              <w:spacing w:after="20" w:before="20"/>
            </w:pPr>
            <w:r>
              <w:rPr>
                <w:sz w:val="20"/>
                <w:szCs w:val="20"/>
              </w:rPr>
              <w:t xml:space="preserve">Plate Number</w:t>
            </w:r>
          </w:p>
        </w:tc>
        <w:tc>
          <w:tcPr>
            <w:tcW w:type="dxa" w:w="2347"/>
            <w:tcMar>
              <w:top w:type="dxa" w:w="60"/>
              <w:left w:type="dxa" w:w="100"/>
              <w:bottom w:type="dxa" w:w="60"/>
              <w:right w:type="dxa" w:w="100"/>
            </w:tcMar>
            <w:vAlign w:val="center"/>
          </w:tcPr>
          <w:p>
            <w:pPr>
              <w:spacing w:after="20" w:before="20"/>
            </w:pPr>
            <w:r>
              <w:rPr>
                <w:sz w:val="20"/>
                <w:szCs w:val="20"/>
              </w:rPr>
              <w:t xml:space="preserve">Type, Owner, Contractor</w:t>
            </w:r>
          </w:p>
        </w:tc>
        <w:tc>
          <w:tcPr>
            <w:tcW w:type="dxa" w:w="3430"/>
            <w:tcMar>
              <w:top w:type="dxa" w:w="60"/>
              <w:left w:type="dxa" w:w="100"/>
              <w:bottom w:type="dxa" w:w="60"/>
              <w:right w:type="dxa" w:w="100"/>
            </w:tcMar>
            <w:vAlign w:val="center"/>
          </w:tcPr>
          <w:p>
            <w:pPr>
              <w:spacing w:after="20" w:before="20"/>
            </w:pPr>
            <w:r>
              <w:rPr>
                <w:sz w:val="20"/>
                <w:szCs w:val="20"/>
              </w:rPr>
              <w:t xml:space="preserve">RFID Tag (RFID), Current Permit (Vehicle Verification), Risk Score (Risk Scoring)</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Permit Number, Status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Type, Validity Window, Issuer</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Authorized Item List (Loading Verification), Tunnel Read Reference (RFID Portal)</w:t>
            </w:r>
          </w:p>
        </w:tc>
      </w:tr>
    </w:tbl>
    <w:p>
      <w:pPr>
        <w:pStyle w:val="Heading2"/>
        <w:spacing w:after="120" w:before="260"/>
      </w:pPr>
      <w:r>
        <w:rPr>
          <w:b/>
          <w:bCs/>
          <w:color w:val="2E74B5"/>
          <w:sz w:val="25"/>
          <w:szCs w:val="25"/>
        </w:rPr>
        <w:t xml:space="preserve">6.3 The database consequence</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Rule  </w:t>
      </w:r>
      <w:r>
        <w:rPr>
          <w:sz w:val="20"/>
          <w:szCs w:val="20"/>
        </w:rPr>
        <w:t xml:space="preserve">The physical model shall not be constructed from fifty mandatory columns. Nullability, validation and interface visibility are derived at runtime from the classification plus the enabled capability set, held as configuration. A column that is Capability-Dependent is nullable in the schema and mandatory only in the resolved rule set.</w:t>
      </w:r>
    </w:p>
    <w:p>
      <w:r>
        <w:br w:type="page"/>
      </w:r>
    </w:p>
    <w:p>
      <w:pPr>
        <w:pStyle w:val="Heading1"/>
        <w:spacing w:after="160" w:before="320"/>
      </w:pPr>
      <w:r>
        <w:rPr>
          <w:b/>
          <w:bCs/>
          <w:color w:val="1F4E79"/>
          <w:sz w:val="30"/>
          <w:szCs w:val="30"/>
        </w:rPr>
        <w:t xml:space="preserve">7. How the Core Platform Supports Incremental Adoption</w:t>
      </w:r>
    </w:p>
    <w:p>
      <w:pPr>
        <w:spacing w:after="120" w:before="0"/>
      </w:pPr>
      <w:r>
        <w:t xml:space="preserve">EP-001 states that every business object shall support progressive enrichment. This section states what the Core Platform must actually do to make that true.</w:t>
      </w:r>
    </w:p>
    <w:p>
      <w:pPr>
        <w:pStyle w:val="Heading2"/>
        <w:spacing w:after="120" w:before="260"/>
      </w:pPr>
      <w:r>
        <w:rPr>
          <w:b/>
          <w:bCs/>
          <w:color w:val="2E74B5"/>
          <w:sz w:val="25"/>
          <w:szCs w:val="25"/>
        </w:rPr>
        <w:t xml:space="preserve">7.1 The adoption path the platform must support</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Step 1   Create an organization            Name only</w:t>
      </w:r>
      <w:r>
        <w:rPr>
          <w:rFonts w:ascii="Consolas" w:cs="Consolas" w:eastAsia="Consolas" w:hAnsi="Consolas"/>
          <w:sz w:val="18"/>
          <w:szCs w:val="18"/>
        </w:rPr>
        <w:br/>
        <w:t xml:space="preserve">Step 2   Create one warehouse              Name + Code</w:t>
      </w:r>
      <w:r>
        <w:rPr>
          <w:rFonts w:ascii="Consolas" w:cs="Consolas" w:eastAsia="Consolas" w:hAnsi="Consolas"/>
          <w:sz w:val="18"/>
          <w:szCs w:val="18"/>
        </w:rPr>
        <w:br/>
        <w:t xml:space="preserve">Step 3   Create one asset                  Name + Type + Status</w:t>
      </w:r>
      <w:r>
        <w:rPr>
          <w:rFonts w:ascii="Consolas" w:cs="Consolas" w:eastAsia="Consolas" w:hAnsi="Consolas"/>
          <w:sz w:val="18"/>
          <w:szCs w:val="18"/>
        </w:rPr>
        <w:br/>
        <w:t xml:space="preserve">Step 4   Operate.</w:t>
      </w:r>
      <w:r>
        <w:rPr>
          <w:rFonts w:ascii="Consolas" w:cs="Consolas" w:eastAsia="Consolas" w:hAnsi="Consolas"/>
          <w:sz w:val="18"/>
          <w:szCs w:val="18"/>
        </w:rPr>
        <w:br/>
        <w:t xml:space="preserve"/>
      </w:r>
      <w:r>
        <w:rPr>
          <w:rFonts w:ascii="Consolas" w:cs="Consolas" w:eastAsia="Consolas" w:hAnsi="Consolas"/>
          <w:sz w:val="18"/>
          <w:szCs w:val="18"/>
        </w:rPr>
        <w:br/>
        <w:t xml:space="preserve">Later    Enable Warehouse structure        Areas, locations, bins appear</w:t>
      </w:r>
      <w:r>
        <w:rPr>
          <w:rFonts w:ascii="Consolas" w:cs="Consolas" w:eastAsia="Consolas" w:hAnsi="Consolas"/>
          <w:sz w:val="18"/>
          <w:szCs w:val="18"/>
        </w:rPr>
        <w:br/>
        <w:t xml:space="preserve">Later    Enable RFID                       Tag fields and encoding appear</w:t>
      </w:r>
      <w:r>
        <w:rPr>
          <w:rFonts w:ascii="Consolas" w:cs="Consolas" w:eastAsia="Consolas" w:hAnsi="Consolas"/>
          <w:sz w:val="18"/>
          <w:szCs w:val="18"/>
        </w:rPr>
        <w:br/>
        <w:t xml:space="preserve">Later    Enable Visual Intelligence        Floor plans and coordinates appear</w:t>
      </w:r>
      <w:r>
        <w:rPr>
          <w:rFonts w:ascii="Consolas" w:cs="Consolas" w:eastAsia="Consolas" w:hAnsi="Consolas"/>
          <w:sz w:val="18"/>
          <w:szCs w:val="18"/>
        </w:rPr>
        <w:br/>
        <w:t xml:space="preserve">Later    Enable Vehicle Verification       Permits and tunnel comparison appear</w:t>
      </w:r>
      <w:r>
        <w:rPr>
          <w:rFonts w:ascii="Consolas" w:cs="Consolas" w:eastAsia="Consolas" w:hAnsi="Consolas"/>
          <w:sz w:val="18"/>
          <w:szCs w:val="18"/>
        </w:rPr>
        <w:br/>
        <w:t xml:space="preserve"/>
      </w:r>
      <w:r>
        <w:rPr>
          <w:rFonts w:ascii="Consolas" w:cs="Consolas" w:eastAsia="Consolas" w:hAnsi="Consolas"/>
          <w:sz w:val="18"/>
          <w:szCs w:val="18"/>
        </w:rPr>
        <w:br/>
        <w:t xml:space="preserve">At no point is existing data migrated, revalidated or invalidated.</w:t>
      </w:r>
    </w:p>
    <w:p>
      <w:pPr>
        <w:pStyle w:val="Heading2"/>
        <w:spacing w:after="120" w:before="260"/>
      </w:pPr>
      <w:r>
        <w:rPr>
          <w:b/>
          <w:bCs/>
          <w:color w:val="2E74B5"/>
          <w:sz w:val="25"/>
          <w:szCs w:val="25"/>
        </w:rPr>
        <w:t xml:space="preserve">7.2 Platform obligations</w:t>
      </w:r>
    </w:p>
    <w:p>
      <w:pPr>
        <w:pStyle w:val="ListParagraph"/>
        <w:numPr>
          <w:ilvl w:val="0"/>
          <w:numId w:val="2"/>
        </w:numPr>
        <w:spacing w:after="60"/>
      </w:pPr>
      <w:r>
        <w:t xml:space="preserve">PS-013 shall record licensed and enabled capability state per tenant and publish changes as events.</w:t>
      </w:r>
    </w:p>
    <w:p>
      <w:pPr>
        <w:pStyle w:val="ListParagraph"/>
        <w:numPr>
          <w:ilvl w:val="0"/>
          <w:numId w:val="2"/>
        </w:numPr>
        <w:spacing w:after="60"/>
      </w:pPr>
      <w:r>
        <w:t xml:space="preserve">PS-014 shall resolve the effective mandatory field set from the object definition, the enabled capabilities and the tenant validation profile — never from constants.</w:t>
      </w:r>
    </w:p>
    <w:p>
      <w:pPr>
        <w:pStyle w:val="ListParagraph"/>
        <w:numPr>
          <w:ilvl w:val="0"/>
          <w:numId w:val="2"/>
        </w:numPr>
        <w:spacing w:after="60"/>
      </w:pPr>
      <w:r>
        <w:t xml:space="preserve">PS-015 shall drive interface field visibility and Basic/Advanced grouping from the same resolution, so that interface and API can never disagree.</w:t>
      </w:r>
    </w:p>
    <w:p>
      <w:pPr>
        <w:pStyle w:val="ListParagraph"/>
        <w:numPr>
          <w:ilvl w:val="0"/>
          <w:numId w:val="2"/>
        </w:numPr>
        <w:spacing w:after="60"/>
      </w:pPr>
      <w:r>
        <w:t xml:space="preserve">PS-004 shall guarantee that enabling a capability adds structure without migrating or invalidating existing records.</w:t>
      </w:r>
    </w:p>
    <w:p>
      <w:pPr>
        <w:pStyle w:val="ListParagraph"/>
        <w:numPr>
          <w:ilvl w:val="0"/>
          <w:numId w:val="2"/>
        </w:numPr>
        <w:spacing w:after="60"/>
      </w:pPr>
      <w:r>
        <w:t xml:space="preserve">The data quality capability shall report unpopulated Recommended fields without blocking any operation.</w:t>
      </w:r>
    </w:p>
    <w:p>
      <w:pPr>
        <w:pStyle w:val="ListParagraph"/>
        <w:numPr>
          <w:ilvl w:val="0"/>
          <w:numId w:val="2"/>
        </w:numPr>
        <w:spacing w:after="60"/>
      </w:pPr>
      <w:r>
        <w:t xml:space="preserve">DOM-IAM shall resolve the menu and action set from the enabled capability set, so that a disabled capability is not merely hidden but unreachable.</w:t>
      </w:r>
    </w:p>
    <w:p>
      <w:pPr>
        <w:pStyle w:val="Heading2"/>
        <w:spacing w:after="120" w:before="260"/>
      </w:pPr>
      <w:r>
        <w:rPr>
          <w:b/>
          <w:bCs/>
          <w:color w:val="2E74B5"/>
          <w:sz w:val="25"/>
          <w:szCs w:val="25"/>
        </w:rPr>
        <w:t xml:space="preserve">7.3 Worked resolution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166"/>
        <w:gridCol w:w="3610"/>
        <w:gridCol w:w="2167"/>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Tenant</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Enabled capabilities</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PS-014 resolves asset creation as</w:t>
            </w:r>
          </w:p>
        </w:tc>
        <w:tc>
          <w:tcPr>
            <w:tcW w:type="dxa" w:w="216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PS-015 renders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Tenant A</w:t>
            </w:r>
          </w:p>
        </w:tc>
        <w:tc>
          <w:tcPr>
            <w:tcW w:type="dxa" w:w="2166"/>
            <w:tcMar>
              <w:top w:type="dxa" w:w="60"/>
              <w:left w:type="dxa" w:w="100"/>
              <w:bottom w:type="dxa" w:w="60"/>
              <w:right w:type="dxa" w:w="100"/>
            </w:tcMar>
            <w:vAlign w:val="center"/>
          </w:tcPr>
          <w:p>
            <w:pPr>
              <w:spacing w:after="20" w:before="20"/>
            </w:pPr>
            <w:r>
              <w:rPr>
                <w:sz w:val="20"/>
                <w:szCs w:val="20"/>
              </w:rPr>
              <w:t xml:space="preserve">Asset Lifecycle only</w:t>
            </w:r>
          </w:p>
        </w:tc>
        <w:tc>
          <w:tcPr>
            <w:tcW w:type="dxa" w:w="3610"/>
            <w:tcMar>
              <w:top w:type="dxa" w:w="60"/>
              <w:left w:type="dxa" w:w="100"/>
              <w:bottom w:type="dxa" w:w="60"/>
              <w:right w:type="dxa" w:w="100"/>
            </w:tcMar>
            <w:vAlign w:val="center"/>
          </w:tcPr>
          <w:p>
            <w:pPr>
              <w:spacing w:after="20" w:before="20"/>
            </w:pPr>
            <w:r>
              <w:rPr>
                <w:sz w:val="20"/>
                <w:szCs w:val="20"/>
              </w:rPr>
              <w:t xml:space="preserve">Required: Name, Asset Type, Status</w:t>
            </w:r>
          </w:p>
        </w:tc>
        <w:tc>
          <w:tcPr>
            <w:tcW w:type="dxa" w:w="2167"/>
            <w:tcMar>
              <w:top w:type="dxa" w:w="60"/>
              <w:left w:type="dxa" w:w="100"/>
              <w:bottom w:type="dxa" w:w="60"/>
              <w:right w:type="dxa" w:w="100"/>
            </w:tcMar>
            <w:vAlign w:val="center"/>
          </w:tcPr>
          <w:p>
            <w:pPr>
              <w:spacing w:after="20" w:before="20"/>
            </w:pPr>
            <w:r>
              <w:rPr>
                <w:sz w:val="20"/>
                <w:szCs w:val="20"/>
              </w:rPr>
              <w:t xml:space="preserve">Three fields. No RFID, no coordinates, no bin.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Tenant B</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Lifecycle + RFID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Required: Name, Asset Type, Status, RFID Tag — because Tenant B's validation profile marks the capability-dependent RFID field as required</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Four fields in Basic mode, RFID encoding action available.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Tenant C</w:t>
            </w:r>
          </w:p>
        </w:tc>
        <w:tc>
          <w:tcPr>
            <w:tcW w:type="dxa" w:w="2166"/>
            <w:tcMar>
              <w:top w:type="dxa" w:w="60"/>
              <w:left w:type="dxa" w:w="100"/>
              <w:bottom w:type="dxa" w:w="60"/>
              <w:right w:type="dxa" w:w="100"/>
            </w:tcMar>
            <w:vAlign w:val="center"/>
          </w:tcPr>
          <w:p>
            <w:pPr>
              <w:spacing w:after="20" w:before="20"/>
            </w:pPr>
            <w:r>
              <w:rPr>
                <w:sz w:val="20"/>
                <w:szCs w:val="20"/>
              </w:rPr>
              <w:t xml:space="preserve">Asset Lifecycle + Warehouse + Visual Intelligence</w:t>
            </w:r>
          </w:p>
        </w:tc>
        <w:tc>
          <w:tcPr>
            <w:tcW w:type="dxa" w:w="3610"/>
            <w:tcMar>
              <w:top w:type="dxa" w:w="60"/>
              <w:left w:type="dxa" w:w="100"/>
              <w:bottom w:type="dxa" w:w="60"/>
              <w:right w:type="dxa" w:w="100"/>
            </w:tcMar>
            <w:vAlign w:val="center"/>
          </w:tcPr>
          <w:p>
            <w:pPr>
              <w:spacing w:after="20" w:before="20"/>
            </w:pPr>
            <w:r>
              <w:rPr>
                <w:sz w:val="20"/>
                <w:szCs w:val="20"/>
              </w:rPr>
              <w:t xml:space="preserve">Required: Name, Asset Type, Status, Storage Location. Coordinates required only on assets positioned on a plan.</w:t>
            </w:r>
          </w:p>
        </w:tc>
        <w:tc>
          <w:tcPr>
            <w:tcW w:type="dxa" w:w="2167"/>
            <w:tcMar>
              <w:top w:type="dxa" w:w="60"/>
              <w:left w:type="dxa" w:w="100"/>
              <w:bottom w:type="dxa" w:w="60"/>
              <w:right w:type="dxa" w:w="100"/>
            </w:tcMar>
            <w:vAlign w:val="center"/>
          </w:tcPr>
          <w:p>
            <w:pPr>
              <w:spacing w:after="20" w:before="20"/>
            </w:pPr>
            <w:r>
              <w:rPr>
                <w:sz w:val="20"/>
                <w:szCs w:val="20"/>
              </w:rPr>
              <w:t xml:space="preserve">Basic: four fields. Advanced: coordinates, plan reference, layer.</w:t>
            </w:r>
          </w:p>
        </w:tc>
      </w:tr>
    </w:tbl>
    <w:p>
      <w:pPr>
        <w:pStyle w:val="Heading2"/>
        <w:spacing w:after="120" w:before="260"/>
      </w:pPr>
      <w:r>
        <w:rPr>
          <w:b/>
          <w:bCs/>
          <w:color w:val="2E74B5"/>
          <w:sz w:val="25"/>
          <w:szCs w:val="25"/>
        </w:rPr>
        <w:t xml:space="preserve">7.4 Schema evolution guarantee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3971"/>
        <w:gridCol w:w="2889"/>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Permitted platform behavior</w:t>
            </w:r>
          </w:p>
        </w:tc>
        <w:tc>
          <w:tcPr>
            <w:tcW w:type="dxa" w:w="288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Prohibited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Enable a capability</w:t>
            </w:r>
          </w:p>
        </w:tc>
        <w:tc>
          <w:tcPr>
            <w:tcW w:type="dxa" w:w="3971"/>
            <w:tcMar>
              <w:top w:type="dxa" w:w="60"/>
              <w:left w:type="dxa" w:w="100"/>
              <w:bottom w:type="dxa" w:w="60"/>
              <w:right w:type="dxa" w:w="100"/>
            </w:tcMar>
            <w:vAlign w:val="center"/>
          </w:tcPr>
          <w:p>
            <w:pPr>
              <w:spacing w:after="20" w:before="20"/>
            </w:pPr>
            <w:r>
              <w:rPr>
                <w:sz w:val="20"/>
                <w:szCs w:val="20"/>
              </w:rPr>
              <w:t xml:space="preserve">Register additional attributes and objects; make them visible; resolve new validation.</w:t>
            </w:r>
          </w:p>
        </w:tc>
        <w:tc>
          <w:tcPr>
            <w:tcW w:type="dxa" w:w="2889"/>
            <w:tcMar>
              <w:top w:type="dxa" w:w="60"/>
              <w:left w:type="dxa" w:w="100"/>
              <w:bottom w:type="dxa" w:w="60"/>
              <w:right w:type="dxa" w:w="100"/>
            </w:tcMar>
            <w:vAlign w:val="center"/>
          </w:tcPr>
          <w:p>
            <w:pPr>
              <w:spacing w:after="20" w:before="20"/>
            </w:pPr>
            <w:r>
              <w:rPr>
                <w:sz w:val="20"/>
                <w:szCs w:val="20"/>
              </w:rPr>
              <w:t xml:space="preserve">Migrating, rewriting or revalidating existing records; requiring downtime.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Disable a capability</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Hide attributes and objects; stop enforcing their validation; retain the data.</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Deleting data captured while the capability was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Re-enable a capability</w:t>
            </w:r>
          </w:p>
        </w:tc>
        <w:tc>
          <w:tcPr>
            <w:tcW w:type="dxa" w:w="3971"/>
            <w:tcMar>
              <w:top w:type="dxa" w:w="60"/>
              <w:left w:type="dxa" w:w="100"/>
              <w:bottom w:type="dxa" w:w="60"/>
              <w:right w:type="dxa" w:w="100"/>
            </w:tcMar>
            <w:vAlign w:val="center"/>
          </w:tcPr>
          <w:p>
            <w:pPr>
              <w:spacing w:after="20" w:before="20"/>
            </w:pPr>
            <w:r>
              <w:rPr>
                <w:sz w:val="20"/>
                <w:szCs w:val="20"/>
              </w:rPr>
              <w:t xml:space="preserve">Restore visibility and validation; previously captured data reappears intact.</w:t>
            </w:r>
          </w:p>
        </w:tc>
        <w:tc>
          <w:tcPr>
            <w:tcW w:type="dxa" w:w="2889"/>
            <w:tcMar>
              <w:top w:type="dxa" w:w="60"/>
              <w:left w:type="dxa" w:w="100"/>
              <w:bottom w:type="dxa" w:w="60"/>
              <w:right w:type="dxa" w:w="100"/>
            </w:tcMar>
            <w:vAlign w:val="center"/>
          </w:tcPr>
          <w:p>
            <w:pPr>
              <w:spacing w:after="20" w:before="20"/>
            </w:pPr>
            <w:r>
              <w:rPr>
                <w:sz w:val="20"/>
                <w:szCs w:val="20"/>
              </w:rPr>
              <w:t xml:space="preserve">Requiring re-entry of data captured previously.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Add a Recommended attribute in a platform release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Report it as unpopulated in data quality.</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Blocking existing records from being saved.</w:t>
            </w:r>
          </w:p>
        </w:tc>
      </w:tr>
    </w:tbl>
    <w:p>
      <w:r>
        <w:br w:type="page"/>
      </w:r>
    </w:p>
    <w:p>
      <w:pPr>
        <w:pStyle w:val="Heading1"/>
        <w:spacing w:after="160" w:before="320"/>
      </w:pPr>
      <w:r>
        <w:rPr>
          <w:b/>
          <w:bCs/>
          <w:color w:val="1F4E79"/>
          <w:sz w:val="30"/>
          <w:szCs w:val="30"/>
        </w:rPr>
        <w:t xml:space="preserve">8. Shared Business Object Service Contract</w:t>
      </w:r>
    </w:p>
    <w:p>
      <w:pPr>
        <w:spacing w:after="120" w:before="0"/>
      </w:pPr>
      <w:r>
        <w:t xml:space="preserve">Every shared business object, in every domain, inherits the following contract from the Core Platform. A hosting domain implements business meaning; it does not implement any item in this 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416"/>
        <w:gridCol w:w="288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41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Inherited capability</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Provided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SC-01</w:t>
            </w:r>
          </w:p>
        </w:tc>
        <w:tc>
          <w:tcPr>
            <w:tcW w:type="dxa" w:w="5416"/>
            <w:tcMar>
              <w:top w:type="dxa" w:w="60"/>
              <w:left w:type="dxa" w:w="100"/>
              <w:bottom w:type="dxa" w:w="60"/>
              <w:right w:type="dxa" w:w="100"/>
            </w:tcMar>
            <w:vAlign w:val="center"/>
          </w:tcPr>
          <w:p>
            <w:pPr>
              <w:spacing w:after="20" w:before="20"/>
            </w:pPr>
            <w:r>
              <w:rPr>
                <w:sz w:val="20"/>
                <w:szCs w:val="20"/>
              </w:rPr>
              <w:t xml:space="preserve">Create, read, update, delete and list through a versioned API.</w:t>
            </w:r>
          </w:p>
        </w:tc>
        <w:tc>
          <w:tcPr>
            <w:tcW w:type="dxa" w:w="2888"/>
            <w:tcMar>
              <w:top w:type="dxa" w:w="60"/>
              <w:left w:type="dxa" w:w="100"/>
              <w:bottom w:type="dxa" w:w="60"/>
              <w:right w:type="dxa" w:w="100"/>
            </w:tcMar>
            <w:vAlign w:val="center"/>
          </w:tcPr>
          <w:p>
            <w:pPr>
              <w:spacing w:after="20" w:before="20"/>
            </w:pPr>
            <w:r>
              <w:rPr>
                <w:sz w:val="20"/>
                <w:szCs w:val="20"/>
              </w:rPr>
              <w:t xml:space="preserve">PS-004, PS-012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SC-02</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Configurable status and lifecycle with permitted transitions.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PS-004, PS-010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SC-03</w:t>
            </w:r>
          </w:p>
        </w:tc>
        <w:tc>
          <w:tcPr>
            <w:tcW w:type="dxa" w:w="5416"/>
            <w:tcMar>
              <w:top w:type="dxa" w:w="60"/>
              <w:left w:type="dxa" w:w="100"/>
              <w:bottom w:type="dxa" w:w="60"/>
              <w:right w:type="dxa" w:w="100"/>
            </w:tcMar>
            <w:vAlign w:val="center"/>
          </w:tcPr>
          <w:p>
            <w:pPr>
              <w:spacing w:after="20" w:before="20"/>
            </w:pPr>
            <w:r>
              <w:rPr>
                <w:sz w:val="20"/>
                <w:szCs w:val="20"/>
              </w:rPr>
              <w:t xml:space="preserve">Attachments, images and documents.</w:t>
            </w:r>
          </w:p>
        </w:tc>
        <w:tc>
          <w:tcPr>
            <w:tcW w:type="dxa" w:w="2888"/>
            <w:tcMar>
              <w:top w:type="dxa" w:w="60"/>
              <w:left w:type="dxa" w:w="100"/>
              <w:bottom w:type="dxa" w:w="60"/>
              <w:right w:type="dxa" w:w="100"/>
            </w:tcMar>
            <w:vAlign w:val="center"/>
          </w:tcPr>
          <w:p>
            <w:pPr>
              <w:spacing w:after="20" w:before="20"/>
            </w:pPr>
            <w:r>
              <w:rPr>
                <w:sz w:val="20"/>
                <w:szCs w:val="20"/>
              </w:rPr>
              <w:t xml:space="preserve">PS-009, PS-017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SC-04</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Immutable audit history with before-and-after comparison.</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SC-05</w:t>
            </w:r>
          </w:p>
        </w:tc>
        <w:tc>
          <w:tcPr>
            <w:tcW w:type="dxa" w:w="5416"/>
            <w:tcMar>
              <w:top w:type="dxa" w:w="60"/>
              <w:left w:type="dxa" w:w="100"/>
              <w:bottom w:type="dxa" w:w="60"/>
              <w:right w:type="dxa" w:w="100"/>
            </w:tcMar>
            <w:vAlign w:val="center"/>
          </w:tcPr>
          <w:p>
            <w:pPr>
              <w:spacing w:after="20" w:before="20"/>
            </w:pPr>
            <w:r>
              <w:rPr>
                <w:sz w:val="20"/>
                <w:szCs w:val="20"/>
              </w:rPr>
              <w:t xml:space="preserve">Comments and collaboration.</w:t>
            </w:r>
          </w:p>
        </w:tc>
        <w:tc>
          <w:tcPr>
            <w:tcW w:type="dxa" w:w="2888"/>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SC-06</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Custom fields and labels defined by the customer.</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SC-07</w:t>
            </w:r>
          </w:p>
        </w:tc>
        <w:tc>
          <w:tcPr>
            <w:tcW w:type="dxa" w:w="5416"/>
            <w:tcMar>
              <w:top w:type="dxa" w:w="60"/>
              <w:left w:type="dxa" w:w="100"/>
              <w:bottom w:type="dxa" w:w="60"/>
              <w:right w:type="dxa" w:w="100"/>
            </w:tcMar>
            <w:vAlign w:val="center"/>
          </w:tcPr>
          <w:p>
            <w:pPr>
              <w:spacing w:after="20" w:before="20"/>
            </w:pPr>
            <w:r>
              <w:rPr>
                <w:sz w:val="20"/>
                <w:szCs w:val="20"/>
              </w:rPr>
              <w:t xml:space="preserve">Global and full-text search inclusion, access-scoped.</w:t>
            </w:r>
          </w:p>
        </w:tc>
        <w:tc>
          <w:tcPr>
            <w:tcW w:type="dxa" w:w="2888"/>
            <w:tcMar>
              <w:top w:type="dxa" w:w="60"/>
              <w:left w:type="dxa" w:w="100"/>
              <w:bottom w:type="dxa" w:w="60"/>
              <w:right w:type="dxa" w:w="100"/>
            </w:tcMar>
            <w:vAlign w:val="center"/>
          </w:tcPr>
          <w:p>
            <w:pPr>
              <w:spacing w:after="20" w:before="20"/>
            </w:pPr>
            <w:r>
              <w:rPr>
                <w:sz w:val="20"/>
                <w:szCs w:val="20"/>
              </w:rPr>
              <w:t xml:space="preserve">PS-008</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SC-08</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Extension attributes contributed by modules, namespaced and removable.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SC-09</w:t>
            </w:r>
          </w:p>
        </w:tc>
        <w:tc>
          <w:tcPr>
            <w:tcW w:type="dxa" w:w="5416"/>
            <w:tcMar>
              <w:top w:type="dxa" w:w="60"/>
              <w:left w:type="dxa" w:w="100"/>
              <w:bottom w:type="dxa" w:w="60"/>
              <w:right w:type="dxa" w:w="100"/>
            </w:tcMar>
            <w:vAlign w:val="center"/>
          </w:tcPr>
          <w:p>
            <w:pPr>
              <w:spacing w:after="20" w:before="20"/>
            </w:pPr>
            <w:r>
              <w:rPr>
                <w:sz w:val="20"/>
                <w:szCs w:val="20"/>
              </w:rPr>
              <w:t xml:space="preserve">Approval workflow on any state transition, configured not coded.</w:t>
            </w:r>
          </w:p>
        </w:tc>
        <w:tc>
          <w:tcPr>
            <w:tcW w:type="dxa" w:w="2888"/>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SC-10</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Notification on defined events.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PS-006</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SC-11</w:t>
            </w:r>
          </w:p>
        </w:tc>
        <w:tc>
          <w:tcPr>
            <w:tcW w:type="dxa" w:w="5416"/>
            <w:tcMar>
              <w:top w:type="dxa" w:w="60"/>
              <w:left w:type="dxa" w:w="100"/>
              <w:bottom w:type="dxa" w:w="60"/>
              <w:right w:type="dxa" w:w="100"/>
            </w:tcMar>
            <w:vAlign w:val="center"/>
          </w:tcPr>
          <w:p>
            <w:pPr>
              <w:spacing w:after="20" w:before="20"/>
            </w:pPr>
            <w:r>
              <w:rPr>
                <w:sz w:val="20"/>
                <w:szCs w:val="20"/>
              </w:rPr>
              <w:t xml:space="preserve">Effective validation resolved from capabilities and profile.</w:t>
            </w:r>
          </w:p>
        </w:tc>
        <w:tc>
          <w:tcPr>
            <w:tcW w:type="dxa" w:w="2888"/>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SC-12</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Field visibility and Basic/Advanced grouping.</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SC-13</w:t>
            </w:r>
          </w:p>
        </w:tc>
        <w:tc>
          <w:tcPr>
            <w:tcW w:type="dxa" w:w="5416"/>
            <w:tcMar>
              <w:top w:type="dxa" w:w="60"/>
              <w:left w:type="dxa" w:w="100"/>
              <w:bottom w:type="dxa" w:w="60"/>
              <w:right w:type="dxa" w:w="100"/>
            </w:tcMar>
            <w:vAlign w:val="center"/>
          </w:tcPr>
          <w:p>
            <w:pPr>
              <w:spacing w:after="20" w:before="20"/>
            </w:pPr>
            <w:r>
              <w:rPr>
                <w:sz w:val="20"/>
                <w:szCs w:val="20"/>
              </w:rPr>
              <w:t xml:space="preserve">Row-level and field-level access enforcement.</w:t>
            </w:r>
          </w:p>
        </w:tc>
        <w:tc>
          <w:tcPr>
            <w:tcW w:type="dxa" w:w="2888"/>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SC-14</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Inclusion in the unified reporting framework.</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SC-15</w:t>
            </w:r>
          </w:p>
        </w:tc>
        <w:tc>
          <w:tcPr>
            <w:tcW w:type="dxa" w:w="5416"/>
            <w:tcMar>
              <w:top w:type="dxa" w:w="60"/>
              <w:left w:type="dxa" w:w="100"/>
              <w:bottom w:type="dxa" w:w="60"/>
              <w:right w:type="dxa" w:w="100"/>
            </w:tcMar>
            <w:vAlign w:val="center"/>
          </w:tcPr>
          <w:p>
            <w:pPr>
              <w:spacing w:after="20" w:before="20"/>
            </w:pPr>
            <w:r>
              <w:rPr>
                <w:sz w:val="20"/>
                <w:szCs w:val="20"/>
              </w:rPr>
              <w:t xml:space="preserve">Domain event publication on state change.</w:t>
            </w:r>
          </w:p>
        </w:tc>
        <w:tc>
          <w:tcPr>
            <w:tcW w:type="dxa" w:w="2888"/>
            <w:tcMar>
              <w:top w:type="dxa" w:w="60"/>
              <w:left w:type="dxa" w:w="100"/>
              <w:bottom w:type="dxa" w:w="60"/>
              <w:right w:type="dxa" w:w="100"/>
            </w:tcMar>
            <w:vAlign w:val="center"/>
          </w:tcPr>
          <w:p>
            <w:pPr>
              <w:spacing w:after="20" w:before="20"/>
            </w:pPr>
            <w:r>
              <w:rPr>
                <w:sz w:val="20"/>
                <w:szCs w:val="20"/>
              </w:rPr>
              <w:t xml:space="preserve">PS-012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SC-16</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Numbering scheme and identifier generation.</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SC-17</w:t>
            </w:r>
          </w:p>
        </w:tc>
        <w:tc>
          <w:tcPr>
            <w:tcW w:type="dxa" w:w="5416"/>
            <w:tcMar>
              <w:top w:type="dxa" w:w="60"/>
              <w:left w:type="dxa" w:w="100"/>
              <w:bottom w:type="dxa" w:w="60"/>
              <w:right w:type="dxa" w:w="100"/>
            </w:tcMar>
            <w:vAlign w:val="center"/>
          </w:tcPr>
          <w:p>
            <w:pPr>
              <w:spacing w:after="20" w:before="20"/>
            </w:pPr>
            <w:r>
              <w:rPr>
                <w:sz w:val="20"/>
                <w:szCs w:val="20"/>
              </w:rPr>
              <w:t xml:space="preserve">Import and bulk operation support.</w:t>
            </w:r>
          </w:p>
        </w:tc>
        <w:tc>
          <w:tcPr>
            <w:tcW w:type="dxa" w:w="2888"/>
            <w:tcMar>
              <w:top w:type="dxa" w:w="60"/>
              <w:left w:type="dxa" w:w="100"/>
              <w:bottom w:type="dxa" w:w="60"/>
              <w:right w:type="dxa" w:w="100"/>
            </w:tcMar>
            <w:vAlign w:val="center"/>
          </w:tcPr>
          <w:p>
            <w:pPr>
              <w:spacing w:after="20" w:before="20"/>
            </w:pPr>
            <w:r>
              <w:rPr>
                <w:sz w:val="20"/>
                <w:szCs w:val="20"/>
              </w:rPr>
              <w:t xml:space="preserve">PS-004, PS-016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SC-18</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Soft archival with referential notification to consumers.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PS-004</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Verification  </w:t>
      </w:r>
      <w:r>
        <w:rPr>
          <w:sz w:val="20"/>
          <w:szCs w:val="20"/>
        </w:rPr>
        <w:t xml:space="preserve">A hosting domain specification in PDS-04 or PDS-05 that re-specifies any item in this table is a defect. The contract is inherited, not restated.</w:t>
      </w:r>
    </w:p>
    <w:p>
      <w:r>
        <w:br w:type="page"/>
      </w:r>
    </w:p>
    <w:p>
      <w:pPr>
        <w:pStyle w:val="Heading1"/>
        <w:spacing w:after="160" w:before="320"/>
      </w:pPr>
      <w:r>
        <w:rPr>
          <w:b/>
          <w:bCs/>
          <w:color w:val="1F4E79"/>
          <w:sz w:val="30"/>
          <w:szCs w:val="30"/>
        </w:rPr>
        <w:t xml:space="preserve">9. Mapping to the Business Domain Model</w:t>
      </w:r>
    </w:p>
    <w:p>
      <w:pPr>
        <w:spacing w:after="120" w:before="0"/>
      </w:pPr>
      <w:r>
        <w:t xml:space="preserve">Everything in this document is hosted by DOM-PLT, with three services delegated to the domains that own the underlying master data.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1625"/>
        <w:gridCol w:w="1625"/>
        <w:gridCol w:w="3068"/>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Hosting domain</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306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PS-001 Identity &amp; Access</w:t>
            </w:r>
          </w:p>
        </w:tc>
        <w:tc>
          <w:tcPr>
            <w:tcW w:type="dxa" w:w="1625"/>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w:t>
            </w:r>
          </w:p>
        </w:tc>
        <w:tc>
          <w:tcPr>
            <w:tcW w:type="dxa" w:w="3068"/>
            <w:tcMar>
              <w:top w:type="dxa" w:w="60"/>
              <w:left w:type="dxa" w:w="100"/>
              <w:bottom w:type="dxa" w:w="60"/>
              <w:right w:type="dxa" w:w="100"/>
            </w:tcMar>
            <w:vAlign w:val="center"/>
          </w:tcPr>
          <w:p>
            <w:pPr>
              <w:spacing w:after="20" w:before="20"/>
            </w:pPr>
            <w:r>
              <w:rPr>
                <w:sz w:val="20"/>
                <w:szCs w:val="20"/>
              </w:rPr>
              <w:t xml:space="preserve">Exposed as a platform service; the domain of record is DOM-IAM.</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PS-002 Enterprise Structure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Exposed as a platform service; the domain of record is DOM-ENT.</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PS-003 Location Service</w:t>
            </w:r>
          </w:p>
        </w:tc>
        <w:tc>
          <w:tcPr>
            <w:tcW w:type="dxa" w:w="1625"/>
            <w:tcMar>
              <w:top w:type="dxa" w:w="60"/>
              <w:left w:type="dxa" w:w="100"/>
              <w:bottom w:type="dxa" w:w="60"/>
              <w:right w:type="dxa" w:w="100"/>
            </w:tcMar>
            <w:vAlign w:val="center"/>
          </w:tcPr>
          <w:p>
            <w:pPr>
              <w:spacing w:after="20" w:before="20"/>
            </w:pPr>
            <w:r>
              <w:rPr>
                <w:sz w:val="20"/>
                <w:szCs w:val="20"/>
              </w:rPr>
              <w:t xml:space="preserve">DOM-LOC</w:t>
            </w:r>
          </w:p>
        </w:tc>
        <w:tc>
          <w:tcPr>
            <w:tcW w:type="dxa" w:w="1625"/>
            <w:tcMar>
              <w:top w:type="dxa" w:w="60"/>
              <w:left w:type="dxa" w:w="100"/>
              <w:bottom w:type="dxa" w:w="60"/>
              <w:right w:type="dxa" w:w="100"/>
            </w:tcMar>
            <w:vAlign w:val="center"/>
          </w:tcPr>
          <w:p>
            <w:pPr>
              <w:spacing w:after="20" w:before="20"/>
            </w:pPr>
            <w:r>
              <w:rPr>
                <w:sz w:val="20"/>
                <w:szCs w:val="20"/>
              </w:rPr>
              <w:t xml:space="preserve">SD-LOC-*</w:t>
            </w:r>
          </w:p>
        </w:tc>
        <w:tc>
          <w:tcPr>
            <w:tcW w:type="dxa" w:w="3068"/>
            <w:tcMar>
              <w:top w:type="dxa" w:w="60"/>
              <w:left w:type="dxa" w:w="100"/>
              <w:bottom w:type="dxa" w:w="60"/>
              <w:right w:type="dxa" w:w="100"/>
            </w:tcMar>
            <w:vAlign w:val="center"/>
          </w:tcPr>
          <w:p>
            <w:pPr>
              <w:spacing w:after="20" w:before="20"/>
            </w:pPr>
            <w:r>
              <w:rPr>
                <w:sz w:val="20"/>
                <w:szCs w:val="20"/>
              </w:rPr>
              <w:t xml:space="preserve">Exposed as a platform service; the domain of record is DOM-LOC.</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PS-004 Shared Business Objects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Platform-wide</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Registry spanning all subdomains.</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PS-005 Workflow Engine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PS-006 Notification Engine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PS-007 Audit Service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SD-PLT-AUD</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PS-008 Search Service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PS-009 Document Service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SD-PLT-DOC</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PS-010 Configuration Service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PS-011 Reporting Framework</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SD-PLT-RPT</w:t>
            </w:r>
          </w:p>
        </w:tc>
        <w:tc>
          <w:tcPr>
            <w:tcW w:type="dxa" w:w="3068"/>
            <w:tcMar>
              <w:top w:type="dxa" w:w="60"/>
              <w:left w:type="dxa" w:w="100"/>
              <w:bottom w:type="dxa" w:w="60"/>
              <w:right w:type="dxa" w:w="100"/>
            </w:tcMar>
            <w:vAlign w:val="center"/>
          </w:tcPr>
          <w:p>
            <w:pPr>
              <w:spacing w:after="20" w:before="20"/>
            </w:pPr>
            <w:r>
              <w:rPr>
                <w:sz w:val="20"/>
                <w:szCs w:val="20"/>
              </w:rPr>
              <w:t xml:space="preserve">Content defined by DOM-INT.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PS-012 Integration Framework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PS-013 Capability Registry</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PS-014 Validation Service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PS-015 Metadata Service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PS-016 Job Scheduler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PS-017 File Storage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SD-PLT-FILE</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Clarification  </w:t>
      </w:r>
      <w:r>
        <w:rPr>
          <w:sz w:val="20"/>
          <w:szCs w:val="20"/>
        </w:rPr>
        <w:t xml:space="preserve">PS-001, PS-002 and PS-003 appear in the Core Platform service inventory because every module consumes them as services. Their objects are hosted by DOM-IAM, DOM-ENT and DOM-LOC respectively. This is consistent with GR-001: the Core Platform exposes them, it does not host them.</w:t>
      </w:r>
    </w:p>
    <w:p>
      <w:r>
        <w:br w:type="page"/>
      </w:r>
    </w:p>
    <w:p>
      <w:pPr>
        <w:pStyle w:val="Heading1"/>
        <w:spacing w:after="160" w:before="320"/>
      </w:pPr>
      <w:r>
        <w:rPr>
          <w:b/>
          <w:bCs/>
          <w:color w:val="1F4E79"/>
          <w:sz w:val="30"/>
          <w:szCs w:val="30"/>
        </w:rPr>
        <w:t xml:space="preserve">10. Platform Non-Functional Obligations</w:t>
      </w:r>
    </w:p>
    <w:p>
      <w:pPr>
        <w:spacing w:after="120" w:before="0"/>
      </w:pPr>
      <w:r>
        <w:t xml:space="preserve">These obligations are discharged once by the Core Platform and inherited by every module. They are not restated per module and shall not be specified per module in the CRS.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694"/>
        <w:gridCol w:w="2527"/>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Area</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Obligation</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Indicative target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Statelessness</w:t>
            </w:r>
          </w:p>
        </w:tc>
        <w:tc>
          <w:tcPr>
            <w:tcW w:type="dxa" w:w="4694"/>
            <w:tcMar>
              <w:top w:type="dxa" w:w="60"/>
              <w:left w:type="dxa" w:w="100"/>
              <w:bottom w:type="dxa" w:w="60"/>
              <w:right w:type="dxa" w:w="100"/>
            </w:tcMar>
            <w:vAlign w:val="center"/>
          </w:tcPr>
          <w:p>
            <w:pPr>
              <w:spacing w:after="20" w:before="20"/>
            </w:pPr>
            <w:r>
              <w:rPr>
                <w:sz w:val="20"/>
                <w:szCs w:val="20"/>
              </w:rPr>
              <w:t xml:space="preserve">Every platform service shall be stateless and horizontally scalable.</w:t>
            </w:r>
          </w:p>
        </w:tc>
        <w:tc>
          <w:tcPr>
            <w:tcW w:type="dxa" w:w="2527"/>
            <w:tcMar>
              <w:top w:type="dxa" w:w="60"/>
              <w:left w:type="dxa" w:w="100"/>
              <w:bottom w:type="dxa" w:w="60"/>
              <w:right w:type="dxa" w:w="100"/>
            </w:tcMar>
            <w:vAlign w:val="center"/>
          </w:tcPr>
          <w:p>
            <w:pPr>
              <w:spacing w:after="20" w:before="20"/>
            </w:pPr>
            <w:r>
              <w:rPr>
                <w:sz w:val="20"/>
                <w:szCs w:val="20"/>
              </w:rPr>
              <w:t xml:space="preserve">No session affinity required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API performance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Read operations on a single object shall respond within a bounded time under nominal load.</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p95 under 300 ms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Search latency</w:t>
            </w:r>
          </w:p>
        </w:tc>
        <w:tc>
          <w:tcPr>
            <w:tcW w:type="dxa" w:w="4694"/>
            <w:tcMar>
              <w:top w:type="dxa" w:w="60"/>
              <w:left w:type="dxa" w:w="100"/>
              <w:bottom w:type="dxa" w:w="60"/>
              <w:right w:type="dxa" w:w="100"/>
            </w:tcMar>
            <w:vAlign w:val="center"/>
          </w:tcPr>
          <w:p>
            <w:pPr>
              <w:spacing w:after="20" w:before="20"/>
            </w:pPr>
            <w:r>
              <w:rPr>
                <w:sz w:val="20"/>
                <w:szCs w:val="20"/>
              </w:rPr>
              <w:t xml:space="preserve">Global search shall return the first page within a bounded time.</w:t>
            </w:r>
          </w:p>
        </w:tc>
        <w:tc>
          <w:tcPr>
            <w:tcW w:type="dxa" w:w="2527"/>
            <w:tcMar>
              <w:top w:type="dxa" w:w="60"/>
              <w:left w:type="dxa" w:w="100"/>
              <w:bottom w:type="dxa" w:w="60"/>
              <w:right w:type="dxa" w:w="100"/>
            </w:tcMar>
            <w:vAlign w:val="center"/>
          </w:tcPr>
          <w:p>
            <w:pPr>
              <w:spacing w:after="20" w:before="20"/>
            </w:pPr>
            <w:r>
              <w:rPr>
                <w:sz w:val="20"/>
                <w:szCs w:val="20"/>
              </w:rPr>
              <w:t xml:space="preserve">p95 under 1 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Audit write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Audit writes shall not gate the business transaction.</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Asynchronous, guaranteed</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Notification delivery</w:t>
            </w:r>
          </w:p>
        </w:tc>
        <w:tc>
          <w:tcPr>
            <w:tcW w:type="dxa" w:w="4694"/>
            <w:tcMar>
              <w:top w:type="dxa" w:w="60"/>
              <w:left w:type="dxa" w:w="100"/>
              <w:bottom w:type="dxa" w:w="60"/>
              <w:right w:type="dxa" w:w="100"/>
            </w:tcMar>
            <w:vAlign w:val="center"/>
          </w:tcPr>
          <w:p>
            <w:pPr>
              <w:spacing w:after="20" w:before="20"/>
            </w:pPr>
            <w:r>
              <w:rPr>
                <w:sz w:val="20"/>
                <w:szCs w:val="20"/>
              </w:rPr>
              <w:t xml:space="preserve">Notifications shall be queued, retried and reported.</w:t>
            </w:r>
          </w:p>
        </w:tc>
        <w:tc>
          <w:tcPr>
            <w:tcW w:type="dxa" w:w="2527"/>
            <w:tcMar>
              <w:top w:type="dxa" w:w="60"/>
              <w:left w:type="dxa" w:w="100"/>
              <w:bottom w:type="dxa" w:w="60"/>
              <w:right w:type="dxa" w:w="100"/>
            </w:tcMar>
            <w:vAlign w:val="center"/>
          </w:tcPr>
          <w:p>
            <w:pPr>
              <w:spacing w:after="20" w:before="20"/>
            </w:pPr>
            <w:r>
              <w:rPr>
                <w:sz w:val="20"/>
                <w:szCs w:val="20"/>
              </w:rPr>
              <w:t xml:space="preserve">99.5% delivery success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Security alarms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Alarm notifications shall have a guaranteed path with escalation.</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Escalation on non-acknowledgment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Scale</w:t>
            </w:r>
          </w:p>
        </w:tc>
        <w:tc>
          <w:tcPr>
            <w:tcW w:type="dxa" w:w="4694"/>
            <w:tcMar>
              <w:top w:type="dxa" w:w="60"/>
              <w:left w:type="dxa" w:w="100"/>
              <w:bottom w:type="dxa" w:w="60"/>
              <w:right w:type="dxa" w:w="100"/>
            </w:tcMar>
            <w:vAlign w:val="center"/>
          </w:tcPr>
          <w:p>
            <w:pPr>
              <w:spacing w:after="20" w:before="20"/>
            </w:pPr>
            <w:r>
              <w:rPr>
                <w:sz w:val="20"/>
                <w:szCs w:val="20"/>
              </w:rPr>
              <w:t xml:space="preserve">The same platform shall serve 200 assets and 2,000,000 assets without redesign.</w:t>
            </w:r>
          </w:p>
        </w:tc>
        <w:tc>
          <w:tcPr>
            <w:tcW w:type="dxa" w:w="2527"/>
            <w:tcMar>
              <w:top w:type="dxa" w:w="60"/>
              <w:left w:type="dxa" w:w="100"/>
              <w:bottom w:type="dxa" w:w="60"/>
              <w:right w:type="dxa" w:w="100"/>
            </w:tcMar>
            <w:vAlign w:val="center"/>
          </w:tcPr>
          <w:p>
            <w:pPr>
              <w:spacing w:after="20" w:before="20"/>
            </w:pPr>
            <w:r>
              <w:rPr>
                <w:sz w:val="20"/>
                <w:szCs w:val="20"/>
              </w:rPr>
              <w:t xml:space="preserve">Verified by load profile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Handheld operation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Handheld inventory and picking shall function on intermittent connectivity.</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Store-and-forward with conflict resolution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Multi-tenancy</w:t>
            </w:r>
          </w:p>
        </w:tc>
        <w:tc>
          <w:tcPr>
            <w:tcW w:type="dxa" w:w="4694"/>
            <w:tcMar>
              <w:top w:type="dxa" w:w="60"/>
              <w:left w:type="dxa" w:w="100"/>
              <w:bottom w:type="dxa" w:w="60"/>
              <w:right w:type="dxa" w:w="100"/>
            </w:tcMar>
            <w:vAlign w:val="center"/>
          </w:tcPr>
          <w:p>
            <w:pPr>
              <w:spacing w:after="20" w:before="20"/>
            </w:pPr>
            <w:r>
              <w:rPr>
                <w:sz w:val="20"/>
                <w:szCs w:val="20"/>
              </w:rPr>
              <w:t xml:space="preserve">Capability state, configuration and validation shall be resolvable per tenant.</w:t>
            </w:r>
          </w:p>
        </w:tc>
        <w:tc>
          <w:tcPr>
            <w:tcW w:type="dxa" w:w="2527"/>
            <w:tcMar>
              <w:top w:type="dxa" w:w="60"/>
              <w:left w:type="dxa" w:w="100"/>
              <w:bottom w:type="dxa" w:w="60"/>
              <w:right w:type="dxa" w:w="100"/>
            </w:tcMar>
            <w:vAlign w:val="center"/>
          </w:tcPr>
          <w:p>
            <w:pPr>
              <w:spacing w:after="20" w:before="20"/>
            </w:pPr>
            <w:r>
              <w:rPr>
                <w:sz w:val="20"/>
                <w:szCs w:val="20"/>
              </w:rPr>
              <w:t xml:space="preserve">Isolated per tenant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Localization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All labels, messages and templates shall be localizable, including right-to-left languages.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English and Arabic at minimum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API versioning</w:t>
            </w:r>
          </w:p>
        </w:tc>
        <w:tc>
          <w:tcPr>
            <w:tcW w:type="dxa" w:w="4694"/>
            <w:tcMar>
              <w:top w:type="dxa" w:w="60"/>
              <w:left w:type="dxa" w:w="100"/>
              <w:bottom w:type="dxa" w:w="60"/>
              <w:right w:type="dxa" w:w="100"/>
            </w:tcMar>
            <w:vAlign w:val="center"/>
          </w:tcPr>
          <w:p>
            <w:pPr>
              <w:spacing w:after="20" w:before="20"/>
            </w:pPr>
            <w:r>
              <w:rPr>
                <w:sz w:val="20"/>
                <w:szCs w:val="20"/>
              </w:rPr>
              <w:t xml:space="preserve">Every API shall be versioned; at least one previous version shall remain available.</w:t>
            </w:r>
          </w:p>
        </w:tc>
        <w:tc>
          <w:tcPr>
            <w:tcW w:type="dxa" w:w="2527"/>
            <w:tcMar>
              <w:top w:type="dxa" w:w="60"/>
              <w:left w:type="dxa" w:w="100"/>
              <w:bottom w:type="dxa" w:w="60"/>
              <w:right w:type="dxa" w:w="100"/>
            </w:tcMar>
            <w:vAlign w:val="center"/>
          </w:tcPr>
          <w:p>
            <w:pPr>
              <w:spacing w:after="20" w:before="20"/>
            </w:pPr>
            <w:r>
              <w:rPr>
                <w:sz w:val="20"/>
                <w:szCs w:val="20"/>
              </w:rPr>
              <w:t xml:space="preserve">n-1 supported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Auditability</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state change shall be attributable to an authenticated actor.</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No anonymous mutations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Data at rest</w:t>
            </w:r>
          </w:p>
        </w:tc>
        <w:tc>
          <w:tcPr>
            <w:tcW w:type="dxa" w:w="4694"/>
            <w:tcMar>
              <w:top w:type="dxa" w:w="60"/>
              <w:left w:type="dxa" w:w="100"/>
              <w:bottom w:type="dxa" w:w="60"/>
              <w:right w:type="dxa" w:w="100"/>
            </w:tcMar>
            <w:vAlign w:val="center"/>
          </w:tcPr>
          <w:p>
            <w:pPr>
              <w:spacing w:after="20" w:before="20"/>
            </w:pPr>
            <w:r>
              <w:rPr>
                <w:sz w:val="20"/>
                <w:szCs w:val="20"/>
              </w:rPr>
              <w:t xml:space="preserve">Sensitive configuration and evidence shall be encrypted at rest.</w:t>
            </w:r>
          </w:p>
        </w:tc>
        <w:tc>
          <w:tcPr>
            <w:tcW w:type="dxa" w:w="2527"/>
            <w:tcMar>
              <w:top w:type="dxa" w:w="60"/>
              <w:left w:type="dxa" w:w="100"/>
              <w:bottom w:type="dxa" w:w="60"/>
              <w:right w:type="dxa" w:w="100"/>
            </w:tcMar>
            <w:vAlign w:val="center"/>
          </w:tcPr>
          <w:p>
            <w:pPr>
              <w:spacing w:after="20" w:before="20"/>
            </w:pPr>
            <w:r>
              <w:rPr>
                <w:sz w:val="20"/>
                <w:szCs w:val="20"/>
              </w:rPr>
              <w:t xml:space="preserve">Platform-managed keys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Retention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Retention and lawful disposal shall be configurable per object class.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Per-tenant policy</w:t>
            </w:r>
          </w:p>
        </w:tc>
      </w:tr>
    </w:tbl>
    <w:p>
      <w:r>
        <w:br w:type="page"/>
      </w:r>
    </w:p>
    <w:p>
      <w:pPr>
        <w:pStyle w:val="Heading1"/>
        <w:spacing w:after="160" w:before="320"/>
      </w:pPr>
      <w:r>
        <w:rPr>
          <w:b/>
          <w:bCs/>
          <w:color w:val="1F4E79"/>
          <w:sz w:val="30"/>
          <w:szCs w:val="30"/>
        </w:rPr>
        <w:t xml:space="preserve">11. Integration Boundary</w:t>
      </w:r>
    </w:p>
    <w:p>
      <w:pPr>
        <w:pStyle w:val="Heading2"/>
        <w:spacing w:after="120" w:before="260"/>
      </w:pPr>
      <w:r>
        <w:rPr>
          <w:b/>
          <w:bCs/>
          <w:color w:val="2E74B5"/>
          <w:sz w:val="25"/>
          <w:szCs w:val="25"/>
        </w:rPr>
        <w:t xml:space="preserve">11.1 Principle</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Rule  </w:t>
      </w:r>
      <w:r>
        <w:rPr>
          <w:sz w:val="20"/>
          <w:szCs w:val="20"/>
        </w:rPr>
        <w:t xml:space="preserve">The Core Platform shall never depend on a plug-in, on an external ERP, or on a specific hardware vendor. Every external system is reached through PS-012, and the absence of any external system shall degrade gracefully rather than block platform operation.</w:t>
      </w:r>
    </w:p>
    <w:p>
      <w:pPr>
        <w:pStyle w:val="Heading2"/>
        <w:spacing w:after="120" w:before="260"/>
      </w:pPr>
      <w:r>
        <w:rPr>
          <w:b/>
          <w:bCs/>
          <w:color w:val="2E74B5"/>
          <w:sz w:val="25"/>
          <w:szCs w:val="25"/>
        </w:rPr>
        <w:t xml:space="preserve">11.2 External system classes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2347"/>
        <w:gridCol w:w="5054"/>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Examples</w:t>
            </w:r>
          </w:p>
        </w:tc>
        <w:tc>
          <w:tcPr>
            <w:tcW w:type="dxa" w:w="50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Boundary rule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ERP and finance</w:t>
            </w:r>
          </w:p>
        </w:tc>
        <w:tc>
          <w:tcPr>
            <w:tcW w:type="dxa" w:w="2347"/>
            <w:tcMar>
              <w:top w:type="dxa" w:w="60"/>
              <w:left w:type="dxa" w:w="100"/>
              <w:bottom w:type="dxa" w:w="60"/>
              <w:right w:type="dxa" w:w="100"/>
            </w:tcMar>
            <w:vAlign w:val="center"/>
          </w:tcPr>
          <w:p>
            <w:pPr>
              <w:spacing w:after="20" w:before="20"/>
            </w:pPr>
            <w:r>
              <w:rPr>
                <w:sz w:val="20"/>
                <w:szCs w:val="20"/>
              </w:rPr>
              <w:t xml:space="preserve">Odoo, SAP, Oracle, Dynamics</w:t>
            </w:r>
          </w:p>
        </w:tc>
        <w:tc>
          <w:tcPr>
            <w:tcW w:type="dxa" w:w="5054"/>
            <w:tcMar>
              <w:top w:type="dxa" w:w="60"/>
              <w:left w:type="dxa" w:w="100"/>
              <w:bottom w:type="dxa" w:w="60"/>
              <w:right w:type="dxa" w:w="100"/>
            </w:tcMar>
            <w:vAlign w:val="center"/>
          </w:tcPr>
          <w:p>
            <w:pPr>
              <w:spacing w:after="20" w:before="20"/>
            </w:pPr>
            <w:r>
              <w:rPr>
                <w:sz w:val="20"/>
                <w:szCs w:val="20"/>
              </w:rPr>
              <w:t xml:space="preserve">Consumed as an external system of record via an adapter. Financial records remain authoritative in the ERP; physical asset identity, location and status remain authoritative in TEAIP.</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Identity providers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Azure AD, Okta, ADFS</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Federated through DOM-IAM. Just-in-time provisioning permitted; the platform remains operable without federation.</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RFID infrastructure</w:t>
            </w:r>
          </w:p>
        </w:tc>
        <w:tc>
          <w:tcPr>
            <w:tcW w:type="dxa" w:w="2347"/>
            <w:tcMar>
              <w:top w:type="dxa" w:w="60"/>
              <w:left w:type="dxa" w:w="100"/>
              <w:bottom w:type="dxa" w:w="60"/>
              <w:right w:type="dxa" w:w="100"/>
            </w:tcMar>
            <w:vAlign w:val="center"/>
          </w:tcPr>
          <w:p>
            <w:pPr>
              <w:spacing w:after="20" w:before="20"/>
            </w:pPr>
            <w:r>
              <w:rPr>
                <w:sz w:val="20"/>
                <w:szCs w:val="20"/>
              </w:rPr>
              <w:t xml:space="preserve">Fixed readers, portals, tunnels, handhelds, encoders</w:t>
            </w:r>
          </w:p>
        </w:tc>
        <w:tc>
          <w:tcPr>
            <w:tcW w:type="dxa" w:w="5054"/>
            <w:tcMar>
              <w:top w:type="dxa" w:w="60"/>
              <w:left w:type="dxa" w:w="100"/>
              <w:bottom w:type="dxa" w:w="60"/>
              <w:right w:type="dxa" w:w="100"/>
            </w:tcMar>
            <w:vAlign w:val="center"/>
          </w:tcPr>
          <w:p>
            <w:pPr>
              <w:spacing w:after="20" w:before="20"/>
            </w:pPr>
            <w:r>
              <w:rPr>
                <w:sz w:val="20"/>
                <w:szCs w:val="20"/>
              </w:rPr>
              <w:t xml:space="preserve">Layer 3 connectors. A reader is registered as a device in DOM-SEC; its protocol is handled by the connector, never by a business module.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Vision systems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ANPR cameras, surveillance</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Layer 3 connectors publishing observations as events. Recognition confidence is data, not a platform assumption.</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Sensors and control</w:t>
            </w:r>
          </w:p>
        </w:tc>
        <w:tc>
          <w:tcPr>
            <w:tcW w:type="dxa" w:w="2347"/>
            <w:tcMar>
              <w:top w:type="dxa" w:w="60"/>
              <w:left w:type="dxa" w:w="100"/>
              <w:bottom w:type="dxa" w:w="60"/>
              <w:right w:type="dxa" w:w="100"/>
            </w:tcMar>
            <w:vAlign w:val="center"/>
          </w:tcPr>
          <w:p>
            <w:pPr>
              <w:spacing w:after="20" w:before="20"/>
            </w:pPr>
            <w:r>
              <w:rPr>
                <w:sz w:val="20"/>
                <w:szCs w:val="20"/>
              </w:rPr>
              <w:t xml:space="preserve">Environmental sensors, barriers, PLC, weighbridges</w:t>
            </w:r>
          </w:p>
        </w:tc>
        <w:tc>
          <w:tcPr>
            <w:tcW w:type="dxa" w:w="5054"/>
            <w:tcMar>
              <w:top w:type="dxa" w:w="60"/>
              <w:left w:type="dxa" w:w="100"/>
              <w:bottom w:type="dxa" w:w="60"/>
              <w:right w:type="dxa" w:w="100"/>
            </w:tcMar>
            <w:vAlign w:val="center"/>
          </w:tcPr>
          <w:p>
            <w:pPr>
              <w:spacing w:after="20" w:before="20"/>
            </w:pPr>
            <w:r>
              <w:rPr>
                <w:sz w:val="20"/>
                <w:szCs w:val="20"/>
              </w:rPr>
              <w:t xml:space="preserve">Layer 3 connectors. Actuation requests are issued by DOM-SEC capabilities through PS-012.</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Communication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SMTP, SMS gateways, push services</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Consumed by PS-006. Provider is replaceable by configuration.</w:t>
            </w:r>
          </w:p>
        </w:tc>
      </w:tr>
    </w:tbl>
    <w:p>
      <w:pPr>
        <w:pStyle w:val="Heading2"/>
        <w:spacing w:after="120" w:before="260"/>
      </w:pPr>
      <w:r>
        <w:rPr>
          <w:b/>
          <w:bCs/>
          <w:color w:val="2E74B5"/>
          <w:sz w:val="25"/>
          <w:szCs w:val="25"/>
        </w:rPr>
        <w:t xml:space="preserve">11.3 Odoo specifically</w:t>
      </w:r>
    </w:p>
    <w:p>
      <w:pPr>
        <w:spacing w:after="120" w:before="0"/>
      </w:pPr>
      <w:r>
        <w:t xml:space="preserve">TEAIP is a custom platform with optional Odoo integration. Odoo is not an alternative architecture and does not replace any platform module. Where a customer operates Odoo, the adapter carries finance-side concerns — accounting, purchasing, vendors, payroll, general ledger — while all asset intelligence capability remains in TEAIP and remains Trangant intellectual property. Field-level mapping and adapter behavior are specified in PDS-11.</w:t>
      </w:r>
    </w:p>
    <w:p>
      <w:r>
        <w:br w:type="page"/>
      </w:r>
    </w:p>
    <w:p>
      <w:pPr>
        <w:pStyle w:val="Heading1"/>
        <w:spacing w:after="160" w:before="320"/>
      </w:pPr>
      <w:r>
        <w:rPr>
          <w:b/>
          <w:bCs/>
          <w:color w:val="1F4E79"/>
          <w:sz w:val="30"/>
          <w:szCs w:val="30"/>
        </w:rPr>
        <w:t xml:space="preserve">12.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4694"/>
            <w:tcMar>
              <w:top w:type="dxa" w:w="60"/>
              <w:left w:type="dxa" w:w="100"/>
              <w:bottom w:type="dxa" w:w="60"/>
              <w:right w:type="dxa" w:w="100"/>
            </w:tcMar>
            <w:vAlign w:val="center"/>
          </w:tcPr>
          <w:p>
            <w:pPr>
              <w:spacing w:after="20" w:before="20"/>
            </w:pPr>
            <w:r>
              <w:rPr>
                <w:sz w:val="20"/>
                <w:szCs w:val="20"/>
              </w:rPr>
              <w:t xml:space="preserve">Every core service has a permanent PS identifier.</w:t>
            </w:r>
          </w:p>
        </w:tc>
        <w:tc>
          <w:tcPr>
            <w:tcW w:type="dxa" w:w="3610"/>
            <w:tcMar>
              <w:top w:type="dxa" w:w="60"/>
              <w:left w:type="dxa" w:w="100"/>
              <w:bottom w:type="dxa" w:w="60"/>
              <w:right w:type="dxa" w:w="100"/>
            </w:tcMar>
            <w:vAlign w:val="center"/>
          </w:tcPr>
          <w:p>
            <w:pPr>
              <w:spacing w:after="20" w:before="20"/>
            </w:pPr>
            <w:r>
              <w:rPr>
                <w:sz w:val="20"/>
                <w:szCs w:val="20"/>
              </w:rPr>
              <w:t xml:space="preserve">Pass — PS-001 to PS-017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 core service contains business-specific logic (GR-006).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§4.3 enumerates the prohibitions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4694"/>
            <w:tcMar>
              <w:top w:type="dxa" w:w="60"/>
              <w:left w:type="dxa" w:w="100"/>
              <w:bottom w:type="dxa" w:w="60"/>
              <w:right w:type="dxa" w:w="100"/>
            </w:tcMar>
            <w:vAlign w:val="center"/>
          </w:tcPr>
          <w:p>
            <w:pPr>
              <w:spacing w:after="20" w:before="20"/>
            </w:pPr>
            <w:r>
              <w:rPr>
                <w:sz w:val="20"/>
                <w:szCs w:val="20"/>
              </w:rPr>
              <w:t xml:space="preserve">Every service is mapped to a hosting domain and subdomain.</w:t>
            </w:r>
          </w:p>
        </w:tc>
        <w:tc>
          <w:tcPr>
            <w:tcW w:type="dxa" w:w="3610"/>
            <w:tcMar>
              <w:top w:type="dxa" w:w="60"/>
              <w:left w:type="dxa" w:w="100"/>
              <w:bottom w:type="dxa" w:w="60"/>
              <w:right w:type="dxa" w:w="100"/>
            </w:tcMar>
            <w:vAlign w:val="center"/>
          </w:tcPr>
          <w:p>
            <w:pPr>
              <w:spacing w:after="20" w:before="20"/>
            </w:pPr>
            <w:r>
              <w:rPr>
                <w:sz w:val="20"/>
                <w:szCs w:val="20"/>
              </w:rPr>
              <w:t xml:space="preserve">Pass — §9</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mechanism implementing EP-001 is specified, not merely asserted.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PS-013, PS-014, PS-015 and §7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4694"/>
            <w:tcMar>
              <w:top w:type="dxa" w:w="60"/>
              <w:left w:type="dxa" w:w="100"/>
              <w:bottom w:type="dxa" w:w="60"/>
              <w:right w:type="dxa" w:w="100"/>
            </w:tcMar>
            <w:vAlign w:val="center"/>
          </w:tcPr>
          <w:p>
            <w:pPr>
              <w:spacing w:after="20" w:before="20"/>
            </w:pPr>
            <w:r>
              <w:rPr>
                <w:sz w:val="20"/>
                <w:szCs w:val="20"/>
              </w:rPr>
              <w:t xml:space="preserve">The mechanism implementing EP-002 is specified.</w:t>
            </w:r>
          </w:p>
        </w:tc>
        <w:tc>
          <w:tcPr>
            <w:tcW w:type="dxa" w:w="3610"/>
            <w:tcMar>
              <w:top w:type="dxa" w:w="60"/>
              <w:left w:type="dxa" w:w="100"/>
              <w:bottom w:type="dxa" w:w="60"/>
              <w:right w:type="dxa" w:w="100"/>
            </w:tcMar>
            <w:vAlign w:val="center"/>
          </w:tcPr>
          <w:p>
            <w:pPr>
              <w:spacing w:after="20" w:before="20"/>
            </w:pPr>
            <w:r>
              <w:rPr>
                <w:sz w:val="20"/>
                <w:szCs w:val="20"/>
              </w:rPr>
              <w:t xml:space="preserve">Pass — §4.4, 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mechanism implementing EP-003 is specified.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PS-015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4694"/>
            <w:tcMar>
              <w:top w:type="dxa" w:w="60"/>
              <w:left w:type="dxa" w:w="100"/>
              <w:bottom w:type="dxa" w:w="60"/>
              <w:right w:type="dxa" w:w="100"/>
            </w:tcMar>
            <w:vAlign w:val="center"/>
          </w:tcPr>
          <w:p>
            <w:pPr>
              <w:spacing w:after="20" w:before="20"/>
            </w:pPr>
            <w:r>
              <w:rPr>
                <w:sz w:val="20"/>
                <w:szCs w:val="20"/>
              </w:rPr>
              <w:t xml:space="preserve">The data classification model is defined and applied to representative objects.</w:t>
            </w:r>
          </w:p>
        </w:tc>
        <w:tc>
          <w:tcPr>
            <w:tcW w:type="dxa" w:w="3610"/>
            <w:tcMar>
              <w:top w:type="dxa" w:w="60"/>
              <w:left w:type="dxa" w:w="100"/>
              <w:bottom w:type="dxa" w:w="60"/>
              <w:right w:type="dxa" w:w="100"/>
            </w:tcMar>
            <w:vAlign w:val="center"/>
          </w:tcPr>
          <w:p>
            <w:pPr>
              <w:spacing w:after="20" w:before="20"/>
            </w:pPr>
            <w:r>
              <w:rPr>
                <w:sz w:val="20"/>
                <w:szCs w:val="20"/>
              </w:rPr>
              <w:t xml:space="preserve">Pass — §6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shared business object contract is explicit and testable.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§8, 18 inherited capabilities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4694"/>
            <w:tcMar>
              <w:top w:type="dxa" w:w="60"/>
              <w:left w:type="dxa" w:w="100"/>
              <w:bottom w:type="dxa" w:w="60"/>
              <w:right w:type="dxa" w:w="100"/>
            </w:tcMar>
            <w:vAlign w:val="center"/>
          </w:tcPr>
          <w:p>
            <w:pPr>
              <w:spacing w:after="20" w:before="20"/>
            </w:pPr>
            <w:r>
              <w:rPr>
                <w:sz w:val="20"/>
                <w:szCs w:val="20"/>
              </w:rPr>
              <w:t xml:space="preserve">The platform does not depend on any plug-in or external system.</w:t>
            </w:r>
          </w:p>
        </w:tc>
        <w:tc>
          <w:tcPr>
            <w:tcW w:type="dxa" w:w="3610"/>
            <w:tcMar>
              <w:top w:type="dxa" w:w="60"/>
              <w:left w:type="dxa" w:w="100"/>
              <w:bottom w:type="dxa" w:w="60"/>
              <w:right w:type="dxa" w:w="100"/>
            </w:tcMar>
            <w:vAlign w:val="center"/>
          </w:tcPr>
          <w:p>
            <w:pPr>
              <w:spacing w:after="20" w:before="20"/>
            </w:pPr>
            <w:r>
              <w:rPr>
                <w:sz w:val="20"/>
                <w:szCs w:val="20"/>
              </w:rPr>
              <w:t xml:space="preserve">Pass — §11.1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V-10</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Non-functional obligations are stated once at platform level.</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§10</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before="100"/>
    </w:pPr>
    <w:r>
      <w:rPr>
        <w:color w:val="808080"/>
        <w:sz w:val="16"/>
        <w:szCs w:val="16"/>
      </w:rPr>
      <w:t xml:space="preserve">TEAIP — PDS-03 v1.0 — Trangant Confidential</w:t>
    </w:r>
    <w:r>
      <w:ptab w:alignment="right" w:relativeTo="margin" w:leader="none"/>
    </w: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20"/>
    </w:pPr>
    <w:r>
      <w:rPr>
        <w:color w:val="808080"/>
        <w:sz w:val="16"/>
        <w:szCs w:val="16"/>
      </w:rPr>
      <w:t xml:space="preserve">TEAIP  |  PDS-03 — Core Platform Design</w:t>
    </w:r>
    <w:r>
      <w:ptab w:alignment="right" w:relativeTo="margin" w:leader="none"/>
    </w:r>
    <w:r>
      <w:rPr>
        <w:color w:val="808080"/>
        <w:sz w:val="16"/>
        <w:szCs w:val="16"/>
      </w:rPr>
      <w:t xml:space="preserve">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PDS-03 Core Platform Design</dc:title>
  <dc:creator>Trangant</dc:creator>
  <dc:description>Product Design Specification</dc:description>
  <cp:lastModifiedBy>Un-named</cp:lastModifiedBy>
  <cp:revision>1</cp:revision>
  <dcterms:created xsi:type="dcterms:W3CDTF">2026-08-13T19:05:00.416Z</dcterms:created>
  <dcterms:modified xsi:type="dcterms:W3CDTF">2026-08-13T19:05:00.416Z</dcterms:modified>
</cp:coreProperties>
</file>

<file path=docProps/custom.xml><?xml version="1.0" encoding="utf-8"?>
<Properties xmlns="http://schemas.openxmlformats.org/officeDocument/2006/custom-properties" xmlns:vt="http://schemas.openxmlformats.org/officeDocument/2006/docPropsVTypes"/>
</file>