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200"/>
        <w:jc w:val="center"/>
      </w:pPr>
      <w:r>
        <w:rPr>
          <w:b/>
          <w:bCs/>
          <w:color w:val="2E74B5"/>
          <w:spacing w:val="60"/>
          <w:sz w:val="28"/>
          <w:szCs w:val="28"/>
        </w:rPr>
        <w:t xml:space="preserve">TRANGANT</w:t>
      </w:r>
    </w:p>
    <w:p>
      <w:pPr>
        <w:spacing w:after="600" w:before="60"/>
        <w:jc w:val="center"/>
      </w:pPr>
      <w:r>
        <w:rPr>
          <w:color w:val="595959"/>
          <w:sz w:val="22"/>
          <w:szCs w:val="22"/>
        </w:rPr>
        <w:t xml:space="preserve">Enterprise Asset Intelligence Platform</w:t>
      </w:r>
    </w:p>
    <w:p>
      <w:pPr>
        <w:pBdr>
          <w:bottom w:val="single" w:color="1F4E79" w:sz="12"/>
        </w:pBdr>
        <w:spacing w:after="0"/>
      </w:pPr>
      <w:r>
        <w:t xml:space="preserve"/>
      </w:r>
    </w:p>
    <w:p>
      <w:pPr>
        <w:spacing w:after="80" w:before="260"/>
        <w:jc w:val="center"/>
      </w:pPr>
      <w:r>
        <w:rPr>
          <w:b/>
          <w:bCs/>
          <w:color w:val="2E74B5"/>
          <w:sz w:val="26"/>
          <w:szCs w:val="26"/>
        </w:rPr>
        <w:t xml:space="preserve">PDS-08</w:t>
      </w:r>
    </w:p>
    <w:p>
      <w:pPr>
        <w:spacing w:after="100"/>
        <w:jc w:val="center"/>
      </w:pPr>
      <w:r>
        <w:rPr>
          <w:b/>
          <w:bCs/>
          <w:color w:val="1F4E79"/>
          <w:sz w:val="48"/>
          <w:szCs w:val="48"/>
        </w:rPr>
        <w:t xml:space="preserve">Plug-in Framework</w:t>
      </w:r>
    </w:p>
    <w:p>
      <w:pPr>
        <w:spacing w:after="240"/>
        <w:jc w:val="center"/>
      </w:pPr>
      <w:r>
        <w:rPr>
          <w:color w:val="595959"/>
          <w:sz w:val="26"/>
          <w:szCs w:val="26"/>
        </w:rPr>
        <w:t xml:space="preserve">Product Design Specification — Platform Services</w:t>
      </w:r>
    </w:p>
    <w:p>
      <w:pPr>
        <w:pBdr>
          <w:bottom w:val="single" w:color="1F4E79" w:sz="12"/>
        </w:pBdr>
        <w:spacing w:after="0"/>
      </w:pPr>
      <w:r>
        <w:t xml:space="preserve"/>
      </w:r>
    </w:p>
    <w:p>
      <w:pPr>
        <w:spacing w:after="40" w:before="400"/>
        <w:jc w:val="center"/>
      </w:pPr>
      <w:r>
        <w:rPr>
          <w:b/>
          <w:bCs/>
          <w:sz w:val="24"/>
          <w:szCs w:val="24"/>
        </w:rPr>
        <w:t xml:space="preserve">Version 1.0</w:t>
      </w:r>
    </w:p>
    <w:p>
      <w:pPr>
        <w:spacing w:after="40"/>
        <w:jc w:val="center"/>
      </w:pPr>
      <w:r>
        <w:rPr>
          <w:color w:val="595959"/>
          <w:sz w:val="22"/>
          <w:szCs w:val="22"/>
        </w:rPr>
        <w:t xml:space="preserve">Status: Draft for Review</w:t>
      </w:r>
    </w:p>
    <w:p>
      <w:pPr>
        <w:spacing w:after="40"/>
        <w:jc w:val="center"/>
      </w:pPr>
      <w:r>
        <w:rPr>
          <w:color w:val="595959"/>
          <w:sz w:val="22"/>
          <w:szCs w:val="22"/>
        </w:rPr>
        <w:t xml:space="preserve">13 August 2026</w:t>
      </w:r>
    </w:p>
    <w:p>
      <w:pPr>
        <w:spacing w:before="1400"/>
        <w:jc w:val="center"/>
      </w:pPr>
      <w:r>
        <w:rPr>
          <w:i/>
          <w:iCs/>
          <w:color w:val="808080"/>
          <w:sz w:val="18"/>
          <w:szCs w:val="18"/>
        </w:rPr>
        <w:t xml:space="preserve">Confidential — Trangant internal and authorized recipients only.</w:t>
      </w:r>
    </w:p>
    <w:p>
      <w:r>
        <w:br w:type="page"/>
      </w:r>
    </w:p>
    <w:p>
      <w:pPr>
        <w:pStyle w:val="Heading1"/>
        <w:spacing w:after="160" w:before="320"/>
      </w:pPr>
      <w:r>
        <w:rPr>
          <w:b/>
          <w:bCs/>
          <w:color w:val="1F4E79"/>
          <w:sz w:val="30"/>
          <w:szCs w:val="30"/>
        </w:rPr>
        <w:t xml:space="preserve">Table of 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spacing w:after="160" w:before="320"/>
      </w:pPr>
      <w:r>
        <w:rPr>
          <w:b/>
          <w:bCs/>
          <w:color w:val="1F4E79"/>
          <w:sz w:val="30"/>
          <w:szCs w:val="30"/>
        </w:rPr>
        <w:t xml:space="preserve">1. Document Control</w:t>
      </w:r>
    </w:p>
    <w:p>
      <w:pPr>
        <w:pStyle w:val="Heading2"/>
        <w:spacing w:after="120" w:before="260"/>
      </w:pPr>
      <w:r>
        <w:rPr>
          <w:b/>
          <w:bCs/>
          <w:color w:val="2E74B5"/>
          <w:sz w:val="25"/>
          <w:szCs w:val="25"/>
        </w:rPr>
        <w:t xml:space="preserve">1.1 Document Information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667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Attribute</w:t>
            </w:r>
          </w:p>
        </w:tc>
        <w:tc>
          <w:tcPr>
            <w:tcW w:type="dxa" w:w="667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Value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Product</w:t>
            </w:r>
          </w:p>
        </w:tc>
        <w:tc>
          <w:tcPr>
            <w:tcW w:type="dxa" w:w="6679"/>
            <w:tcMar>
              <w:top w:type="dxa" w:w="60"/>
              <w:left w:type="dxa" w:w="100"/>
              <w:bottom w:type="dxa" w:w="60"/>
              <w:right w:type="dxa" w:w="100"/>
            </w:tcMar>
            <w:vAlign w:val="center"/>
          </w:tcPr>
          <w:p>
            <w:pPr>
              <w:spacing w:after="20" w:before="20"/>
            </w:pPr>
            <w:r>
              <w:rPr>
                <w:sz w:val="20"/>
                <w:szCs w:val="20"/>
              </w:rPr>
              <w:t xml:space="preserve">TEAIP — Trangant Enterprise Asset Intelligence Platform</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Document ID</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PDS-08</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Document Title</w:t>
            </w:r>
          </w:p>
        </w:tc>
        <w:tc>
          <w:tcPr>
            <w:tcW w:type="dxa" w:w="6679"/>
            <w:tcMar>
              <w:top w:type="dxa" w:w="60"/>
              <w:left w:type="dxa" w:w="100"/>
              <w:bottom w:type="dxa" w:w="60"/>
              <w:right w:type="dxa" w:w="100"/>
            </w:tcMar>
            <w:vAlign w:val="center"/>
          </w:tcPr>
          <w:p>
            <w:pPr>
              <w:spacing w:after="20" w:before="20"/>
            </w:pPr>
            <w:r>
              <w:rPr>
                <w:sz w:val="20"/>
                <w:szCs w:val="20"/>
              </w:rPr>
              <w:t xml:space="preserve">Plug-in Framework</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Document Type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Product Design Specification (PDS)</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Version</w:t>
            </w:r>
          </w:p>
        </w:tc>
        <w:tc>
          <w:tcPr>
            <w:tcW w:type="dxa" w:w="6679"/>
            <w:tcMar>
              <w:top w:type="dxa" w:w="60"/>
              <w:left w:type="dxa" w:w="100"/>
              <w:bottom w:type="dxa" w:w="60"/>
              <w:right w:type="dxa" w:w="100"/>
            </w:tcMar>
            <w:vAlign w:val="center"/>
          </w:tcPr>
          <w:p>
            <w:pPr>
              <w:spacing w:after="20" w:before="20"/>
            </w:pPr>
            <w:r>
              <w:rPr>
                <w:sz w:val="20"/>
                <w:szCs w:val="20"/>
              </w:rPr>
              <w:t xml:space="preserve">1.0</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Status</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Draft for Review</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Date</w:t>
            </w:r>
          </w:p>
        </w:tc>
        <w:tc>
          <w:tcPr>
            <w:tcW w:type="dxa" w:w="6679"/>
            <w:tcMar>
              <w:top w:type="dxa" w:w="60"/>
              <w:left w:type="dxa" w:w="100"/>
              <w:bottom w:type="dxa" w:w="60"/>
              <w:right w:type="dxa" w:w="100"/>
            </w:tcMar>
            <w:vAlign w:val="center"/>
          </w:tcPr>
          <w:p>
            <w:pPr>
              <w:spacing w:after="20" w:before="20"/>
            </w:pPr>
            <w:r>
              <w:rPr>
                <w:sz w:val="20"/>
                <w:szCs w:val="20"/>
              </w:rPr>
              <w:t xml:space="preserve">13 August 2026</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Owner</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Trangant — Core Platform Team</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Classification</w:t>
            </w:r>
          </w:p>
        </w:tc>
        <w:tc>
          <w:tcPr>
            <w:tcW w:type="dxa" w:w="6679"/>
            <w:tcMar>
              <w:top w:type="dxa" w:w="60"/>
              <w:left w:type="dxa" w:w="100"/>
              <w:bottom w:type="dxa" w:w="60"/>
              <w:right w:type="dxa" w:w="100"/>
            </w:tcMar>
            <w:vAlign w:val="center"/>
          </w:tcPr>
          <w:p>
            <w:pPr>
              <w:spacing w:after="20" w:before="20"/>
            </w:pPr>
            <w:r>
              <w:rPr>
                <w:sz w:val="20"/>
                <w:szCs w:val="20"/>
              </w:rPr>
              <w:t xml:space="preserve">Confidential</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Purpose</w:t>
            </w:r>
          </w:p>
        </w:tc>
        <w:tc>
          <w:tcPr>
            <w:tcW w:type="dxa" w:w="6679"/>
            <w:shd w:fill="F2F2F2" w:color="auto" w:val="clear"/>
            <w:tcMar>
              <w:top w:type="dxa" w:w="60"/>
              <w:left w:type="dxa" w:w="100"/>
              <w:bottom w:type="dxa" w:w="60"/>
              <w:right w:type="dxa" w:w="100"/>
            </w:tcMar>
            <w:vAlign w:val="center"/>
          </w:tcPr>
          <w:p>
            <w:pPr>
              <w:spacing w:after="20" w:before="20"/>
            </w:pPr>
            <w:r>
              <w:rPr>
                <w:sz w:val="20"/>
                <w:szCs w:val="20"/>
              </w:rPr>
              <w:t xml:space="preserve">Defines how a business module is declared, registered, licensed, enabled, upgraded and removed; what it may and may not do; and the conformance tests it must pass before release. It is the contract between the Core Platform and every module, including modules built by partners.</w:t>
            </w:r>
          </w:p>
        </w:tc>
      </w:tr>
    </w:tbl>
    <w:p>
      <w:pPr>
        <w:pStyle w:val="Heading2"/>
        <w:spacing w:after="120" w:before="260"/>
      </w:pPr>
      <w:r>
        <w:rPr>
          <w:b/>
          <w:bCs/>
          <w:color w:val="2E74B5"/>
          <w:sz w:val="25"/>
          <w:szCs w:val="25"/>
        </w:rPr>
        <w:t xml:space="preserve">1.2 Version History</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903"/>
        <w:gridCol w:w="1264"/>
        <w:gridCol w:w="1805"/>
        <w:gridCol w:w="3971"/>
        <w:gridCol w:w="1083"/>
      </w:tblGrid>
      <w:tr>
        <w:trPr>
          <w:tblHeader/>
        </w:trPr>
        <w:tc>
          <w:tcPr>
            <w:tcW w:type="dxa" w:w="90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Version</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Date</w:t>
            </w:r>
          </w:p>
        </w:tc>
        <w:tc>
          <w:tcPr>
            <w:tcW w:type="dxa" w:w="180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Author</w:t>
            </w:r>
          </w:p>
        </w:tc>
        <w:tc>
          <w:tcPr>
            <w:tcW w:type="dxa" w:w="3971"/>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Summary</w:t>
            </w:r>
          </w:p>
        </w:tc>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r>
      <w:tr>
        <w:trPr>
          <w:cantSplit/>
        </w:trPr>
        <w:tc>
          <w:tcPr>
            <w:tcW w:type="dxa" w:w="903"/>
            <w:tcMar>
              <w:top w:type="dxa" w:w="60"/>
              <w:left w:type="dxa" w:w="100"/>
              <w:bottom w:type="dxa" w:w="60"/>
              <w:right w:type="dxa" w:w="100"/>
            </w:tcMar>
            <w:vAlign w:val="center"/>
          </w:tcPr>
          <w:p>
            <w:pPr>
              <w:spacing w:after="20" w:before="20"/>
            </w:pPr>
            <w:r>
              <w:rPr>
                <w:sz w:val="20"/>
                <w:szCs w:val="20"/>
              </w:rPr>
              <w:t xml:space="preserve">1.0</w:t>
            </w:r>
          </w:p>
        </w:tc>
        <w:tc>
          <w:tcPr>
            <w:tcW w:type="dxa" w:w="1264"/>
            <w:tcMar>
              <w:top w:type="dxa" w:w="60"/>
              <w:left w:type="dxa" w:w="100"/>
              <w:bottom w:type="dxa" w:w="60"/>
              <w:right w:type="dxa" w:w="100"/>
            </w:tcMar>
            <w:vAlign w:val="center"/>
          </w:tcPr>
          <w:p>
            <w:pPr>
              <w:spacing w:after="20" w:before="20"/>
            </w:pPr>
            <w:r>
              <w:rPr>
                <w:sz w:val="20"/>
                <w:szCs w:val="20"/>
              </w:rPr>
              <w:t xml:space="preserve">13 Aug 2026</w:t>
            </w:r>
          </w:p>
        </w:tc>
        <w:tc>
          <w:tcPr>
            <w:tcW w:type="dxa" w:w="1805"/>
            <w:tcMar>
              <w:top w:type="dxa" w:w="60"/>
              <w:left w:type="dxa" w:w="100"/>
              <w:bottom w:type="dxa" w:w="60"/>
              <w:right w:type="dxa" w:w="100"/>
            </w:tcMar>
            <w:vAlign w:val="center"/>
          </w:tcPr>
          <w:p>
            <w:pPr>
              <w:spacing w:after="20" w:before="20"/>
            </w:pPr>
            <w:r>
              <w:rPr>
                <w:sz w:val="20"/>
                <w:szCs w:val="20"/>
              </w:rPr>
              <w:t xml:space="preserve">Core Platform Team</w:t>
            </w:r>
          </w:p>
        </w:tc>
        <w:tc>
          <w:tcPr>
            <w:tcW w:type="dxa" w:w="3971"/>
            <w:tcMar>
              <w:top w:type="dxa" w:w="60"/>
              <w:left w:type="dxa" w:w="100"/>
              <w:bottom w:type="dxa" w:w="60"/>
              <w:right w:type="dxa" w:w="100"/>
            </w:tcMar>
            <w:vAlign w:val="center"/>
          </w:tcPr>
          <w:p>
            <w:pPr>
              <w:spacing w:after="20" w:before="20"/>
            </w:pPr>
            <w:r>
              <w:rPr>
                <w:sz w:val="20"/>
                <w:szCs w:val="20"/>
              </w:rPr>
              <w:t xml:space="preserve">First issue.</w:t>
            </w:r>
          </w:p>
        </w:tc>
        <w:tc>
          <w:tcPr>
            <w:tcW w:type="dxa" w:w="1083"/>
            <w:tcMar>
              <w:top w:type="dxa" w:w="60"/>
              <w:left w:type="dxa" w:w="100"/>
              <w:bottom w:type="dxa" w:w="60"/>
              <w:right w:type="dxa" w:w="100"/>
            </w:tcMar>
            <w:vAlign w:val="center"/>
          </w:tcPr>
          <w:p>
            <w:pPr>
              <w:spacing w:after="20" w:before="20"/>
            </w:pPr>
            <w:r>
              <w:rPr>
                <w:sz w:val="20"/>
                <w:szCs w:val="20"/>
              </w:rPr>
              <w:t xml:space="preserve">Current</w:t>
            </w:r>
          </w:p>
        </w:tc>
      </w:tr>
    </w:tbl>
    <w:p>
      <w:pPr>
        <w:pStyle w:val="Heading2"/>
        <w:spacing w:after="120" w:before="260"/>
      </w:pPr>
      <w:r>
        <w:rPr>
          <w:b/>
          <w:bCs/>
          <w:color w:val="2E74B5"/>
          <w:sz w:val="25"/>
          <w:szCs w:val="25"/>
        </w:rPr>
        <w:t xml:space="preserve">1.3 Related Documents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083"/>
        <w:gridCol w:w="2888"/>
        <w:gridCol w:w="5055"/>
      </w:tblGrid>
      <w:tr>
        <w:trPr>
          <w:tblHeader/>
        </w:trPr>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288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Document</w:t>
            </w:r>
          </w:p>
        </w:tc>
        <w:tc>
          <w:tcPr>
            <w:tcW w:type="dxa" w:w="505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Relationship</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PDS-01</w:t>
            </w:r>
          </w:p>
        </w:tc>
        <w:tc>
          <w:tcPr>
            <w:tcW w:type="dxa" w:w="2888"/>
            <w:tcMar>
              <w:top w:type="dxa" w:w="60"/>
              <w:left w:type="dxa" w:w="100"/>
              <w:bottom w:type="dxa" w:w="60"/>
              <w:right w:type="dxa" w:w="100"/>
            </w:tcMar>
            <w:vAlign w:val="center"/>
          </w:tcPr>
          <w:p>
            <w:pPr>
              <w:spacing w:after="20" w:before="20"/>
            </w:pPr>
            <w:r>
              <w:rPr>
                <w:sz w:val="20"/>
                <w:szCs w:val="20"/>
              </w:rPr>
              <w:t xml:space="preserve">Platform Foundation &amp; Architecture</w:t>
            </w:r>
          </w:p>
        </w:tc>
        <w:tc>
          <w:tcPr>
            <w:tcW w:type="dxa" w:w="5055"/>
            <w:tcMar>
              <w:top w:type="dxa" w:w="60"/>
              <w:left w:type="dxa" w:w="100"/>
              <w:bottom w:type="dxa" w:w="60"/>
              <w:right w:type="dxa" w:w="100"/>
            </w:tcMar>
            <w:vAlign w:val="center"/>
          </w:tcPr>
          <w:p>
            <w:pPr>
              <w:spacing w:after="20" w:before="20"/>
            </w:pPr>
            <w:r>
              <w:rPr>
                <w:sz w:val="20"/>
                <w:szCs w:val="20"/>
              </w:rPr>
              <w:t xml:space="preserve">Establishes AP-004 Plug-in First Design and GR-008.</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PDS-02</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Enterprise Capability Map</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The only source of capabilities a module may declare.</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PDS-03</w:t>
            </w:r>
          </w:p>
        </w:tc>
        <w:tc>
          <w:tcPr>
            <w:tcW w:type="dxa" w:w="2888"/>
            <w:tcMar>
              <w:top w:type="dxa" w:w="60"/>
              <w:left w:type="dxa" w:w="100"/>
              <w:bottom w:type="dxa" w:w="60"/>
              <w:right w:type="dxa" w:w="100"/>
            </w:tcMar>
            <w:vAlign w:val="center"/>
          </w:tcPr>
          <w:p>
            <w:pPr>
              <w:spacing w:after="20" w:before="20"/>
            </w:pPr>
            <w:r>
              <w:rPr>
                <w:sz w:val="20"/>
                <w:szCs w:val="20"/>
              </w:rPr>
              <w:t xml:space="preserve">Core Platform Design</w:t>
            </w:r>
          </w:p>
        </w:tc>
        <w:tc>
          <w:tcPr>
            <w:tcW w:type="dxa" w:w="5055"/>
            <w:tcMar>
              <w:top w:type="dxa" w:w="60"/>
              <w:left w:type="dxa" w:w="100"/>
              <w:bottom w:type="dxa" w:w="60"/>
              <w:right w:type="dxa" w:w="100"/>
            </w:tcMar>
            <w:vAlign w:val="center"/>
          </w:tcPr>
          <w:p>
            <w:pPr>
              <w:spacing w:after="20" w:before="20"/>
            </w:pPr>
            <w:r>
              <w:rPr>
                <w:sz w:val="20"/>
                <w:szCs w:val="20"/>
              </w:rPr>
              <w:t xml:space="preserve">The services a module consumes and the layering it must respect.</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PDS-04</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Business Domain Model</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The domains a module may act within.</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PDS-05</w:t>
            </w:r>
          </w:p>
        </w:tc>
        <w:tc>
          <w:tcPr>
            <w:tcW w:type="dxa" w:w="2888"/>
            <w:tcMar>
              <w:top w:type="dxa" w:w="60"/>
              <w:left w:type="dxa" w:w="100"/>
              <w:bottom w:type="dxa" w:w="60"/>
              <w:right w:type="dxa" w:w="100"/>
            </w:tcMar>
            <w:vAlign w:val="center"/>
          </w:tcPr>
          <w:p>
            <w:pPr>
              <w:spacing w:after="20" w:before="20"/>
            </w:pPr>
            <w:r>
              <w:rPr>
                <w:sz w:val="20"/>
                <w:szCs w:val="20"/>
              </w:rPr>
              <w:t xml:space="preserve">Shared Business Object Model</w:t>
            </w:r>
          </w:p>
        </w:tc>
        <w:tc>
          <w:tcPr>
            <w:tcW w:type="dxa" w:w="5055"/>
            <w:tcMar>
              <w:top w:type="dxa" w:w="60"/>
              <w:left w:type="dxa" w:w="100"/>
              <w:bottom w:type="dxa" w:w="60"/>
              <w:right w:type="dxa" w:w="100"/>
            </w:tcMar>
            <w:vAlign w:val="center"/>
          </w:tcPr>
          <w:p>
            <w:pPr>
              <w:spacing w:after="20" w:before="20"/>
            </w:pPr>
            <w:r>
              <w:rPr>
                <w:sz w:val="20"/>
                <w:szCs w:val="20"/>
              </w:rPr>
              <w:t xml:space="preserve">The objects a module consumes and the extension rules it must obey.</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PDS-07</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Core Platform Services</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The consumption rules CR-01 to CR-10 verified here.</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PDS-09</w:t>
            </w:r>
          </w:p>
        </w:tc>
        <w:tc>
          <w:tcPr>
            <w:tcW w:type="dxa" w:w="2888"/>
            <w:tcMar>
              <w:top w:type="dxa" w:w="60"/>
              <w:left w:type="dxa" w:w="100"/>
              <w:bottom w:type="dxa" w:w="60"/>
              <w:right w:type="dxa" w:w="100"/>
            </w:tcMar>
            <w:vAlign w:val="center"/>
          </w:tcPr>
          <w:p>
            <w:pPr>
              <w:spacing w:after="20" w:before="20"/>
            </w:pPr>
            <w:r>
              <w:rPr>
                <w:sz w:val="20"/>
                <w:szCs w:val="20"/>
              </w:rPr>
              <w:t xml:space="preserve">Engineering Principles</w:t>
            </w:r>
          </w:p>
        </w:tc>
        <w:tc>
          <w:tcPr>
            <w:tcW w:type="dxa" w:w="5055"/>
            <w:tcMar>
              <w:top w:type="dxa" w:w="60"/>
              <w:left w:type="dxa" w:w="100"/>
              <w:bottom w:type="dxa" w:w="60"/>
              <w:right w:type="dxa" w:w="100"/>
            </w:tcMar>
            <w:vAlign w:val="center"/>
          </w:tcPr>
          <w:p>
            <w:pPr>
              <w:spacing w:after="20" w:before="20"/>
            </w:pPr>
            <w:r>
              <w:rPr>
                <w:sz w:val="20"/>
                <w:szCs w:val="20"/>
              </w:rPr>
              <w:t xml:space="preserve">The principles a module is certified against.</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PDS-14</w:t>
            </w:r>
          </w:p>
        </w:tc>
        <w:tc>
          <w:tcPr>
            <w:tcW w:type="dxa" w:w="2888"/>
            <w:shd w:fill="F2F2F2" w:color="auto" w:val="clear"/>
            <w:tcMar>
              <w:top w:type="dxa" w:w="60"/>
              <w:left w:type="dxa" w:w="100"/>
              <w:bottom w:type="dxa" w:w="60"/>
              <w:right w:type="dxa" w:w="100"/>
            </w:tcMar>
            <w:vAlign w:val="center"/>
          </w:tcPr>
          <w:p>
            <w:pPr>
              <w:spacing w:after="20" w:before="20"/>
            </w:pPr>
            <w:r>
              <w:rPr>
                <w:sz w:val="20"/>
                <w:szCs w:val="20"/>
              </w:rPr>
              <w:t xml:space="preserve">Architecture Decision Records</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Records any deviation granted to a module.</w:t>
            </w:r>
          </w:p>
        </w:tc>
      </w:tr>
    </w:tbl>
    <w:p>
      <w:pPr>
        <w:pStyle w:val="Heading2"/>
        <w:spacing w:after="120" w:before="260"/>
      </w:pPr>
      <w:r>
        <w:rPr>
          <w:b/>
          <w:bCs/>
          <w:color w:val="2E74B5"/>
          <w:sz w:val="25"/>
          <w:szCs w:val="25"/>
        </w:rPr>
        <w:t xml:space="preserve">1.4 Approval</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1264"/>
        <w:gridCol w:w="4332"/>
        <w:gridCol w:w="1444"/>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Role</w:t>
            </w:r>
          </w:p>
        </w:tc>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Name</w:t>
            </w:r>
          </w:p>
        </w:tc>
        <w:tc>
          <w:tcPr>
            <w:tcW w:type="dxa" w:w="433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Responsibility</w:t>
            </w:r>
          </w:p>
        </w:tc>
        <w:tc>
          <w:tcPr>
            <w:tcW w:type="dxa" w:w="144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Status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Chief Architect</w:t>
            </w:r>
          </w:p>
        </w:tc>
        <w:tc>
          <w:tcPr>
            <w:tcW w:type="dxa" w:w="1264"/>
            <w:tcMar>
              <w:top w:type="dxa" w:w="60"/>
              <w:left w:type="dxa" w:w="100"/>
              <w:bottom w:type="dxa" w:w="60"/>
              <w:right w:type="dxa" w:w="100"/>
            </w:tcMar>
            <w:vAlign w:val="center"/>
          </w:tcPr>
          <w:p>
            <w:pPr>
              <w:spacing w:after="20" w:before="20"/>
            </w:pPr>
            <w:r>
              <w:rPr>
                <w:sz w:val="20"/>
                <w:szCs w:val="20"/>
              </w:rPr>
              <w:t xml:space="preserve">—</w:t>
            </w:r>
          </w:p>
        </w:tc>
        <w:tc>
          <w:tcPr>
            <w:tcW w:type="dxa" w:w="4332"/>
            <w:tcMar>
              <w:top w:type="dxa" w:w="60"/>
              <w:left w:type="dxa" w:w="100"/>
              <w:bottom w:type="dxa" w:w="60"/>
              <w:right w:type="dxa" w:w="100"/>
            </w:tcMar>
            <w:vAlign w:val="center"/>
          </w:tcPr>
          <w:p>
            <w:pPr>
              <w:spacing w:after="20" w:before="20"/>
            </w:pPr>
            <w:r>
              <w:rPr>
                <w:sz w:val="20"/>
                <w:szCs w:val="20"/>
              </w:rPr>
              <w:t xml:space="preserve">Boundary integrity and conformance sufficiency</w:t>
            </w:r>
          </w:p>
        </w:tc>
        <w:tc>
          <w:tcPr>
            <w:tcW w:type="dxa" w:w="1444"/>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Core Platform Lead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Registration and lifecycle implementability</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Product Owner</w:t>
            </w:r>
          </w:p>
        </w:tc>
        <w:tc>
          <w:tcPr>
            <w:tcW w:type="dxa" w:w="1264"/>
            <w:tcMar>
              <w:top w:type="dxa" w:w="60"/>
              <w:left w:type="dxa" w:w="100"/>
              <w:bottom w:type="dxa" w:w="60"/>
              <w:right w:type="dxa" w:w="100"/>
            </w:tcMar>
            <w:vAlign w:val="center"/>
          </w:tcPr>
          <w:p>
            <w:pPr>
              <w:spacing w:after="20" w:before="20"/>
            </w:pPr>
            <w:r>
              <w:rPr>
                <w:sz w:val="20"/>
                <w:szCs w:val="20"/>
              </w:rPr>
              <w:t xml:space="preserve">—</w:t>
            </w:r>
          </w:p>
        </w:tc>
        <w:tc>
          <w:tcPr>
            <w:tcW w:type="dxa" w:w="4332"/>
            <w:tcMar>
              <w:top w:type="dxa" w:w="60"/>
              <w:left w:type="dxa" w:w="100"/>
              <w:bottom w:type="dxa" w:w="60"/>
              <w:right w:type="dxa" w:w="100"/>
            </w:tcMar>
            <w:vAlign w:val="center"/>
          </w:tcPr>
          <w:p>
            <w:pPr>
              <w:spacing w:after="20" w:before="20"/>
            </w:pPr>
            <w:r>
              <w:rPr>
                <w:sz w:val="20"/>
                <w:szCs w:val="20"/>
              </w:rPr>
              <w:t xml:space="preserve">Licensing and packaging fit</w:t>
            </w:r>
          </w:p>
        </w:tc>
        <w:tc>
          <w:tcPr>
            <w:tcW w:type="dxa" w:w="1444"/>
            <w:tcMar>
              <w:top w:type="dxa" w:w="60"/>
              <w:left w:type="dxa" w:w="100"/>
              <w:bottom w:type="dxa" w:w="60"/>
              <w:right w:type="dxa" w:w="100"/>
            </w:tcMar>
            <w:vAlign w:val="center"/>
          </w:tcPr>
          <w:p>
            <w:pPr>
              <w:spacing w:after="20" w:before="20"/>
            </w:pPr>
            <w:r>
              <w:rPr>
                <w:sz w:val="20"/>
                <w:szCs w:val="20"/>
              </w:rPr>
              <w:t xml:space="preserve">Pending</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QA Lead</w:t>
            </w:r>
          </w:p>
        </w:tc>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w:t>
            </w:r>
          </w:p>
        </w:tc>
        <w:tc>
          <w:tcPr>
            <w:tcW w:type="dxa" w:w="4332"/>
            <w:shd w:fill="F2F2F2" w:color="auto" w:val="clear"/>
            <w:tcMar>
              <w:top w:type="dxa" w:w="60"/>
              <w:left w:type="dxa" w:w="100"/>
              <w:bottom w:type="dxa" w:w="60"/>
              <w:right w:type="dxa" w:w="100"/>
            </w:tcMar>
            <w:vAlign w:val="center"/>
          </w:tcPr>
          <w:p>
            <w:pPr>
              <w:spacing w:after="20" w:before="20"/>
            </w:pPr>
            <w:r>
              <w:rPr>
                <w:sz w:val="20"/>
                <w:szCs w:val="20"/>
              </w:rPr>
              <w:t xml:space="preserve">Conformance test coverage</w:t>
            </w:r>
          </w:p>
        </w:tc>
        <w:tc>
          <w:tcPr>
            <w:tcW w:type="dxa" w:w="1444"/>
            <w:shd w:fill="F2F2F2" w:color="auto" w:val="clear"/>
            <w:tcMar>
              <w:top w:type="dxa" w:w="60"/>
              <w:left w:type="dxa" w:w="100"/>
              <w:bottom w:type="dxa" w:w="60"/>
              <w:right w:type="dxa" w:w="100"/>
            </w:tcMar>
            <w:vAlign w:val="center"/>
          </w:tcPr>
          <w:p>
            <w:pPr>
              <w:spacing w:after="20" w:before="20"/>
            </w:pPr>
            <w:r>
              <w:rPr>
                <w:sz w:val="20"/>
                <w:szCs w:val="20"/>
              </w:rPr>
              <w:t xml:space="preserve">Pending</w:t>
            </w:r>
          </w:p>
        </w:tc>
      </w:tr>
    </w:tbl>
    <w:p>
      <w:r>
        <w:br w:type="page"/>
      </w:r>
    </w:p>
    <w:p>
      <w:pPr>
        <w:pStyle w:val="Heading1"/>
        <w:spacing w:after="160" w:before="320"/>
      </w:pPr>
      <w:r>
        <w:rPr>
          <w:b/>
          <w:bCs/>
          <w:color w:val="1F4E79"/>
          <w:sz w:val="30"/>
          <w:szCs w:val="30"/>
        </w:rPr>
        <w:t xml:space="preserve">2. Introduction</w:t>
      </w:r>
    </w:p>
    <w:p>
      <w:pPr>
        <w:pStyle w:val="Heading2"/>
        <w:spacing w:after="120" w:before="260"/>
      </w:pPr>
      <w:r>
        <w:rPr>
          <w:b/>
          <w:bCs/>
          <w:color w:val="2E74B5"/>
          <w:sz w:val="25"/>
          <w:szCs w:val="25"/>
        </w:rPr>
        <w:t xml:space="preserve">2.1 Purpose</w:t>
      </w:r>
    </w:p>
    <w:p>
      <w:pPr>
        <w:spacing w:after="120" w:before="0"/>
      </w:pPr>
      <w:r>
        <w:t xml:space="preserve">The commercial promise of TEAIP is that a customer licenses only the capabilities they need, and adds more later without migration or redesign. That promise is only credible if modules are genuinely independent. This document defines the mechanism that makes them independent, and the tests that prove it.</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AP-004  </w:t>
      </w:r>
      <w:r>
        <w:rPr>
          <w:sz w:val="20"/>
          <w:szCs w:val="20"/>
        </w:rPr>
        <w:t xml:space="preserve">Business functionality shall be delivered as plug-ins over a stable Core Platform. The Core Platform shall never depend on a plug-in, and no plug-in shall depend on another plug-in internal implementation.</w:t>
      </w:r>
    </w:p>
    <w:p>
      <w:pPr>
        <w:pStyle w:val="Heading2"/>
        <w:spacing w:after="120" w:before="260"/>
      </w:pPr>
      <w:r>
        <w:rPr>
          <w:b/>
          <w:bCs/>
          <w:color w:val="2E74B5"/>
          <w:sz w:val="25"/>
          <w:szCs w:val="25"/>
        </w:rPr>
        <w:t xml:space="preserve">2.2 Scope</w:t>
      </w:r>
    </w:p>
    <w:p>
      <w:pPr>
        <w:pStyle w:val="ListParagraph"/>
        <w:numPr>
          <w:ilvl w:val="0"/>
          <w:numId w:val="2"/>
        </w:numPr>
        <w:spacing w:after="60"/>
      </w:pPr>
      <w:r>
        <w:t xml:space="preserve">What a module is, and what it may and may not own.</w:t>
      </w:r>
    </w:p>
    <w:p>
      <w:pPr>
        <w:pStyle w:val="ListParagraph"/>
        <w:numPr>
          <w:ilvl w:val="0"/>
          <w:numId w:val="2"/>
        </w:numPr>
        <w:spacing w:after="60"/>
      </w:pPr>
      <w:r>
        <w:t xml:space="preserve">The module manifest — the declaration every module makes about itself.</w:t>
      </w:r>
    </w:p>
    <w:p>
      <w:pPr>
        <w:pStyle w:val="ListParagraph"/>
        <w:numPr>
          <w:ilvl w:val="0"/>
          <w:numId w:val="2"/>
        </w:numPr>
        <w:spacing w:after="60"/>
      </w:pPr>
      <w:r>
        <w:t xml:space="preserve">Registration, licensing, enablement, upgrade and removal.</w:t>
      </w:r>
    </w:p>
    <w:p>
      <w:pPr>
        <w:pStyle w:val="ListParagraph"/>
        <w:numPr>
          <w:ilvl w:val="0"/>
          <w:numId w:val="2"/>
        </w:numPr>
        <w:spacing w:after="60"/>
      </w:pPr>
      <w:r>
        <w:t xml:space="preserve">How a module declares capabilities, permissions, events, extensions, workflows, reporting sources and connectors.</w:t>
      </w:r>
    </w:p>
    <w:p>
      <w:pPr>
        <w:pStyle w:val="ListParagraph"/>
        <w:numPr>
          <w:ilvl w:val="0"/>
          <w:numId w:val="2"/>
        </w:numPr>
        <w:spacing w:after="60"/>
      </w:pPr>
      <w:r>
        <w:t xml:space="preserve">The module lifecycle and its effect on data.</w:t>
      </w:r>
    </w:p>
    <w:p>
      <w:pPr>
        <w:pStyle w:val="ListParagraph"/>
        <w:numPr>
          <w:ilvl w:val="0"/>
          <w:numId w:val="2"/>
        </w:numPr>
        <w:spacing w:after="60"/>
      </w:pPr>
      <w:r>
        <w:t xml:space="preserve">Isolation rules and the prohibited practices.</w:t>
      </w:r>
    </w:p>
    <w:p>
      <w:pPr>
        <w:pStyle w:val="ListParagraph"/>
        <w:numPr>
          <w:ilvl w:val="0"/>
          <w:numId w:val="2"/>
        </w:numPr>
        <w:spacing w:after="60"/>
      </w:pPr>
      <w:r>
        <w:t xml:space="preserve">The conformance test suite every module must pass.</w:t>
      </w:r>
    </w:p>
    <w:p>
      <w:pPr>
        <w:pStyle w:val="ListParagraph"/>
        <w:numPr>
          <w:ilvl w:val="0"/>
          <w:numId w:val="2"/>
        </w:numPr>
        <w:spacing w:after="60"/>
      </w:pPr>
      <w:r>
        <w:t xml:space="preserve">Partner and marketplace considerations.</w:t>
      </w:r>
    </w:p>
    <w:p>
      <w:pPr>
        <w:spacing w:after="120" w:before="0"/>
      </w:pPr>
      <w:r>
        <w:t xml:space="preserve">Out of scope: the internal design of any specific module (the CRS and Functional Specifications); packaging and pricing (the CRS); technology and runtime packaging format.</w:t>
      </w:r>
    </w:p>
    <w:p>
      <w:pPr>
        <w:pStyle w:val="Heading2"/>
        <w:spacing w:after="120" w:before="260"/>
      </w:pPr>
      <w:r>
        <w:rPr>
          <w:b/>
          <w:bCs/>
          <w:color w:val="2E74B5"/>
          <w:sz w:val="25"/>
          <w:szCs w:val="25"/>
        </w:rPr>
        <w:t xml:space="preserve">2.3 What a module is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4513"/>
        <w:gridCol w:w="4513"/>
      </w:tblGrid>
      <w:tr>
        <w:trPr>
          <w:tblHeader/>
        </w:trPr>
        <w:tc>
          <w:tcPr>
            <w:tcW w:type="dxa" w:w="451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 module IS</w:t>
            </w:r>
          </w:p>
        </w:tc>
        <w:tc>
          <w:tcPr>
            <w:tcW w:type="dxa" w:w="451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 module is NOT</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An independently licensable unit of business functionality.</w:t>
            </w:r>
          </w:p>
        </w:tc>
        <w:tc>
          <w:tcPr>
            <w:tcW w:type="dxa" w:w="4513"/>
            <w:tcMar>
              <w:top w:type="dxa" w:w="60"/>
              <w:left w:type="dxa" w:w="100"/>
              <w:bottom w:type="dxa" w:w="60"/>
              <w:right w:type="dxa" w:w="100"/>
            </w:tcMar>
            <w:vAlign w:val="center"/>
          </w:tcPr>
          <w:p>
            <w:pPr>
              <w:spacing w:after="20" w:before="20"/>
            </w:pPr>
            <w:r>
              <w:rPr>
                <w:sz w:val="20"/>
                <w:szCs w:val="20"/>
              </w:rPr>
              <w:t xml:space="preserve">A business domain. Domains are responsibility boundaries and are fixed.</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An implementer of capabilities declared in PDS-02.</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An author of new capabilities. A capability is added to PDS-02 first.</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An owner of business processes.</w:t>
            </w:r>
          </w:p>
        </w:tc>
        <w:tc>
          <w:tcPr>
            <w:tcW w:type="dxa" w:w="4513"/>
            <w:tcMar>
              <w:top w:type="dxa" w:w="60"/>
              <w:left w:type="dxa" w:w="100"/>
              <w:bottom w:type="dxa" w:w="60"/>
              <w:right w:type="dxa" w:w="100"/>
            </w:tcMar>
            <w:vAlign w:val="center"/>
          </w:tcPr>
          <w:p>
            <w:pPr>
              <w:spacing w:after="20" w:before="20"/>
            </w:pPr>
            <w:r>
              <w:rPr>
                <w:sz w:val="20"/>
                <w:szCs w:val="20"/>
              </w:rPr>
              <w:t xml:space="preserve">An owner of master entities. Hosting belongs to domains.</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 consumer of Core Platform services.</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An implementer of platform concerns — approval, notification, audit, search, reporting.</w:t>
            </w:r>
          </w:p>
        </w:tc>
      </w:tr>
      <w:tr>
        <w:trPr>
          <w:cantSplit/>
        </w:trPr>
        <w:tc>
          <w:tcPr>
            <w:tcW w:type="dxa" w:w="4513"/>
            <w:tcMar>
              <w:top w:type="dxa" w:w="60"/>
              <w:left w:type="dxa" w:w="100"/>
              <w:bottom w:type="dxa" w:w="60"/>
              <w:right w:type="dxa" w:w="100"/>
            </w:tcMar>
            <w:vAlign w:val="center"/>
          </w:tcPr>
          <w:p>
            <w:pPr>
              <w:spacing w:after="20" w:before="20"/>
            </w:pPr>
            <w:r>
              <w:rPr>
                <w:sz w:val="20"/>
                <w:szCs w:val="20"/>
              </w:rPr>
              <w:t xml:space="preserve">A contributor of namespaced extension attributes.</w:t>
            </w:r>
          </w:p>
        </w:tc>
        <w:tc>
          <w:tcPr>
            <w:tcW w:type="dxa" w:w="4513"/>
            <w:tcMar>
              <w:top w:type="dxa" w:w="60"/>
              <w:left w:type="dxa" w:w="100"/>
              <w:bottom w:type="dxa" w:w="60"/>
              <w:right w:type="dxa" w:w="100"/>
            </w:tcMar>
            <w:vAlign w:val="center"/>
          </w:tcPr>
          <w:p>
            <w:pPr>
              <w:spacing w:after="20" w:before="20"/>
            </w:pPr>
            <w:r>
              <w:rPr>
                <w:sz w:val="20"/>
                <w:szCs w:val="20"/>
              </w:rPr>
              <w:t xml:space="preserve">A modifier of a host object schema or classification.</w:t>
            </w:r>
          </w:p>
        </w:tc>
      </w:tr>
      <w:tr>
        <w:trPr>
          <w:cantSplit/>
        </w:trPr>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Removable, leaving the platform coherent.</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 prerequisite for another module unless that dependency is declared and approved.</w:t>
            </w:r>
          </w:p>
        </w:tc>
      </w:tr>
    </w:tbl>
    <w:p>
      <w:pPr>
        <w:pStyle w:val="Heading2"/>
        <w:spacing w:after="120" w:before="260"/>
      </w:pPr>
      <w:r>
        <w:rPr>
          <w:b/>
          <w:bCs/>
          <w:color w:val="2E74B5"/>
          <w:sz w:val="25"/>
          <w:szCs w:val="25"/>
        </w:rPr>
        <w:t xml:space="preserve">2.4 Release 1 modules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083"/>
        <w:gridCol w:w="2708"/>
        <w:gridCol w:w="3610"/>
        <w:gridCol w:w="1625"/>
      </w:tblGrid>
      <w:tr>
        <w:trPr>
          <w:tblHeader/>
        </w:trPr>
        <w:tc>
          <w:tcPr>
            <w:tcW w:type="dxa" w:w="108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ID</w:t>
            </w:r>
          </w:p>
        </w:tc>
        <w:tc>
          <w:tcPr>
            <w:tcW w:type="dxa" w:w="2708"/>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Module</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Primary domains</w:t>
            </w:r>
          </w:p>
        </w:tc>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Level</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MOD-ALM</w:t>
            </w:r>
          </w:p>
        </w:tc>
        <w:tc>
          <w:tcPr>
            <w:tcW w:type="dxa" w:w="2708"/>
            <w:tcMar>
              <w:top w:type="dxa" w:w="60"/>
              <w:left w:type="dxa" w:w="100"/>
              <w:bottom w:type="dxa" w:w="60"/>
              <w:right w:type="dxa" w:w="100"/>
            </w:tcMar>
            <w:vAlign w:val="center"/>
          </w:tcPr>
          <w:p>
            <w:pPr>
              <w:spacing w:after="20" w:before="20"/>
            </w:pPr>
            <w:r>
              <w:rPr>
                <w:sz w:val="20"/>
                <w:szCs w:val="20"/>
              </w:rPr>
              <w:t xml:space="preserve">Asset Lifecycle Management</w:t>
            </w:r>
          </w:p>
        </w:tc>
        <w:tc>
          <w:tcPr>
            <w:tcW w:type="dxa" w:w="3610"/>
            <w:tcMar>
              <w:top w:type="dxa" w:w="60"/>
              <w:left w:type="dxa" w:w="100"/>
              <w:bottom w:type="dxa" w:w="60"/>
              <w:right w:type="dxa" w:w="100"/>
            </w:tcMar>
            <w:vAlign w:val="center"/>
          </w:tcPr>
          <w:p>
            <w:pPr>
              <w:spacing w:after="20" w:before="20"/>
            </w:pPr>
            <w:r>
              <w:rPr>
                <w:sz w:val="20"/>
                <w:szCs w:val="20"/>
              </w:rPr>
              <w:t xml:space="preserve">DOM-AST</w:t>
            </w:r>
          </w:p>
        </w:tc>
        <w:tc>
          <w:tcPr>
            <w:tcW w:type="dxa" w:w="1625"/>
            <w:tcMar>
              <w:top w:type="dxa" w:w="60"/>
              <w:left w:type="dxa" w:w="100"/>
              <w:bottom w:type="dxa" w:w="60"/>
              <w:right w:type="dxa" w:w="100"/>
            </w:tcMar>
            <w:vAlign w:val="center"/>
          </w:tcPr>
          <w:p>
            <w:pPr>
              <w:spacing w:after="20" w:before="20"/>
            </w:pPr>
            <w:r>
              <w:rPr>
                <w:sz w:val="20"/>
                <w:szCs w:val="20"/>
              </w:rPr>
              <w:t xml:space="preserve">L1</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MOD-INV</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Inventory &amp; Asset Audits</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DOM-OPS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L2</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MOD-SEC</w:t>
            </w:r>
          </w:p>
        </w:tc>
        <w:tc>
          <w:tcPr>
            <w:tcW w:type="dxa" w:w="2708"/>
            <w:tcMar>
              <w:top w:type="dxa" w:w="60"/>
              <w:left w:type="dxa" w:w="100"/>
              <w:bottom w:type="dxa" w:w="60"/>
              <w:right w:type="dxa" w:w="100"/>
            </w:tcMar>
            <w:vAlign w:val="center"/>
          </w:tcPr>
          <w:p>
            <w:pPr>
              <w:spacing w:after="20" w:before="20"/>
            </w:pPr>
            <w:r>
              <w:rPr>
                <w:sz w:val="20"/>
                <w:szCs w:val="20"/>
              </w:rPr>
              <w:t xml:space="preserve">Asset Security &amp; Gate Control</w:t>
            </w:r>
          </w:p>
        </w:tc>
        <w:tc>
          <w:tcPr>
            <w:tcW w:type="dxa" w:w="3610"/>
            <w:tcMar>
              <w:top w:type="dxa" w:w="60"/>
              <w:left w:type="dxa" w:w="100"/>
              <w:bottom w:type="dxa" w:w="60"/>
              <w:right w:type="dxa" w:w="100"/>
            </w:tcMar>
            <w:vAlign w:val="center"/>
          </w:tcPr>
          <w:p>
            <w:pPr>
              <w:spacing w:after="20" w:before="20"/>
            </w:pPr>
            <w:r>
              <w:rPr>
                <w:sz w:val="20"/>
                <w:szCs w:val="20"/>
              </w:rPr>
              <w:t xml:space="preserve">DOM-SEC</w:t>
            </w:r>
          </w:p>
        </w:tc>
        <w:tc>
          <w:tcPr>
            <w:tcW w:type="dxa" w:w="1625"/>
            <w:tcMar>
              <w:top w:type="dxa" w:w="60"/>
              <w:left w:type="dxa" w:w="100"/>
              <w:bottom w:type="dxa" w:w="60"/>
              <w:right w:type="dxa" w:w="100"/>
            </w:tcMar>
            <w:vAlign w:val="center"/>
          </w:tcPr>
          <w:p>
            <w:pPr>
              <w:spacing w:after="20" w:before="20"/>
            </w:pPr>
            <w:r>
              <w:rPr>
                <w:sz w:val="20"/>
                <w:szCs w:val="20"/>
              </w:rPr>
              <w:t xml:space="preserve">L2</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MOD-VLV</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Vehicle &amp; Loading Verification</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DOM-SEC + DOM-OPS</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L2</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MOD-WHS</w:t>
            </w:r>
          </w:p>
        </w:tc>
        <w:tc>
          <w:tcPr>
            <w:tcW w:type="dxa" w:w="2708"/>
            <w:tcMar>
              <w:top w:type="dxa" w:w="60"/>
              <w:left w:type="dxa" w:w="100"/>
              <w:bottom w:type="dxa" w:w="60"/>
              <w:right w:type="dxa" w:w="100"/>
            </w:tcMar>
            <w:vAlign w:val="center"/>
          </w:tcPr>
          <w:p>
            <w:pPr>
              <w:spacing w:after="20" w:before="20"/>
            </w:pPr>
            <w:r>
              <w:rPr>
                <w:sz w:val="20"/>
                <w:szCs w:val="20"/>
              </w:rPr>
              <w:t xml:space="preserve">Smart Warehouse</w:t>
            </w:r>
          </w:p>
        </w:tc>
        <w:tc>
          <w:tcPr>
            <w:tcW w:type="dxa" w:w="3610"/>
            <w:tcMar>
              <w:top w:type="dxa" w:w="60"/>
              <w:left w:type="dxa" w:w="100"/>
              <w:bottom w:type="dxa" w:w="60"/>
              <w:right w:type="dxa" w:w="100"/>
            </w:tcMar>
            <w:vAlign w:val="center"/>
          </w:tcPr>
          <w:p>
            <w:pPr>
              <w:spacing w:after="20" w:before="20"/>
            </w:pPr>
            <w:r>
              <w:rPr>
                <w:sz w:val="20"/>
                <w:szCs w:val="20"/>
              </w:rPr>
              <w:t xml:space="preserve">DOM-OPS</w:t>
            </w:r>
          </w:p>
        </w:tc>
        <w:tc>
          <w:tcPr>
            <w:tcW w:type="dxa" w:w="1625"/>
            <w:tcMar>
              <w:top w:type="dxa" w:w="60"/>
              <w:left w:type="dxa" w:w="100"/>
              <w:bottom w:type="dxa" w:w="60"/>
              <w:right w:type="dxa" w:w="100"/>
            </w:tcMar>
            <w:vAlign w:val="center"/>
          </w:tcPr>
          <w:p>
            <w:pPr>
              <w:spacing w:after="20" w:before="20"/>
            </w:pPr>
            <w:r>
              <w:rPr>
                <w:sz w:val="20"/>
                <w:szCs w:val="20"/>
              </w:rPr>
              <w:t xml:space="preserve">L2</w:t>
            </w:r>
          </w:p>
        </w:tc>
      </w:tr>
      <w:tr>
        <w:trPr>
          <w:cantSplit/>
        </w:trPr>
        <w:tc>
          <w:tcPr>
            <w:tcW w:type="dxa" w:w="1083"/>
            <w:shd w:fill="F2F2F2" w:color="auto" w:val="clear"/>
            <w:tcMar>
              <w:top w:type="dxa" w:w="60"/>
              <w:left w:type="dxa" w:w="100"/>
              <w:bottom w:type="dxa" w:w="60"/>
              <w:right w:type="dxa" w:w="100"/>
            </w:tcMar>
            <w:vAlign w:val="center"/>
          </w:tcPr>
          <w:p>
            <w:pPr>
              <w:spacing w:after="20" w:before="20"/>
            </w:pPr>
            <w:r>
              <w:rPr>
                <w:sz w:val="20"/>
                <w:szCs w:val="20"/>
              </w:rPr>
              <w:t xml:space="preserve">MOD-VAI</w:t>
            </w:r>
          </w:p>
        </w:tc>
        <w:tc>
          <w:tcPr>
            <w:tcW w:type="dxa" w:w="2708"/>
            <w:shd w:fill="F2F2F2" w:color="auto" w:val="clear"/>
            <w:tcMar>
              <w:top w:type="dxa" w:w="60"/>
              <w:left w:type="dxa" w:w="100"/>
              <w:bottom w:type="dxa" w:w="60"/>
              <w:right w:type="dxa" w:w="100"/>
            </w:tcMar>
            <w:vAlign w:val="center"/>
          </w:tcPr>
          <w:p>
            <w:pPr>
              <w:spacing w:after="20" w:before="20"/>
            </w:pPr>
            <w:r>
              <w:rPr>
                <w:sz w:val="20"/>
                <w:szCs w:val="20"/>
              </w:rPr>
              <w:t xml:space="preserve">Visual Asset Intelligence</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DOM-INT</w:t>
            </w:r>
          </w:p>
        </w:tc>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L3</w:t>
            </w:r>
          </w:p>
        </w:tc>
      </w:tr>
      <w:tr>
        <w:trPr>
          <w:cantSplit/>
        </w:trPr>
        <w:tc>
          <w:tcPr>
            <w:tcW w:type="dxa" w:w="1083"/>
            <w:tcMar>
              <w:top w:type="dxa" w:w="60"/>
              <w:left w:type="dxa" w:w="100"/>
              <w:bottom w:type="dxa" w:w="60"/>
              <w:right w:type="dxa" w:w="100"/>
            </w:tcMar>
            <w:vAlign w:val="center"/>
          </w:tcPr>
          <w:p>
            <w:pPr>
              <w:spacing w:after="20" w:before="20"/>
            </w:pPr>
            <w:r>
              <w:rPr>
                <w:sz w:val="20"/>
                <w:szCs w:val="20"/>
              </w:rPr>
              <w:t xml:space="preserve">MOD-IAA</w:t>
            </w:r>
          </w:p>
        </w:tc>
        <w:tc>
          <w:tcPr>
            <w:tcW w:type="dxa" w:w="2708"/>
            <w:tcMar>
              <w:top w:type="dxa" w:w="60"/>
              <w:left w:type="dxa" w:w="100"/>
              <w:bottom w:type="dxa" w:w="60"/>
              <w:right w:type="dxa" w:w="100"/>
            </w:tcMar>
            <w:vAlign w:val="center"/>
          </w:tcPr>
          <w:p>
            <w:pPr>
              <w:spacing w:after="20" w:before="20"/>
            </w:pPr>
            <w:r>
              <w:rPr>
                <w:sz w:val="20"/>
                <w:szCs w:val="20"/>
              </w:rPr>
              <w:t xml:space="preserve">Intelligent Analytics &amp; Assistant</w:t>
            </w:r>
          </w:p>
        </w:tc>
        <w:tc>
          <w:tcPr>
            <w:tcW w:type="dxa" w:w="3610"/>
            <w:tcMar>
              <w:top w:type="dxa" w:w="60"/>
              <w:left w:type="dxa" w:w="100"/>
              <w:bottom w:type="dxa" w:w="60"/>
              <w:right w:type="dxa" w:w="100"/>
            </w:tcMar>
            <w:vAlign w:val="center"/>
          </w:tcPr>
          <w:p>
            <w:pPr>
              <w:spacing w:after="20" w:before="20"/>
            </w:pPr>
            <w:r>
              <w:rPr>
                <w:sz w:val="20"/>
                <w:szCs w:val="20"/>
              </w:rPr>
              <w:t xml:space="preserve">DOM-INT</w:t>
            </w:r>
          </w:p>
        </w:tc>
        <w:tc>
          <w:tcPr>
            <w:tcW w:type="dxa" w:w="1625"/>
            <w:tcMar>
              <w:top w:type="dxa" w:w="60"/>
              <w:left w:type="dxa" w:w="100"/>
              <w:bottom w:type="dxa" w:w="60"/>
              <w:right w:type="dxa" w:w="100"/>
            </w:tcMar>
            <w:vAlign w:val="center"/>
          </w:tcPr>
          <w:p>
            <w:pPr>
              <w:spacing w:after="20" w:before="20"/>
            </w:pPr>
            <w:r>
              <w:rPr>
                <w:sz w:val="20"/>
                <w:szCs w:val="20"/>
              </w:rPr>
              <w:t xml:space="preserve">L3</w:t>
            </w:r>
          </w:p>
        </w:tc>
      </w:tr>
    </w:tbl>
    <w:p>
      <w:r>
        <w:br w:type="page"/>
      </w:r>
    </w:p>
    <w:p>
      <w:pPr>
        <w:pStyle w:val="Heading1"/>
        <w:spacing w:after="160" w:before="320"/>
      </w:pPr>
      <w:r>
        <w:rPr>
          <w:b/>
          <w:bCs/>
          <w:color w:val="1F4E79"/>
          <w:sz w:val="30"/>
          <w:szCs w:val="30"/>
        </w:rPr>
        <w:t xml:space="preserve">3. The Module Manifest</w:t>
      </w:r>
    </w:p>
    <w:p>
      <w:pPr>
        <w:spacing w:after="120" w:before="0"/>
      </w:pPr>
      <w:r>
        <w:t xml:space="preserve">Every module declares itself in a manifest. The manifest is the whole of what the platform knows about the module, and nothing outside it is trusted. Registration fails if the manifest is incomplete or inconsistent with PDS-02, PDS-04 or PDS-05.</w:t>
      </w:r>
    </w:p>
    <w:p>
      <w:pPr>
        <w:pStyle w:val="Heading2"/>
        <w:spacing w:after="120" w:before="260"/>
      </w:pPr>
      <w:r>
        <w:rPr>
          <w:b/>
          <w:bCs/>
          <w:color w:val="2E74B5"/>
          <w:sz w:val="25"/>
          <w:szCs w:val="25"/>
        </w:rPr>
        <w:t xml:space="preserve">3.1 Manifest sections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625"/>
        <w:gridCol w:w="4152"/>
        <w:gridCol w:w="3249"/>
      </w:tblGrid>
      <w:tr>
        <w:trPr>
          <w:tblHeader/>
        </w:trPr>
        <w:tc>
          <w:tcPr>
            <w:tcW w:type="dxa" w:w="162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Section</w:t>
            </w:r>
          </w:p>
        </w:tc>
        <w:tc>
          <w:tcPr>
            <w:tcW w:type="dxa" w:w="415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Contents</w:t>
            </w:r>
          </w:p>
        </w:tc>
        <w:tc>
          <w:tcPr>
            <w:tcW w:type="dxa" w:w="324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Validated against</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Identity</w:t>
            </w:r>
          </w:p>
        </w:tc>
        <w:tc>
          <w:tcPr>
            <w:tcW w:type="dxa" w:w="4152"/>
            <w:tcMar>
              <w:top w:type="dxa" w:w="60"/>
              <w:left w:type="dxa" w:w="100"/>
              <w:bottom w:type="dxa" w:w="60"/>
              <w:right w:type="dxa" w:w="100"/>
            </w:tcMar>
            <w:vAlign w:val="center"/>
          </w:tcPr>
          <w:p>
            <w:pPr>
              <w:spacing w:after="20" w:before="20"/>
            </w:pPr>
            <w:r>
              <w:rPr>
                <w:sz w:val="20"/>
                <w:szCs w:val="20"/>
              </w:rPr>
              <w:t xml:space="preserve">Module code, name, version, vendor, description, support contact.</w:t>
            </w:r>
          </w:p>
        </w:tc>
        <w:tc>
          <w:tcPr>
            <w:tcW w:type="dxa" w:w="3249"/>
            <w:tcMar>
              <w:top w:type="dxa" w:w="60"/>
              <w:left w:type="dxa" w:w="100"/>
              <w:bottom w:type="dxa" w:w="60"/>
              <w:right w:type="dxa" w:w="100"/>
            </w:tcMar>
            <w:vAlign w:val="center"/>
          </w:tcPr>
          <w:p>
            <w:pPr>
              <w:spacing w:after="20" w:before="20"/>
            </w:pPr>
            <w:r>
              <w:rPr>
                <w:sz w:val="20"/>
                <w:szCs w:val="20"/>
              </w:rPr>
              <w:t xml:space="preserve">Uniqueness of module code.</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Capabilities</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The CAP identifiers this module implements.</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PDS-02. An unknown identifier is refused.</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Domains</w:t>
            </w:r>
          </w:p>
        </w:tc>
        <w:tc>
          <w:tcPr>
            <w:tcW w:type="dxa" w:w="4152"/>
            <w:tcMar>
              <w:top w:type="dxa" w:w="60"/>
              <w:left w:type="dxa" w:w="100"/>
              <w:bottom w:type="dxa" w:w="60"/>
              <w:right w:type="dxa" w:w="100"/>
            </w:tcMar>
            <w:vAlign w:val="center"/>
          </w:tcPr>
          <w:p>
            <w:pPr>
              <w:spacing w:after="20" w:before="20"/>
            </w:pPr>
            <w:r>
              <w:rPr>
                <w:sz w:val="20"/>
                <w:szCs w:val="20"/>
              </w:rPr>
              <w:t xml:space="preserve">The domains this module acts within.</w:t>
            </w:r>
          </w:p>
        </w:tc>
        <w:tc>
          <w:tcPr>
            <w:tcW w:type="dxa" w:w="3249"/>
            <w:tcMar>
              <w:top w:type="dxa" w:w="60"/>
              <w:left w:type="dxa" w:w="100"/>
              <w:bottom w:type="dxa" w:w="60"/>
              <w:right w:type="dxa" w:w="100"/>
            </w:tcMar>
            <w:vAlign w:val="center"/>
          </w:tcPr>
          <w:p>
            <w:pPr>
              <w:spacing w:after="20" w:before="20"/>
            </w:pPr>
            <w:r>
              <w:rPr>
                <w:sz w:val="20"/>
                <w:szCs w:val="20"/>
              </w:rPr>
              <w:t xml:space="preserve">PDS-04. Must be consistent with the declared capabilities.</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Consumed objects</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The business objects the module reads or references.</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PDS-05. Hosting is checked; the module may not claim to host.</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Extensions</w:t>
            </w:r>
          </w:p>
        </w:tc>
        <w:tc>
          <w:tcPr>
            <w:tcW w:type="dxa" w:w="4152"/>
            <w:tcMar>
              <w:top w:type="dxa" w:w="60"/>
              <w:left w:type="dxa" w:w="100"/>
              <w:bottom w:type="dxa" w:w="60"/>
              <w:right w:type="dxa" w:w="100"/>
            </w:tcMar>
            <w:vAlign w:val="center"/>
          </w:tcPr>
          <w:p>
            <w:pPr>
              <w:spacing w:after="20" w:before="20"/>
            </w:pPr>
            <w:r>
              <w:rPr>
                <w:sz w:val="20"/>
                <w:szCs w:val="20"/>
              </w:rPr>
              <w:t xml:space="preserve">Namespaced extension attributes contributed to host objects.</w:t>
            </w:r>
          </w:p>
        </w:tc>
        <w:tc>
          <w:tcPr>
            <w:tcW w:type="dxa" w:w="3249"/>
            <w:tcMar>
              <w:top w:type="dxa" w:w="60"/>
              <w:left w:type="dxa" w:w="100"/>
              <w:bottom w:type="dxa" w:w="60"/>
              <w:right w:type="dxa" w:w="100"/>
            </w:tcMar>
            <w:vAlign w:val="center"/>
          </w:tcPr>
          <w:p>
            <w:pPr>
              <w:spacing w:after="20" w:before="20"/>
            </w:pPr>
            <w:r>
              <w:rPr>
                <w:sz w:val="20"/>
                <w:szCs w:val="20"/>
              </w:rPr>
              <w:t xml:space="preserve">PDS-05 section 3.7 and ER-01 to ER-07.</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Permissions</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The permissions the module declares, with action, object type and risk level.</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PDS-05. Codes are globally unique.</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Published events</w:t>
            </w:r>
          </w:p>
        </w:tc>
        <w:tc>
          <w:tcPr>
            <w:tcW w:type="dxa" w:w="4152"/>
            <w:tcMar>
              <w:top w:type="dxa" w:w="60"/>
              <w:left w:type="dxa" w:w="100"/>
              <w:bottom w:type="dxa" w:w="60"/>
              <w:right w:type="dxa" w:w="100"/>
            </w:tcMar>
            <w:vAlign w:val="center"/>
          </w:tcPr>
          <w:p>
            <w:pPr>
              <w:spacing w:after="20" w:before="20"/>
            </w:pPr>
            <w:r>
              <w:rPr>
                <w:sz w:val="20"/>
                <w:szCs w:val="20"/>
              </w:rPr>
              <w:t xml:space="preserve">Events the module raises on behalf of its domain.</w:t>
            </w:r>
          </w:p>
        </w:tc>
        <w:tc>
          <w:tcPr>
            <w:tcW w:type="dxa" w:w="3249"/>
            <w:tcMar>
              <w:top w:type="dxa" w:w="60"/>
              <w:left w:type="dxa" w:w="100"/>
              <w:bottom w:type="dxa" w:w="60"/>
              <w:right w:type="dxa" w:w="100"/>
            </w:tcMar>
            <w:vAlign w:val="center"/>
          </w:tcPr>
          <w:p>
            <w:pPr>
              <w:spacing w:after="20" w:before="20"/>
            </w:pPr>
            <w:r>
              <w:rPr>
                <w:sz w:val="20"/>
                <w:szCs w:val="20"/>
              </w:rPr>
              <w:t xml:space="preserve">PDS-04 event catalog. Undeclared events cannot be published.</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Consumed events</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Events the module subscribes to.</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PDS-04 event catalog.</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Reporting sources</w:t>
            </w:r>
          </w:p>
        </w:tc>
        <w:tc>
          <w:tcPr>
            <w:tcW w:type="dxa" w:w="4152"/>
            <w:tcMar>
              <w:top w:type="dxa" w:w="60"/>
              <w:left w:type="dxa" w:w="100"/>
              <w:bottom w:type="dxa" w:w="60"/>
              <w:right w:type="dxa" w:w="100"/>
            </w:tcMar>
            <w:vAlign w:val="center"/>
          </w:tcPr>
          <w:p>
            <w:pPr>
              <w:spacing w:after="20" w:before="20"/>
            </w:pPr>
            <w:r>
              <w:rPr>
                <w:sz w:val="20"/>
                <w:szCs w:val="20"/>
              </w:rPr>
              <w:t xml:space="preserve">Reporting data sources the module registers.</w:t>
            </w:r>
          </w:p>
        </w:tc>
        <w:tc>
          <w:tcPr>
            <w:tcW w:type="dxa" w:w="3249"/>
            <w:tcMar>
              <w:top w:type="dxa" w:w="60"/>
              <w:left w:type="dxa" w:w="100"/>
              <w:bottom w:type="dxa" w:w="60"/>
              <w:right w:type="dxa" w:w="100"/>
            </w:tcMar>
            <w:vAlign w:val="center"/>
          </w:tcPr>
          <w:p>
            <w:pPr>
              <w:spacing w:after="20" w:before="20"/>
            </w:pPr>
            <w:r>
              <w:rPr>
                <w:sz w:val="20"/>
                <w:szCs w:val="20"/>
              </w:rPr>
              <w:t xml:space="preserve">PDS-07 PS-011. A transactional source is refused.</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Workflow subjects</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Object types for which the module supplies workflow step handlers.</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PDS-07 PS-005.</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Scheduled jobs</w:t>
            </w:r>
          </w:p>
        </w:tc>
        <w:tc>
          <w:tcPr>
            <w:tcW w:type="dxa" w:w="4152"/>
            <w:tcMar>
              <w:top w:type="dxa" w:w="60"/>
              <w:left w:type="dxa" w:w="100"/>
              <w:bottom w:type="dxa" w:w="60"/>
              <w:right w:type="dxa" w:w="100"/>
            </w:tcMar>
            <w:vAlign w:val="center"/>
          </w:tcPr>
          <w:p>
            <w:pPr>
              <w:spacing w:after="20" w:before="20"/>
            </w:pPr>
            <w:r>
              <w:rPr>
                <w:sz w:val="20"/>
                <w:szCs w:val="20"/>
              </w:rPr>
              <w:t xml:space="preserve">Job codes and handlers the module registers.</w:t>
            </w:r>
          </w:p>
        </w:tc>
        <w:tc>
          <w:tcPr>
            <w:tcW w:type="dxa" w:w="3249"/>
            <w:tcMar>
              <w:top w:type="dxa" w:w="60"/>
              <w:left w:type="dxa" w:w="100"/>
              <w:bottom w:type="dxa" w:w="60"/>
              <w:right w:type="dxa" w:w="100"/>
            </w:tcMar>
            <w:vAlign w:val="center"/>
          </w:tcPr>
          <w:p>
            <w:pPr>
              <w:spacing w:after="20" w:before="20"/>
            </w:pPr>
            <w:r>
              <w:rPr>
                <w:sz w:val="20"/>
                <w:szCs w:val="20"/>
              </w:rPr>
              <w:t xml:space="preserve">PDS-07 PS-016.</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Connectors</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Layer 3 connectors the module requires, and their optionality.</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PDS-07 PS-012. Every connector must be optional or explicitly declared mandatory with justification.</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Screens</w:t>
            </w:r>
          </w:p>
        </w:tc>
        <w:tc>
          <w:tcPr>
            <w:tcW w:type="dxa" w:w="4152"/>
            <w:tcMar>
              <w:top w:type="dxa" w:w="60"/>
              <w:left w:type="dxa" w:w="100"/>
              <w:bottom w:type="dxa" w:w="60"/>
              <w:right w:type="dxa" w:w="100"/>
            </w:tcMar>
            <w:vAlign w:val="center"/>
          </w:tcPr>
          <w:p>
            <w:pPr>
              <w:spacing w:after="20" w:before="20"/>
            </w:pPr>
            <w:r>
              <w:rPr>
                <w:sz w:val="20"/>
                <w:szCs w:val="20"/>
              </w:rPr>
              <w:t xml:space="preserve">Screen codes the module contributes, with their object type and disclosure defaults.</w:t>
            </w:r>
          </w:p>
        </w:tc>
        <w:tc>
          <w:tcPr>
            <w:tcW w:type="dxa" w:w="3249"/>
            <w:tcMar>
              <w:top w:type="dxa" w:w="60"/>
              <w:left w:type="dxa" w:w="100"/>
              <w:bottom w:type="dxa" w:w="60"/>
              <w:right w:type="dxa" w:w="100"/>
            </w:tcMar>
            <w:vAlign w:val="center"/>
          </w:tcPr>
          <w:p>
            <w:pPr>
              <w:spacing w:after="20" w:before="20"/>
            </w:pPr>
            <w:r>
              <w:rPr>
                <w:sz w:val="20"/>
                <w:szCs w:val="20"/>
              </w:rPr>
              <w:t xml:space="preserve">Screen Specifications.</w:t>
            </w:r>
          </w:p>
        </w:tc>
      </w:tr>
      <w:tr>
        <w:trPr>
          <w:cantSplit/>
        </w:trPr>
        <w:tc>
          <w:tcPr>
            <w:tcW w:type="dxa" w:w="1625"/>
            <w:shd w:fill="F2F2F2" w:color="auto" w:val="clear"/>
            <w:tcMar>
              <w:top w:type="dxa" w:w="60"/>
              <w:left w:type="dxa" w:w="100"/>
              <w:bottom w:type="dxa" w:w="60"/>
              <w:right w:type="dxa" w:w="100"/>
            </w:tcMar>
            <w:vAlign w:val="center"/>
          </w:tcPr>
          <w:p>
            <w:pPr>
              <w:spacing w:after="20" w:before="20"/>
            </w:pPr>
            <w:r>
              <w:rPr>
                <w:sz w:val="20"/>
                <w:szCs w:val="20"/>
              </w:rPr>
              <w:t xml:space="preserve">Dependencies</w:t>
            </w:r>
          </w:p>
        </w:tc>
        <w:tc>
          <w:tcPr>
            <w:tcW w:type="dxa" w:w="4152"/>
            <w:shd w:fill="F2F2F2" w:color="auto" w:val="clear"/>
            <w:tcMar>
              <w:top w:type="dxa" w:w="60"/>
              <w:left w:type="dxa" w:w="100"/>
              <w:bottom w:type="dxa" w:w="60"/>
              <w:right w:type="dxa" w:w="100"/>
            </w:tcMar>
            <w:vAlign w:val="center"/>
          </w:tcPr>
          <w:p>
            <w:pPr>
              <w:spacing w:after="20" w:before="20"/>
            </w:pPr>
            <w:r>
              <w:rPr>
                <w:sz w:val="20"/>
                <w:szCs w:val="20"/>
              </w:rPr>
              <w:t xml:space="preserve">Platform version range, and any declared dependency on another module.</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A module dependency requires architectural approval.</w:t>
            </w:r>
          </w:p>
        </w:tc>
      </w:tr>
      <w:tr>
        <w:trPr>
          <w:cantSplit/>
        </w:trPr>
        <w:tc>
          <w:tcPr>
            <w:tcW w:type="dxa" w:w="1625"/>
            <w:tcMar>
              <w:top w:type="dxa" w:w="60"/>
              <w:left w:type="dxa" w:w="100"/>
              <w:bottom w:type="dxa" w:w="60"/>
              <w:right w:type="dxa" w:w="100"/>
            </w:tcMar>
            <w:vAlign w:val="center"/>
          </w:tcPr>
          <w:p>
            <w:pPr>
              <w:spacing w:after="20" w:before="20"/>
            </w:pPr>
            <w:r>
              <w:rPr>
                <w:sz w:val="20"/>
                <w:szCs w:val="20"/>
              </w:rPr>
              <w:t xml:space="preserve">Data classes</w:t>
            </w:r>
          </w:p>
        </w:tc>
        <w:tc>
          <w:tcPr>
            <w:tcW w:type="dxa" w:w="4152"/>
            <w:tcMar>
              <w:top w:type="dxa" w:w="60"/>
              <w:left w:type="dxa" w:w="100"/>
              <w:bottom w:type="dxa" w:w="60"/>
              <w:right w:type="dxa" w:w="100"/>
            </w:tcMar>
            <w:vAlign w:val="center"/>
          </w:tcPr>
          <w:p>
            <w:pPr>
              <w:spacing w:after="20" w:before="20"/>
            </w:pPr>
            <w:r>
              <w:rPr>
                <w:sz w:val="20"/>
                <w:szCs w:val="20"/>
              </w:rPr>
              <w:t xml:space="preserve">Object types and volume classes the module creates at scale.</w:t>
            </w:r>
          </w:p>
        </w:tc>
        <w:tc>
          <w:tcPr>
            <w:tcW w:type="dxa" w:w="3249"/>
            <w:tcMar>
              <w:top w:type="dxa" w:w="60"/>
              <w:left w:type="dxa" w:w="100"/>
              <w:bottom w:type="dxa" w:w="60"/>
              <w:right w:type="dxa" w:w="100"/>
            </w:tcMar>
            <w:vAlign w:val="center"/>
          </w:tcPr>
          <w:p>
            <w:pPr>
              <w:spacing w:after="20" w:before="20"/>
            </w:pPr>
            <w:r>
              <w:rPr>
                <w:sz w:val="20"/>
                <w:szCs w:val="20"/>
              </w:rPr>
              <w:t xml:space="preserve">PDS-05 Appendix C, for capacity planning.</w:t>
            </w:r>
          </w:p>
        </w:tc>
      </w:tr>
    </w:tbl>
    <w:p>
      <w:pPr>
        <w:pStyle w:val="Heading2"/>
        <w:spacing w:after="120" w:before="260"/>
      </w:pPr>
      <w:r>
        <w:rPr>
          <w:b/>
          <w:bCs/>
          <w:color w:val="2E74B5"/>
          <w:sz w:val="25"/>
          <w:szCs w:val="25"/>
        </w:rPr>
        <w:t xml:space="preserve">3.2 Manifest shape</w:t>
      </w:r>
    </w:p>
    <w:p>
      <w:pPr>
        <w:pBdr>
          <w:top w:val="single" w:color="D9D9D9" w:sz="4"/>
          <w:left w:val="single" w:color="2E74B5" w:sz="12"/>
          <w:bottom w:val="single" w:color="D9D9D9" w:sz="4"/>
          <w:right w:val="single" w:color="D9D9D9" w:sz="4"/>
        </w:pBdr>
        <w:shd w:fill="F7F7F7" w:color="auto" w:val="clear"/>
        <w:spacing w:after="160" w:before="120"/>
      </w:pPr>
      <w:r>
        <w:rPr>
          <w:rFonts w:ascii="Consolas" w:cs="Consolas" w:eastAsia="Consolas" w:hAnsi="Consolas"/>
          <w:sz w:val="18"/>
          <w:szCs w:val="18"/>
        </w:rPr>
        <w:t xml:space="preserve">module:</w:t>
      </w:r>
      <w:r>
        <w:rPr>
          <w:rFonts w:ascii="Consolas" w:cs="Consolas" w:eastAsia="Consolas" w:hAnsi="Consolas"/>
          <w:sz w:val="18"/>
          <w:szCs w:val="18"/>
        </w:rPr>
        <w:br/>
        <w:t xml:space="preserve">  code: MOD-VLV</w:t>
      </w:r>
      <w:r>
        <w:rPr>
          <w:rFonts w:ascii="Consolas" w:cs="Consolas" w:eastAsia="Consolas" w:hAnsi="Consolas"/>
          <w:sz w:val="18"/>
          <w:szCs w:val="18"/>
        </w:rPr>
        <w:br/>
        <w:t xml:space="preserve">  name: Vehicle &amp; Loading Verification</w:t>
      </w:r>
      <w:r>
        <w:rPr>
          <w:rFonts w:ascii="Consolas" w:cs="Consolas" w:eastAsia="Consolas" w:hAnsi="Consolas"/>
          <w:sz w:val="18"/>
          <w:szCs w:val="18"/>
        </w:rPr>
        <w:br/>
        <w:t xml:space="preserve">  version: 1.0.0</w:t>
      </w:r>
      <w:r>
        <w:rPr>
          <w:rFonts w:ascii="Consolas" w:cs="Consolas" w:eastAsia="Consolas" w:hAnsi="Consolas"/>
          <w:sz w:val="18"/>
          <w:szCs w:val="18"/>
        </w:rPr>
        <w:br/>
        <w:t xml:space="preserve">  platform: "&gt;=1.0 &lt;2.0"</w:t>
      </w:r>
      <w:r>
        <w:rPr>
          <w:rFonts w:ascii="Consolas" w:cs="Consolas" w:eastAsia="Consolas" w:hAnsi="Consolas"/>
          <w:sz w:val="18"/>
          <w:szCs w:val="18"/>
        </w:rPr>
        <w:br/>
        <w:t xml:space="preserve"/>
      </w:r>
      <w:r>
        <w:rPr>
          <w:rFonts w:ascii="Consolas" w:cs="Consolas" w:eastAsia="Consolas" w:hAnsi="Consolas"/>
          <w:sz w:val="18"/>
          <w:szCs w:val="18"/>
        </w:rPr>
        <w:br/>
        <w:t xml:space="preserve">  capabilities:            # must exist in PDS-02</w:t>
      </w:r>
      <w:r>
        <w:rPr>
          <w:rFonts w:ascii="Consolas" w:cs="Consolas" w:eastAsia="Consolas" w:hAnsi="Consolas"/>
          <w:sz w:val="18"/>
          <w:szCs w:val="18"/>
        </w:rPr>
        <w:br/>
        <w:t xml:space="preserve">    - CAP-SEC-017 .. CAP-SEC-026     # gate control</w:t>
      </w:r>
      <w:r>
        <w:rPr>
          <w:rFonts w:ascii="Consolas" w:cs="Consolas" w:eastAsia="Consolas" w:hAnsi="Consolas"/>
          <w:sz w:val="18"/>
          <w:szCs w:val="18"/>
        </w:rPr>
        <w:br/>
        <w:t xml:space="preserve">    - CAP-SEC-056 .. CAP-SEC-061     # risk scoring</w:t>
      </w:r>
      <w:r>
        <w:rPr>
          <w:rFonts w:ascii="Consolas" w:cs="Consolas" w:eastAsia="Consolas" w:hAnsi="Consolas"/>
          <w:sz w:val="18"/>
          <w:szCs w:val="18"/>
        </w:rPr>
        <w:br/>
        <w:t xml:space="preserve">    - CAP-OPS-041 .. CAP-OPS-044     # vehicle operations</w:t>
      </w:r>
      <w:r>
        <w:rPr>
          <w:rFonts w:ascii="Consolas" w:cs="Consolas" w:eastAsia="Consolas" w:hAnsi="Consolas"/>
          <w:sz w:val="18"/>
          <w:szCs w:val="18"/>
        </w:rPr>
        <w:br/>
        <w:t xml:space="preserve"/>
      </w:r>
      <w:r>
        <w:rPr>
          <w:rFonts w:ascii="Consolas" w:cs="Consolas" w:eastAsia="Consolas" w:hAnsi="Consolas"/>
          <w:sz w:val="18"/>
          <w:szCs w:val="18"/>
        </w:rPr>
        <w:br/>
        <w:t xml:space="preserve">  domains: [DOM-SEC, DOM-OPS]</w:t>
      </w:r>
      <w:r>
        <w:rPr>
          <w:rFonts w:ascii="Consolas" w:cs="Consolas" w:eastAsia="Consolas" w:hAnsi="Consolas"/>
          <w:sz w:val="18"/>
          <w:szCs w:val="18"/>
        </w:rPr>
        <w:br/>
        <w:t xml:space="preserve"/>
      </w:r>
      <w:r>
        <w:rPr>
          <w:rFonts w:ascii="Consolas" w:cs="Consolas" w:eastAsia="Consolas" w:hAnsi="Consolas"/>
          <w:sz w:val="18"/>
          <w:szCs w:val="18"/>
        </w:rPr>
        <w:br/>
        <w:t xml:space="preserve">  consumes:                # read or reference only</w:t>
      </w:r>
      <w:r>
        <w:rPr>
          <w:rFonts w:ascii="Consolas" w:cs="Consolas" w:eastAsia="Consolas" w:hAnsi="Consolas"/>
          <w:sz w:val="18"/>
          <w:szCs w:val="18"/>
        </w:rPr>
        <w:br/>
        <w:t xml:space="preserve">    DOM-AST: [Asset, RFID Tag, Asset Status]</w:t>
      </w:r>
      <w:r>
        <w:rPr>
          <w:rFonts w:ascii="Consolas" w:cs="Consolas" w:eastAsia="Consolas" w:hAnsi="Consolas"/>
          <w:sz w:val="18"/>
          <w:szCs w:val="18"/>
        </w:rPr>
        <w:br/>
        <w:t xml:space="preserve">    DOM-LOC: [Gate, Loading Bay, Warehouse]</w:t>
      </w:r>
      <w:r>
        <w:rPr>
          <w:rFonts w:ascii="Consolas" w:cs="Consolas" w:eastAsia="Consolas" w:hAnsi="Consolas"/>
          <w:sz w:val="18"/>
          <w:szCs w:val="18"/>
        </w:rPr>
        <w:br/>
        <w:t xml:space="preserve">    DOM-OPS: [Vehicle, Driver, Shipment, Loading Order]</w:t>
      </w:r>
      <w:r>
        <w:rPr>
          <w:rFonts w:ascii="Consolas" w:cs="Consolas" w:eastAsia="Consolas" w:hAnsi="Consolas"/>
          <w:sz w:val="18"/>
          <w:szCs w:val="18"/>
        </w:rPr>
        <w:br/>
        <w:t xml:space="preserve"/>
      </w:r>
      <w:r>
        <w:rPr>
          <w:rFonts w:ascii="Consolas" w:cs="Consolas" w:eastAsia="Consolas" w:hAnsi="Consolas"/>
          <w:sz w:val="18"/>
          <w:szCs w:val="18"/>
        </w:rPr>
        <w:br/>
        <w:t xml:space="preserve">  extensions:              # namespaced, removable, never an identity key</w:t>
      </w:r>
      <w:r>
        <w:rPr>
          <w:rFonts w:ascii="Consolas" w:cs="Consolas" w:eastAsia="Consolas" w:hAnsi="Consolas"/>
          <w:sz w:val="18"/>
          <w:szCs w:val="18"/>
        </w:rPr>
        <w:br/>
        <w:t xml:space="preserve">    Vehicle:</w:t>
      </w:r>
      <w:r>
        <w:rPr>
          <w:rFonts w:ascii="Consolas" w:cs="Consolas" w:eastAsia="Consolas" w:hAnsi="Consolas"/>
          <w:sz w:val="18"/>
          <w:szCs w:val="18"/>
        </w:rPr>
        <w:br/>
        <w:t xml:space="preserve">      namespace: vlv</w:t>
      </w:r>
      <w:r>
        <w:rPr>
          <w:rFonts w:ascii="Consolas" w:cs="Consolas" w:eastAsia="Consolas" w:hAnsi="Consolas"/>
          <w:sz w:val="18"/>
          <w:szCs w:val="18"/>
        </w:rPr>
        <w:br/>
        <w:t xml:space="preserve">      attributes: [lastGate, currentPermit, entryTime, exitTime, riskScore]</w:t>
      </w:r>
      <w:r>
        <w:rPr>
          <w:rFonts w:ascii="Consolas" w:cs="Consolas" w:eastAsia="Consolas" w:hAnsi="Consolas"/>
          <w:sz w:val="18"/>
          <w:szCs w:val="18"/>
        </w:rPr>
        <w:br/>
        <w:t xml:space="preserve"/>
      </w:r>
      <w:r>
        <w:rPr>
          <w:rFonts w:ascii="Consolas" w:cs="Consolas" w:eastAsia="Consolas" w:hAnsi="Consolas"/>
          <w:sz w:val="18"/>
          <w:szCs w:val="18"/>
        </w:rPr>
        <w:br/>
        <w:t xml:space="preserve">  permissions:</w:t>
      </w:r>
      <w:r>
        <w:rPr>
          <w:rFonts w:ascii="Consolas" w:cs="Consolas" w:eastAsia="Consolas" w:hAnsi="Consolas"/>
          <w:sz w:val="18"/>
          <w:szCs w:val="18"/>
        </w:rPr>
        <w:br/>
        <w:t xml:space="preserve">    - code: vlv.permit.approve      action: Approve    risk: Elevated</w:t>
      </w:r>
      <w:r>
        <w:rPr>
          <w:rFonts w:ascii="Consolas" w:cs="Consolas" w:eastAsia="Consolas" w:hAnsi="Consolas"/>
          <w:sz w:val="18"/>
          <w:szCs w:val="18"/>
        </w:rPr>
        <w:br/>
        <w:t xml:space="preserve">    - code: vlv.verification.override  action: Override  risk: Critical</w:t>
      </w:r>
      <w:r>
        <w:rPr>
          <w:rFonts w:ascii="Consolas" w:cs="Consolas" w:eastAsia="Consolas" w:hAnsi="Consolas"/>
          <w:sz w:val="18"/>
          <w:szCs w:val="18"/>
        </w:rPr>
        <w:br/>
        <w:t xml:space="preserve"/>
      </w:r>
      <w:r>
        <w:rPr>
          <w:rFonts w:ascii="Consolas" w:cs="Consolas" w:eastAsia="Consolas" w:hAnsi="Consolas"/>
          <w:sz w:val="18"/>
          <w:szCs w:val="18"/>
        </w:rPr>
        <w:br/>
        <w:t xml:space="preserve">  publishes: [LoadingVerificationPassed, LoadingVerificationFailed,</w:t>
      </w:r>
      <w:r>
        <w:rPr>
          <w:rFonts w:ascii="Consolas" w:cs="Consolas" w:eastAsia="Consolas" w:hAnsi="Consolas"/>
          <w:sz w:val="18"/>
          <w:szCs w:val="18"/>
        </w:rPr>
        <w:br/>
        <w:t xml:space="preserve">              UnauthorizedItemDetected, PlateRead]</w:t>
      </w:r>
      <w:r>
        <w:rPr>
          <w:rFonts w:ascii="Consolas" w:cs="Consolas" w:eastAsia="Consolas" w:hAnsi="Consolas"/>
          <w:sz w:val="18"/>
          <w:szCs w:val="18"/>
        </w:rPr>
        <w:br/>
        <w:t xml:space="preserve">  subscribes: [LoadingContentsSubmitted, ShipmentStaged, GateCreated]</w:t>
      </w:r>
      <w:r>
        <w:rPr>
          <w:rFonts w:ascii="Consolas" w:cs="Consolas" w:eastAsia="Consolas" w:hAnsi="Consolas"/>
          <w:sz w:val="18"/>
          <w:szCs w:val="18"/>
        </w:rPr>
        <w:br/>
        <w:t xml:space="preserve"/>
      </w:r>
      <w:r>
        <w:rPr>
          <w:rFonts w:ascii="Consolas" w:cs="Consolas" w:eastAsia="Consolas" w:hAnsi="Consolas"/>
          <w:sz w:val="18"/>
          <w:szCs w:val="18"/>
        </w:rPr>
        <w:br/>
        <w:t xml:space="preserve">  reportingSources:</w:t>
      </w:r>
      <w:r>
        <w:rPr>
          <w:rFonts w:ascii="Consolas" w:cs="Consolas" w:eastAsia="Consolas" w:hAnsi="Consolas"/>
          <w:sz w:val="18"/>
          <w:szCs w:val="18"/>
        </w:rPr>
        <w:br/>
        <w:t xml:space="preserve">    - code: vlv.verification.facts   grain: verification result</w:t>
      </w:r>
      <w:r>
        <w:rPr>
          <w:rFonts w:ascii="Consolas" w:cs="Consolas" w:eastAsia="Consolas" w:hAnsi="Consolas"/>
          <w:sz w:val="18"/>
          <w:szCs w:val="18"/>
        </w:rPr>
        <w:br/>
        <w:t xml:space="preserve"/>
      </w:r>
      <w:r>
        <w:rPr>
          <w:rFonts w:ascii="Consolas" w:cs="Consolas" w:eastAsia="Consolas" w:hAnsi="Consolas"/>
          <w:sz w:val="18"/>
          <w:szCs w:val="18"/>
        </w:rPr>
        <w:br/>
        <w:t xml:space="preserve">  connectors:</w:t>
      </w:r>
      <w:r>
        <w:rPr>
          <w:rFonts w:ascii="Consolas" w:cs="Consolas" w:eastAsia="Consolas" w:hAnsi="Consolas"/>
          <w:sz w:val="18"/>
          <w:szCs w:val="18"/>
        </w:rPr>
        <w:br/>
        <w:t xml:space="preserve">    - class: ANPR        optional: false   degradesTo: manual plate entry</w:t>
      </w:r>
      <w:r>
        <w:rPr>
          <w:rFonts w:ascii="Consolas" w:cs="Consolas" w:eastAsia="Consolas" w:hAnsi="Consolas"/>
          <w:sz w:val="18"/>
          <w:szCs w:val="18"/>
        </w:rPr>
        <w:br/>
        <w:t xml:space="preserve">    - class: RFIDPortal  optional: false   degradesTo: Inconclusive outcome</w:t>
      </w:r>
      <w:r>
        <w:rPr>
          <w:rFonts w:ascii="Consolas" w:cs="Consolas" w:eastAsia="Consolas" w:hAnsi="Consolas"/>
          <w:sz w:val="18"/>
          <w:szCs w:val="18"/>
        </w:rPr>
        <w:br/>
        <w:t xml:space="preserve">    - class: Barrier     optional: true    degradesTo: manual gate operation</w:t>
      </w:r>
      <w:r>
        <w:rPr>
          <w:rFonts w:ascii="Consolas" w:cs="Consolas" w:eastAsia="Consolas" w:hAnsi="Consolas"/>
          <w:sz w:val="18"/>
          <w:szCs w:val="18"/>
        </w:rPr>
        <w:br/>
        <w:t xml:space="preserve"/>
      </w:r>
      <w:r>
        <w:rPr>
          <w:rFonts w:ascii="Consolas" w:cs="Consolas" w:eastAsia="Consolas" w:hAnsi="Consolas"/>
          <w:sz w:val="18"/>
          <w:szCs w:val="18"/>
        </w:rPr>
        <w:br/>
        <w:t xml:space="preserve">  dataClasses:</w:t>
      </w:r>
      <w:r>
        <w:rPr>
          <w:rFonts w:ascii="Consolas" w:cs="Consolas" w:eastAsia="Consolas" w:hAnsi="Consolas"/>
          <w:sz w:val="18"/>
          <w:szCs w:val="18"/>
        </w:rPr>
        <w:br/>
        <w:t xml:space="preserve">    - object: Gate Event         volume: veryHigh</w:t>
      </w:r>
      <w:r>
        <w:rPr>
          <w:rFonts w:ascii="Consolas" w:cs="Consolas" w:eastAsia="Consolas" w:hAnsi="Consolas"/>
          <w:sz w:val="18"/>
          <w:szCs w:val="18"/>
        </w:rPr>
        <w:br/>
        <w:t xml:space="preserve">    - object: Verification Result volume: high</w:t>
      </w:r>
    </w:p>
    <w:p>
      <w:pPr>
        <w:pBdr>
          <w:top w:val="single" w:color="BDD7EE" w:sz="4"/>
          <w:left w:val="single" w:color="2E74B5" w:sz="18"/>
          <w:bottom w:val="single" w:color="BDD7EE" w:sz="4"/>
          <w:right w:val="single" w:color="BDD7EE" w:sz="4"/>
        </w:pBdr>
        <w:shd w:fill="EAF1F8" w:color="auto" w:val="clear"/>
        <w:spacing w:after="160" w:before="140"/>
      </w:pPr>
      <w:r>
        <w:rPr>
          <w:b/>
          <w:bCs/>
          <w:color w:val="1F4E79"/>
          <w:sz w:val="20"/>
          <w:szCs w:val="20"/>
        </w:rPr>
        <w:t xml:space="preserve">Note on connectors  </w:t>
      </w:r>
      <w:r>
        <w:rPr>
          <w:sz w:val="20"/>
          <w:szCs w:val="20"/>
        </w:rPr>
        <w:t xml:space="preserve">A connector declared not optional still declares what it degrades to. There is no configuration in which a hardware failure silently produces a Pass outcome — the degradation is always explicit and always safe.</w:t>
      </w:r>
    </w:p>
    <w:p>
      <w:r>
        <w:br w:type="page"/>
      </w:r>
    </w:p>
    <w:p>
      <w:pPr>
        <w:pStyle w:val="Heading1"/>
        <w:spacing w:after="160" w:before="320"/>
      </w:pPr>
      <w:r>
        <w:rPr>
          <w:b/>
          <w:bCs/>
          <w:color w:val="1F4E79"/>
          <w:sz w:val="30"/>
          <w:szCs w:val="30"/>
        </w:rPr>
        <w:t xml:space="preserve">4. Module Lifecycle</w:t>
      </w:r>
    </w:p>
    <w:p>
      <w:pPr>
        <w:pStyle w:val="Heading2"/>
        <w:spacing w:after="120" w:before="260"/>
      </w:pPr>
      <w:r>
        <w:rPr>
          <w:b/>
          <w:bCs/>
          <w:color w:val="2E74B5"/>
          <w:sz w:val="25"/>
          <w:szCs w:val="25"/>
        </w:rPr>
        <w:t xml:space="preserve">4.1 States</w:t>
      </w:r>
    </w:p>
    <w:p>
      <w:pPr>
        <w:pBdr>
          <w:top w:val="single" w:color="D9D9D9" w:sz="4"/>
          <w:left w:val="single" w:color="2E74B5" w:sz="12"/>
          <w:bottom w:val="single" w:color="D9D9D9" w:sz="4"/>
          <w:right w:val="single" w:color="D9D9D9" w:sz="4"/>
        </w:pBdr>
        <w:shd w:fill="F7F7F7" w:color="auto" w:val="clear"/>
        <w:spacing w:after="160" w:before="120"/>
      </w:pPr>
      <w:r>
        <w:rPr>
          <w:rFonts w:ascii="Consolas" w:cs="Consolas" w:eastAsia="Consolas" w:hAnsi="Consolas"/>
          <w:sz w:val="18"/>
          <w:szCs w:val="18"/>
        </w:rPr>
        <w:t xml:space="preserve">Registered   manifest accepted and validated; nothing visible to users</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Licensed     commercial entitlement recorded for the tenant</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Enabled      capabilities active; objects, fields, screens and actions appear</w:t>
      </w:r>
      <w:r>
        <w:rPr>
          <w:rFonts w:ascii="Consolas" w:cs="Consolas" w:eastAsia="Consolas" w:hAnsi="Consolas"/>
          <w:sz w:val="18"/>
          <w:szCs w:val="18"/>
        </w:rPr>
        <w:br/>
        <w:t xml:space="preserve">     |</w:t>
      </w:r>
      <w:r>
        <w:rPr>
          <w:rFonts w:ascii="Consolas" w:cs="Consolas" w:eastAsia="Consolas" w:hAnsi="Consolas"/>
          <w:sz w:val="18"/>
          <w:szCs w:val="18"/>
        </w:rPr>
        <w:br/>
        <w:t xml:space="preserve">     +--&gt; Disabled    fields hidden, validation relaxed, DATA RETAINED</w:t>
      </w:r>
      <w:r>
        <w:rPr>
          <w:rFonts w:ascii="Consolas" w:cs="Consolas" w:eastAsia="Consolas" w:hAnsi="Consolas"/>
          <w:sz w:val="18"/>
          <w:szCs w:val="18"/>
        </w:rPr>
        <w:br/>
        <w:t xml:space="preserve">     |         |</w:t>
      </w:r>
      <w:r>
        <w:rPr>
          <w:rFonts w:ascii="Consolas" w:cs="Consolas" w:eastAsia="Consolas" w:hAnsi="Consolas"/>
          <w:sz w:val="18"/>
          <w:szCs w:val="18"/>
        </w:rPr>
        <w:br/>
        <w:t xml:space="preserve">     |         +--&gt; Enabled again: everything reappears intact</w:t>
      </w:r>
      <w:r>
        <w:rPr>
          <w:rFonts w:ascii="Consolas" w:cs="Consolas" w:eastAsia="Consolas" w:hAnsi="Consolas"/>
          <w:sz w:val="18"/>
          <w:szCs w:val="18"/>
        </w:rPr>
        <w:br/>
        <w:t xml:space="preserve">     v</w:t>
      </w:r>
      <w:r>
        <w:rPr>
          <w:rFonts w:ascii="Consolas" w:cs="Consolas" w:eastAsia="Consolas" w:hAnsi="Consolas"/>
          <w:sz w:val="18"/>
          <w:szCs w:val="18"/>
        </w:rPr>
        <w:br/>
        <w:t xml:space="preserve">Deprecated   still functioning; no new tenants may enable it</w:t>
      </w:r>
      <w:r>
        <w:rPr>
          <w:rFonts w:ascii="Consolas" w:cs="Consolas" w:eastAsia="Consolas" w:hAnsi="Consolas"/>
          <w:sz w:val="18"/>
          <w:szCs w:val="18"/>
        </w:rPr>
        <w:br/>
        <w:t xml:space="preserve">     |</w:t>
      </w:r>
      <w:r>
        <w:rPr>
          <w:rFonts w:ascii="Consolas" w:cs="Consolas" w:eastAsia="Consolas" w:hAnsi="Consolas"/>
          <w:sz w:val="18"/>
          <w:szCs w:val="18"/>
        </w:rPr>
        <w:br/>
        <w:t xml:space="preserve">     v</w:t>
      </w:r>
      <w:r>
        <w:rPr>
          <w:rFonts w:ascii="Consolas" w:cs="Consolas" w:eastAsia="Consolas" w:hAnsi="Consolas"/>
          <w:sz w:val="18"/>
          <w:szCs w:val="18"/>
        </w:rPr>
        <w:br/>
        <w:t xml:space="preserve">Removed      code withdrawn; extensions dropped; host data untouched</w:t>
      </w:r>
    </w:p>
    <w:p>
      <w:pPr>
        <w:pStyle w:val="Heading2"/>
        <w:spacing w:after="120" w:before="260"/>
      </w:pPr>
      <w:r>
        <w:rPr>
          <w:b/>
          <w:bCs/>
          <w:color w:val="2E74B5"/>
          <w:sz w:val="25"/>
          <w:szCs w:val="25"/>
        </w:rPr>
        <w:t xml:space="preserve">4.2 State transitions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264"/>
        <w:gridCol w:w="2347"/>
        <w:gridCol w:w="3069"/>
        <w:gridCol w:w="2346"/>
      </w:tblGrid>
      <w:tr>
        <w:trPr>
          <w:tblHeader/>
        </w:trPr>
        <w:tc>
          <w:tcPr>
            <w:tcW w:type="dxa" w:w="126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Transition</w:t>
            </w:r>
          </w:p>
        </w:tc>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Preconditions</w:t>
            </w:r>
          </w:p>
        </w:tc>
        <w:tc>
          <w:tcPr>
            <w:tcW w:type="dxa" w:w="306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Effect</w:t>
            </w:r>
          </w:p>
        </w:tc>
        <w:tc>
          <w:tcPr>
            <w:tcW w:type="dxa" w:w="234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Effect on data</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Register</w:t>
            </w:r>
          </w:p>
        </w:tc>
        <w:tc>
          <w:tcPr>
            <w:tcW w:type="dxa" w:w="2347"/>
            <w:tcMar>
              <w:top w:type="dxa" w:w="60"/>
              <w:left w:type="dxa" w:w="100"/>
              <w:bottom w:type="dxa" w:w="60"/>
              <w:right w:type="dxa" w:w="100"/>
            </w:tcMar>
            <w:vAlign w:val="center"/>
          </w:tcPr>
          <w:p>
            <w:pPr>
              <w:spacing w:after="20" w:before="20"/>
            </w:pPr>
            <w:r>
              <w:rPr>
                <w:sz w:val="20"/>
                <w:szCs w:val="20"/>
              </w:rPr>
              <w:t xml:space="preserve">Manifest valid; every capability exists in PDS-02; no permission code collision.</w:t>
            </w:r>
          </w:p>
        </w:tc>
        <w:tc>
          <w:tcPr>
            <w:tcW w:type="dxa" w:w="3069"/>
            <w:tcMar>
              <w:top w:type="dxa" w:w="60"/>
              <w:left w:type="dxa" w:w="100"/>
              <w:bottom w:type="dxa" w:w="60"/>
              <w:right w:type="dxa" w:w="100"/>
            </w:tcMar>
            <w:vAlign w:val="center"/>
          </w:tcPr>
          <w:p>
            <w:pPr>
              <w:spacing w:after="20" w:before="20"/>
            </w:pPr>
            <w:r>
              <w:rPr>
                <w:sz w:val="20"/>
                <w:szCs w:val="20"/>
              </w:rPr>
              <w:t xml:space="preserve">Capabilities registered with PS-013. Permissions declared. Reporting sources registered.</w:t>
            </w:r>
          </w:p>
        </w:tc>
        <w:tc>
          <w:tcPr>
            <w:tcW w:type="dxa" w:w="2346"/>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License</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Registered. Commercial entitlement recorded.</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Capability Registration set to Licensed for the tenant.</w:t>
            </w:r>
          </w:p>
        </w:tc>
        <w:tc>
          <w:tcPr>
            <w:tcW w:type="dxa" w:w="2346"/>
            <w:shd w:fill="F2F2F2" w:color="auto" w:val="clear"/>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Enable</w:t>
            </w:r>
          </w:p>
        </w:tc>
        <w:tc>
          <w:tcPr>
            <w:tcW w:type="dxa" w:w="2347"/>
            <w:tcMar>
              <w:top w:type="dxa" w:w="60"/>
              <w:left w:type="dxa" w:w="100"/>
              <w:bottom w:type="dxa" w:w="60"/>
              <w:right w:type="dxa" w:w="100"/>
            </w:tcMar>
            <w:vAlign w:val="center"/>
          </w:tcPr>
          <w:p>
            <w:pPr>
              <w:spacing w:after="20" w:before="20"/>
            </w:pPr>
            <w:r>
              <w:rPr>
                <w:sz w:val="20"/>
                <w:szCs w:val="20"/>
              </w:rPr>
              <w:t xml:space="preserve">Licensed. Every capability dependency enabled.</w:t>
            </w:r>
          </w:p>
        </w:tc>
        <w:tc>
          <w:tcPr>
            <w:tcW w:type="dxa" w:w="3069"/>
            <w:tcMar>
              <w:top w:type="dxa" w:w="60"/>
              <w:left w:type="dxa" w:w="100"/>
              <w:bottom w:type="dxa" w:w="60"/>
              <w:right w:type="dxa" w:w="100"/>
            </w:tcMar>
            <w:vAlign w:val="center"/>
          </w:tcPr>
          <w:p>
            <w:pPr>
              <w:spacing w:after="20" w:before="20"/>
            </w:pPr>
            <w:r>
              <w:rPr>
                <w:sz w:val="20"/>
                <w:szCs w:val="20"/>
              </w:rPr>
              <w:t xml:space="preserve">Capability-dependent attributes and objects become visible. Screens and actions appear. Validation profile entries become effective.</w:t>
            </w:r>
          </w:p>
        </w:tc>
        <w:tc>
          <w:tcPr>
            <w:tcW w:type="dxa" w:w="2346"/>
            <w:tcMar>
              <w:top w:type="dxa" w:w="60"/>
              <w:left w:type="dxa" w:w="100"/>
              <w:bottom w:type="dxa" w:w="60"/>
              <w:right w:type="dxa" w:w="100"/>
            </w:tcMar>
            <w:vAlign w:val="center"/>
          </w:tcPr>
          <w:p>
            <w:pPr>
              <w:spacing w:after="20" w:before="20"/>
            </w:pPr>
            <w:r>
              <w:rPr>
                <w:sz w:val="20"/>
                <w:szCs w:val="20"/>
              </w:rPr>
              <w:t xml:space="preserve">No migration. Existing records are untouched and remain valid.</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Disable</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Enabled. No dependent capability still enabled.</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Fields hidden, objects removed from the interface, validation relaxed, subscriptions suspended.</w:t>
            </w:r>
          </w:p>
        </w:tc>
        <w:tc>
          <w:tcPr>
            <w:tcW w:type="dxa" w:w="2346"/>
            <w:shd w:fill="F2F2F2" w:color="auto" w:val="clear"/>
            <w:tcMar>
              <w:top w:type="dxa" w:w="60"/>
              <w:left w:type="dxa" w:w="100"/>
              <w:bottom w:type="dxa" w:w="60"/>
              <w:right w:type="dxa" w:w="100"/>
            </w:tcMar>
            <w:vAlign w:val="center"/>
          </w:tcPr>
          <w:p>
            <w:pPr>
              <w:spacing w:after="20" w:before="20"/>
            </w:pPr>
            <w:r>
              <w:rPr>
                <w:sz w:val="20"/>
                <w:szCs w:val="20"/>
              </w:rPr>
              <w:t xml:space="preserve">All data retained. Nothing deleted.</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Re-enable</w:t>
            </w:r>
          </w:p>
        </w:tc>
        <w:tc>
          <w:tcPr>
            <w:tcW w:type="dxa" w:w="2347"/>
            <w:tcMar>
              <w:top w:type="dxa" w:w="60"/>
              <w:left w:type="dxa" w:w="100"/>
              <w:bottom w:type="dxa" w:w="60"/>
              <w:right w:type="dxa" w:w="100"/>
            </w:tcMar>
            <w:vAlign w:val="center"/>
          </w:tcPr>
          <w:p>
            <w:pPr>
              <w:spacing w:after="20" w:before="20"/>
            </w:pPr>
            <w:r>
              <w:rPr>
                <w:sz w:val="20"/>
                <w:szCs w:val="20"/>
              </w:rPr>
              <w:t xml:space="preserve">Previously enabled.</w:t>
            </w:r>
          </w:p>
        </w:tc>
        <w:tc>
          <w:tcPr>
            <w:tcW w:type="dxa" w:w="3069"/>
            <w:tcMar>
              <w:top w:type="dxa" w:w="60"/>
              <w:left w:type="dxa" w:w="100"/>
              <w:bottom w:type="dxa" w:w="60"/>
              <w:right w:type="dxa" w:w="100"/>
            </w:tcMar>
            <w:vAlign w:val="center"/>
          </w:tcPr>
          <w:p>
            <w:pPr>
              <w:spacing w:after="20" w:before="20"/>
            </w:pPr>
            <w:r>
              <w:rPr>
                <w:sz w:val="20"/>
                <w:szCs w:val="20"/>
              </w:rPr>
              <w:t xml:space="preserve">Visibility and validation restored.</w:t>
            </w:r>
          </w:p>
        </w:tc>
        <w:tc>
          <w:tcPr>
            <w:tcW w:type="dxa" w:w="2346"/>
            <w:tcMar>
              <w:top w:type="dxa" w:w="60"/>
              <w:left w:type="dxa" w:w="100"/>
              <w:bottom w:type="dxa" w:w="60"/>
              <w:right w:type="dxa" w:w="100"/>
            </w:tcMar>
            <w:vAlign w:val="center"/>
          </w:tcPr>
          <w:p>
            <w:pPr>
              <w:spacing w:after="20" w:before="20"/>
            </w:pPr>
            <w:r>
              <w:rPr>
                <w:sz w:val="20"/>
                <w:szCs w:val="20"/>
              </w:rPr>
              <w:t xml:space="preserve">Previously captured data reappears intact. No re-entry required.</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Upgrade</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New manifest valid. Additive changes only, or an approved migration.</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New version registered. Capabilities added. Removed capabilities retired, never deleted.</w:t>
            </w:r>
          </w:p>
        </w:tc>
        <w:tc>
          <w:tcPr>
            <w:tcW w:type="dxa" w:w="2346"/>
            <w:shd w:fill="F2F2F2" w:color="auto" w:val="clear"/>
            <w:tcMar>
              <w:top w:type="dxa" w:w="60"/>
              <w:left w:type="dxa" w:w="100"/>
              <w:bottom w:type="dxa" w:w="60"/>
              <w:right w:type="dxa" w:w="100"/>
            </w:tcMar>
            <w:vAlign w:val="center"/>
          </w:tcPr>
          <w:p>
            <w:pPr>
              <w:spacing w:after="20" w:before="20"/>
            </w:pPr>
            <w:r>
              <w:rPr>
                <w:sz w:val="20"/>
                <w:szCs w:val="20"/>
              </w:rPr>
              <w:t xml:space="preserve">Additive. A destructive upgrade requires an approved migration plan.</w:t>
            </w:r>
          </w:p>
        </w:tc>
      </w:tr>
      <w:tr>
        <w:trPr>
          <w:cantSplit/>
        </w:trPr>
        <w:tc>
          <w:tcPr>
            <w:tcW w:type="dxa" w:w="1264"/>
            <w:tcMar>
              <w:top w:type="dxa" w:w="60"/>
              <w:left w:type="dxa" w:w="100"/>
              <w:bottom w:type="dxa" w:w="60"/>
              <w:right w:type="dxa" w:w="100"/>
            </w:tcMar>
            <w:vAlign w:val="center"/>
          </w:tcPr>
          <w:p>
            <w:pPr>
              <w:spacing w:after="20" w:before="20"/>
            </w:pPr>
            <w:r>
              <w:rPr>
                <w:sz w:val="20"/>
                <w:szCs w:val="20"/>
              </w:rPr>
              <w:t xml:space="preserve">Deprecate</w:t>
            </w:r>
          </w:p>
        </w:tc>
        <w:tc>
          <w:tcPr>
            <w:tcW w:type="dxa" w:w="2347"/>
            <w:tcMar>
              <w:top w:type="dxa" w:w="60"/>
              <w:left w:type="dxa" w:w="100"/>
              <w:bottom w:type="dxa" w:w="60"/>
              <w:right w:type="dxa" w:w="100"/>
            </w:tcMar>
            <w:vAlign w:val="center"/>
          </w:tcPr>
          <w:p>
            <w:pPr>
              <w:spacing w:after="20" w:before="20"/>
            </w:pPr>
            <w:r>
              <w:rPr>
                <w:sz w:val="20"/>
                <w:szCs w:val="20"/>
              </w:rPr>
              <w:t xml:space="preserve">Successor identified or capability withdrawn.</w:t>
            </w:r>
          </w:p>
        </w:tc>
        <w:tc>
          <w:tcPr>
            <w:tcW w:type="dxa" w:w="3069"/>
            <w:tcMar>
              <w:top w:type="dxa" w:w="60"/>
              <w:left w:type="dxa" w:w="100"/>
              <w:bottom w:type="dxa" w:w="60"/>
              <w:right w:type="dxa" w:w="100"/>
            </w:tcMar>
            <w:vAlign w:val="center"/>
          </w:tcPr>
          <w:p>
            <w:pPr>
              <w:spacing w:after="20" w:before="20"/>
            </w:pPr>
            <w:r>
              <w:rPr>
                <w:sz w:val="20"/>
                <w:szCs w:val="20"/>
              </w:rPr>
              <w:t xml:space="preserve">No new tenants may enable. Existing tenants unaffected.</w:t>
            </w:r>
          </w:p>
        </w:tc>
        <w:tc>
          <w:tcPr>
            <w:tcW w:type="dxa" w:w="2346"/>
            <w:tcMar>
              <w:top w:type="dxa" w:w="60"/>
              <w:left w:type="dxa" w:w="100"/>
              <w:bottom w:type="dxa" w:w="60"/>
              <w:right w:type="dxa" w:w="100"/>
            </w:tcMar>
            <w:vAlign w:val="center"/>
          </w:tcPr>
          <w:p>
            <w:pPr>
              <w:spacing w:after="20" w:before="20"/>
            </w:pPr>
            <w:r>
              <w:rPr>
                <w:sz w:val="20"/>
                <w:szCs w:val="20"/>
              </w:rPr>
              <w:t xml:space="preserve">None.</w:t>
            </w:r>
          </w:p>
        </w:tc>
      </w:tr>
      <w:tr>
        <w:trPr>
          <w:cantSplit/>
        </w:trPr>
        <w:tc>
          <w:tcPr>
            <w:tcW w:type="dxa" w:w="1264"/>
            <w:shd w:fill="F2F2F2" w:color="auto" w:val="clear"/>
            <w:tcMar>
              <w:top w:type="dxa" w:w="60"/>
              <w:left w:type="dxa" w:w="100"/>
              <w:bottom w:type="dxa" w:w="60"/>
              <w:right w:type="dxa" w:w="100"/>
            </w:tcMar>
            <w:vAlign w:val="center"/>
          </w:tcPr>
          <w:p>
            <w:pPr>
              <w:spacing w:after="20" w:before="20"/>
            </w:pPr>
            <w:r>
              <w:rPr>
                <w:sz w:val="20"/>
                <w:szCs w:val="20"/>
              </w:rPr>
              <w:t xml:space="preserve">Remove</w:t>
            </w:r>
          </w:p>
        </w:tc>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Disabled for every tenant, or an approved data disposition.</w:t>
            </w:r>
          </w:p>
        </w:tc>
        <w:tc>
          <w:tcPr>
            <w:tcW w:type="dxa" w:w="3069"/>
            <w:shd w:fill="F2F2F2" w:color="auto" w:val="clear"/>
            <w:tcMar>
              <w:top w:type="dxa" w:w="60"/>
              <w:left w:type="dxa" w:w="100"/>
              <w:bottom w:type="dxa" w:w="60"/>
              <w:right w:type="dxa" w:w="100"/>
            </w:tcMar>
            <w:vAlign w:val="center"/>
          </w:tcPr>
          <w:p>
            <w:pPr>
              <w:spacing w:after="20" w:before="20"/>
            </w:pPr>
            <w:r>
              <w:rPr>
                <w:sz w:val="20"/>
                <w:szCs w:val="20"/>
              </w:rPr>
              <w:t xml:space="preserve">Extension attributes dropped. Handlers unregistered. Permissions retired.</w:t>
            </w:r>
          </w:p>
        </w:tc>
        <w:tc>
          <w:tcPr>
            <w:tcW w:type="dxa" w:w="2346"/>
            <w:shd w:fill="F2F2F2" w:color="auto" w:val="clear"/>
            <w:tcMar>
              <w:top w:type="dxa" w:w="60"/>
              <w:left w:type="dxa" w:w="100"/>
              <w:bottom w:type="dxa" w:w="60"/>
              <w:right w:type="dxa" w:w="100"/>
            </w:tcMar>
            <w:vAlign w:val="center"/>
          </w:tcPr>
          <w:p>
            <w:pPr>
              <w:spacing w:after="20" w:before="20"/>
            </w:pPr>
            <w:r>
              <w:rPr>
                <w:sz w:val="20"/>
                <w:szCs w:val="20"/>
              </w:rPr>
              <w:t xml:space="preserve">Host objects and their data are untouched. Extension data is exported before drop.</w:t>
            </w:r>
          </w:p>
        </w:tc>
      </w:tr>
    </w:tbl>
    <w:p>
      <w:pPr>
        <w:pStyle w:val="Heading2"/>
        <w:spacing w:after="120" w:before="260"/>
      </w:pPr>
      <w:r>
        <w:rPr>
          <w:b/>
          <w:bCs/>
          <w:color w:val="2E74B5"/>
          <w:sz w:val="25"/>
          <w:szCs w:val="25"/>
        </w:rPr>
        <w:t xml:space="preserve">4.3 Guarantees across the lifecycle</w:t>
      </w:r>
    </w:p>
    <w:p>
      <w:pPr>
        <w:pStyle w:val="ListParagraph"/>
        <w:numPr>
          <w:ilvl w:val="0"/>
          <w:numId w:val="3"/>
        </w:numPr>
        <w:spacing w:after="60"/>
      </w:pPr>
      <w:r>
        <w:t xml:space="preserve">Enabling a module never migrates, revalidates or invalidates an existing record.</w:t>
      </w:r>
    </w:p>
    <w:p>
      <w:pPr>
        <w:pStyle w:val="ListParagraph"/>
        <w:numPr>
          <w:ilvl w:val="0"/>
          <w:numId w:val="3"/>
        </w:numPr>
        <w:spacing w:after="60"/>
      </w:pPr>
      <w:r>
        <w:t xml:space="preserve">Disabling a module never deletes data captured while it was enabled.</w:t>
      </w:r>
    </w:p>
    <w:p>
      <w:pPr>
        <w:pStyle w:val="ListParagraph"/>
        <w:numPr>
          <w:ilvl w:val="0"/>
          <w:numId w:val="3"/>
        </w:numPr>
        <w:spacing w:after="60"/>
      </w:pPr>
      <w:r>
        <w:t xml:space="preserve">Removing a module never damages a host object. Only the module own extensions and records are affected, and extension data is exported before it is dropped.</w:t>
      </w:r>
    </w:p>
    <w:p>
      <w:pPr>
        <w:pStyle w:val="ListParagraph"/>
        <w:numPr>
          <w:ilvl w:val="0"/>
          <w:numId w:val="3"/>
        </w:numPr>
        <w:spacing w:after="60"/>
      </w:pPr>
      <w:r>
        <w:t xml:space="preserve">A module upgrade never forces a platform upgrade, within the declared platform version range.</w:t>
      </w:r>
    </w:p>
    <w:p>
      <w:pPr>
        <w:pStyle w:val="ListParagraph"/>
        <w:numPr>
          <w:ilvl w:val="0"/>
          <w:numId w:val="3"/>
        </w:numPr>
        <w:spacing w:after="60"/>
      </w:pPr>
      <w:r>
        <w:t xml:space="preserve">A platform upgrade never breaks a conforming module within a major version.</w:t>
      </w:r>
    </w:p>
    <w:p>
      <w:pPr>
        <w:pStyle w:val="ListParagraph"/>
        <w:numPr>
          <w:ilvl w:val="0"/>
          <w:numId w:val="3"/>
        </w:numPr>
        <w:spacing w:after="60"/>
      </w:pPr>
      <w:r>
        <w:t xml:space="preserve">A retired capability identifier is never reused.</w:t>
      </w:r>
    </w:p>
    <w:p>
      <w:r>
        <w:br w:type="page"/>
      </w:r>
    </w:p>
    <w:p>
      <w:pPr>
        <w:pStyle w:val="Heading1"/>
        <w:spacing w:after="160" w:before="320"/>
      </w:pPr>
      <w:r>
        <w:rPr>
          <w:b/>
          <w:bCs/>
          <w:color w:val="1F4E79"/>
          <w:sz w:val="30"/>
          <w:szCs w:val="30"/>
        </w:rPr>
        <w:t xml:space="preserve">5. Isolation and Prohibited Practices</w:t>
      </w:r>
    </w:p>
    <w:p>
      <w:pPr>
        <w:pStyle w:val="Heading2"/>
        <w:spacing w:after="120" w:before="260"/>
      </w:pPr>
      <w:r>
        <w:rPr>
          <w:b/>
          <w:bCs/>
          <w:color w:val="2E74B5"/>
          <w:sz w:val="25"/>
          <w:szCs w:val="25"/>
        </w:rPr>
        <w:t xml:space="preserve">5.1 Isolation rules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4694"/>
        <w:gridCol w:w="3610"/>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469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Rule</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Rationale</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IS-01</w:t>
            </w:r>
          </w:p>
        </w:tc>
        <w:tc>
          <w:tcPr>
            <w:tcW w:type="dxa" w:w="4694"/>
            <w:tcMar>
              <w:top w:type="dxa" w:w="60"/>
              <w:left w:type="dxa" w:w="100"/>
              <w:bottom w:type="dxa" w:w="60"/>
              <w:right w:type="dxa" w:w="100"/>
            </w:tcMar>
            <w:vAlign w:val="center"/>
          </w:tcPr>
          <w:p>
            <w:pPr>
              <w:spacing w:after="20" w:before="20"/>
            </w:pPr>
            <w:r>
              <w:rPr>
                <w:sz w:val="20"/>
                <w:szCs w:val="20"/>
              </w:rPr>
              <w:t xml:space="preserve">A module has no access to another module persistence, in any form.</w:t>
            </w:r>
          </w:p>
        </w:tc>
        <w:tc>
          <w:tcPr>
            <w:tcW w:type="dxa" w:w="3610"/>
            <w:tcMar>
              <w:top w:type="dxa" w:w="60"/>
              <w:left w:type="dxa" w:w="100"/>
              <w:bottom w:type="dxa" w:w="60"/>
              <w:right w:type="dxa" w:w="100"/>
            </w:tcMar>
            <w:vAlign w:val="center"/>
          </w:tcPr>
          <w:p>
            <w:pPr>
              <w:spacing w:after="20" w:before="20"/>
            </w:pPr>
            <w:r>
              <w:rPr>
                <w:sz w:val="20"/>
                <w:szCs w:val="20"/>
              </w:rPr>
              <w:t xml:space="preserve">A shared table becomes an undeclared dependency and defeats independent release.</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IS-02</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A module reaches another domain only through its published API or events.</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AP-005. Preserves the acyclic dependency order.</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IS-03</w:t>
            </w:r>
          </w:p>
        </w:tc>
        <w:tc>
          <w:tcPr>
            <w:tcW w:type="dxa" w:w="4694"/>
            <w:tcMar>
              <w:top w:type="dxa" w:w="60"/>
              <w:left w:type="dxa" w:w="100"/>
              <w:bottom w:type="dxa" w:w="60"/>
              <w:right w:type="dxa" w:w="100"/>
            </w:tcMar>
            <w:vAlign w:val="center"/>
          </w:tcPr>
          <w:p>
            <w:pPr>
              <w:spacing w:after="20" w:before="20"/>
            </w:pPr>
            <w:r>
              <w:rPr>
                <w:sz w:val="20"/>
                <w:szCs w:val="20"/>
              </w:rPr>
              <w:t xml:space="preserve">A module never references another module extension attribute.</w:t>
            </w:r>
          </w:p>
        </w:tc>
        <w:tc>
          <w:tcPr>
            <w:tcW w:type="dxa" w:w="3610"/>
            <w:tcMar>
              <w:top w:type="dxa" w:w="60"/>
              <w:left w:type="dxa" w:w="100"/>
              <w:bottom w:type="dxa" w:w="60"/>
              <w:right w:type="dxa" w:w="100"/>
            </w:tcMar>
            <w:vAlign w:val="center"/>
          </w:tcPr>
          <w:p>
            <w:pPr>
              <w:spacing w:after="20" w:before="20"/>
            </w:pPr>
            <w:r>
              <w:rPr>
                <w:sz w:val="20"/>
                <w:szCs w:val="20"/>
              </w:rPr>
              <w:t xml:space="preserve">ER-03. Otherwise removing one module breaks another.</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IS-04</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A module never assumes another module is present, unless a dependency is declared and approved.</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Capability-based licensing requires every module to stand alone.</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IS-05</w:t>
            </w:r>
          </w:p>
        </w:tc>
        <w:tc>
          <w:tcPr>
            <w:tcW w:type="dxa" w:w="4694"/>
            <w:tcMar>
              <w:top w:type="dxa" w:w="60"/>
              <w:left w:type="dxa" w:w="100"/>
              <w:bottom w:type="dxa" w:w="60"/>
              <w:right w:type="dxa" w:w="100"/>
            </w:tcMar>
            <w:vAlign w:val="center"/>
          </w:tcPr>
          <w:p>
            <w:pPr>
              <w:spacing w:after="20" w:before="20"/>
            </w:pPr>
            <w:r>
              <w:rPr>
                <w:sz w:val="20"/>
                <w:szCs w:val="20"/>
              </w:rPr>
              <w:t xml:space="preserve">A module never registers a handler for a platform concern it does not own.</w:t>
            </w:r>
          </w:p>
        </w:tc>
        <w:tc>
          <w:tcPr>
            <w:tcW w:type="dxa" w:w="3610"/>
            <w:tcMar>
              <w:top w:type="dxa" w:w="60"/>
              <w:left w:type="dxa" w:w="100"/>
              <w:bottom w:type="dxa" w:w="60"/>
              <w:right w:type="dxa" w:w="100"/>
            </w:tcMar>
            <w:vAlign w:val="center"/>
          </w:tcPr>
          <w:p>
            <w:pPr>
              <w:spacing w:after="20" w:before="20"/>
            </w:pPr>
            <w:r>
              <w:rPr>
                <w:sz w:val="20"/>
                <w:szCs w:val="20"/>
              </w:rPr>
              <w:t xml:space="preserve">GR-006 and GR-007.</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IS-06</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A module never writes to a host object outside the hosting domain API.</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GR-001. Bypassing the API bypasses validation, audit and events.</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IS-07</w:t>
            </w:r>
          </w:p>
        </w:tc>
        <w:tc>
          <w:tcPr>
            <w:tcW w:type="dxa" w:w="4694"/>
            <w:tcMar>
              <w:top w:type="dxa" w:w="60"/>
              <w:left w:type="dxa" w:w="100"/>
              <w:bottom w:type="dxa" w:w="60"/>
              <w:right w:type="dxa" w:w="100"/>
            </w:tcMar>
            <w:vAlign w:val="center"/>
          </w:tcPr>
          <w:p>
            <w:pPr>
              <w:spacing w:after="20" w:before="20"/>
            </w:pPr>
            <w:r>
              <w:rPr>
                <w:sz w:val="20"/>
                <w:szCs w:val="20"/>
              </w:rPr>
              <w:t xml:space="preserve">A module never contains a per-customer code branch.</w:t>
            </w:r>
          </w:p>
        </w:tc>
        <w:tc>
          <w:tcPr>
            <w:tcW w:type="dxa" w:w="3610"/>
            <w:tcMar>
              <w:top w:type="dxa" w:w="60"/>
              <w:left w:type="dxa" w:w="100"/>
              <w:bottom w:type="dxa" w:w="60"/>
              <w:right w:type="dxa" w:w="100"/>
            </w:tcMar>
            <w:vAlign w:val="center"/>
          </w:tcPr>
          <w:p>
            <w:pPr>
              <w:spacing w:after="20" w:before="20"/>
            </w:pPr>
            <w:r>
              <w:rPr>
                <w:sz w:val="20"/>
                <w:szCs w:val="20"/>
              </w:rPr>
              <w:t xml:space="preserve">AP-006. Customer variation is configuration.</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IS-08</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A module never extends an evidentiary object.</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ER-06. Evidence must remain exactly what the platform sealed.</w:t>
            </w:r>
          </w:p>
        </w:tc>
      </w:tr>
    </w:tbl>
    <w:p>
      <w:pPr>
        <w:pStyle w:val="Heading2"/>
        <w:spacing w:after="120" w:before="260"/>
      </w:pPr>
      <w:r>
        <w:rPr>
          <w:b/>
          <w:bCs/>
          <w:color w:val="2E74B5"/>
          <w:sz w:val="25"/>
          <w:szCs w:val="25"/>
        </w:rPr>
        <w:t xml:space="preserve">5.2 Prohibited practices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3430"/>
        <w:gridCol w:w="3249"/>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Prohibited</w:t>
            </w:r>
          </w:p>
        </w:tc>
        <w:tc>
          <w:tcPr>
            <w:tcW w:type="dxa" w:w="343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Why it is refused</w:t>
            </w:r>
          </w:p>
        </w:tc>
        <w:tc>
          <w:tcPr>
            <w:tcW w:type="dxa" w:w="324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Correct approach</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Defining a business entity in a module</w:t>
            </w:r>
          </w:p>
        </w:tc>
        <w:tc>
          <w:tcPr>
            <w:tcW w:type="dxa" w:w="3430"/>
            <w:tcMar>
              <w:top w:type="dxa" w:w="60"/>
              <w:left w:type="dxa" w:w="100"/>
              <w:bottom w:type="dxa" w:w="60"/>
              <w:right w:type="dxa" w:w="100"/>
            </w:tcMar>
            <w:vAlign w:val="center"/>
          </w:tcPr>
          <w:p>
            <w:pPr>
              <w:spacing w:after="20" w:before="20"/>
            </w:pPr>
            <w:r>
              <w:rPr>
                <w:sz w:val="20"/>
                <w:szCs w:val="20"/>
              </w:rPr>
              <w:t xml:space="preserve">Violates AP-001. Two definitions of one concept destroy reporting and integration.</w:t>
            </w:r>
          </w:p>
        </w:tc>
        <w:tc>
          <w:tcPr>
            <w:tcW w:type="dxa" w:w="3249"/>
            <w:tcMar>
              <w:top w:type="dxa" w:w="60"/>
              <w:left w:type="dxa" w:w="100"/>
              <w:bottom w:type="dxa" w:w="60"/>
              <w:right w:type="dxa" w:w="100"/>
            </w:tcMar>
            <w:vAlign w:val="center"/>
          </w:tcPr>
          <w:p>
            <w:pPr>
              <w:spacing w:after="20" w:before="20"/>
            </w:pPr>
            <w:r>
              <w:rPr>
                <w:sz w:val="20"/>
                <w:szCs w:val="20"/>
              </w:rPr>
              <w:t xml:space="preserve">Add the object to PDS-05 with a hosting domain.</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Implementing approval logic in a module</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Violates AP-002 and GR-006.</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Define a workflow and supply step handlers.</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Writing an authorization check in a module</w:t>
            </w:r>
          </w:p>
        </w:tc>
        <w:tc>
          <w:tcPr>
            <w:tcW w:type="dxa" w:w="3430"/>
            <w:tcMar>
              <w:top w:type="dxa" w:w="60"/>
              <w:left w:type="dxa" w:w="100"/>
              <w:bottom w:type="dxa" w:w="60"/>
              <w:right w:type="dxa" w:w="100"/>
            </w:tcMar>
            <w:vAlign w:val="center"/>
          </w:tcPr>
          <w:p>
            <w:pPr>
              <w:spacing w:after="20" w:before="20"/>
            </w:pPr>
            <w:r>
              <w:rPr>
                <w:sz w:val="20"/>
                <w:szCs w:val="20"/>
              </w:rPr>
              <w:t xml:space="preserve">Violates centralized enforcement.</w:t>
            </w:r>
          </w:p>
        </w:tc>
        <w:tc>
          <w:tcPr>
            <w:tcW w:type="dxa" w:w="3249"/>
            <w:tcMar>
              <w:top w:type="dxa" w:w="60"/>
              <w:left w:type="dxa" w:w="100"/>
              <w:bottom w:type="dxa" w:w="60"/>
              <w:right w:type="dxa" w:w="100"/>
            </w:tcMar>
            <w:vAlign w:val="center"/>
          </w:tcPr>
          <w:p>
            <w:pPr>
              <w:spacing w:after="20" w:before="20"/>
            </w:pPr>
            <w:r>
              <w:rPr>
                <w:sz w:val="20"/>
                <w:szCs w:val="20"/>
              </w:rPr>
              <w:t xml:space="preserve">Declare the permission and call PS-001 Authorize.</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Hardcoding a mandatory field</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Violates EP-002 and BR-023.</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Declare classification; call PS-014 Validate.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Building a module-specific report screen</w:t>
            </w:r>
          </w:p>
        </w:tc>
        <w:tc>
          <w:tcPr>
            <w:tcW w:type="dxa" w:w="3430"/>
            <w:tcMar>
              <w:top w:type="dxa" w:w="60"/>
              <w:left w:type="dxa" w:w="100"/>
              <w:bottom w:type="dxa" w:w="60"/>
              <w:right w:type="dxa" w:w="100"/>
            </w:tcMar>
            <w:vAlign w:val="center"/>
          </w:tcPr>
          <w:p>
            <w:pPr>
              <w:spacing w:after="20" w:before="20"/>
            </w:pPr>
            <w:r>
              <w:rPr>
                <w:sz w:val="20"/>
                <w:szCs w:val="20"/>
              </w:rPr>
              <w:t xml:space="preserve">Violates the unified reporting principle.</w:t>
            </w:r>
          </w:p>
        </w:tc>
        <w:tc>
          <w:tcPr>
            <w:tcW w:type="dxa" w:w="3249"/>
            <w:tcMar>
              <w:top w:type="dxa" w:w="60"/>
              <w:left w:type="dxa" w:w="100"/>
              <w:bottom w:type="dxa" w:w="60"/>
              <w:right w:type="dxa" w:w="100"/>
            </w:tcMar>
            <w:vAlign w:val="center"/>
          </w:tcPr>
          <w:p>
            <w:pPr>
              <w:spacing w:after="20" w:before="20"/>
            </w:pPr>
            <w:r>
              <w:rPr>
                <w:sz w:val="20"/>
                <w:szCs w:val="20"/>
              </w:rPr>
              <w:t xml:space="preserve">Register a reporting data source and define a report.</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Querying a transactional table for analytics</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Violates BR-018 and BR-175.</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Use the reporting framework query surface.</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Handling a reader or camera protocol in a module</w:t>
            </w:r>
          </w:p>
        </w:tc>
        <w:tc>
          <w:tcPr>
            <w:tcW w:type="dxa" w:w="3430"/>
            <w:tcMar>
              <w:top w:type="dxa" w:w="60"/>
              <w:left w:type="dxa" w:w="100"/>
              <w:bottom w:type="dxa" w:w="60"/>
              <w:right w:type="dxa" w:w="100"/>
            </w:tcMar>
            <w:vAlign w:val="center"/>
          </w:tcPr>
          <w:p>
            <w:pPr>
              <w:spacing w:after="20" w:before="20"/>
            </w:pPr>
            <w:r>
              <w:rPr>
                <w:sz w:val="20"/>
                <w:szCs w:val="20"/>
              </w:rPr>
              <w:t xml:space="preserve">Violates layering. Protocols change independently of business logic.</w:t>
            </w:r>
          </w:p>
        </w:tc>
        <w:tc>
          <w:tcPr>
            <w:tcW w:type="dxa" w:w="3249"/>
            <w:tcMar>
              <w:top w:type="dxa" w:w="60"/>
              <w:left w:type="dxa" w:w="100"/>
              <w:bottom w:type="dxa" w:w="60"/>
              <w:right w:type="dxa" w:w="100"/>
            </w:tcMar>
            <w:vAlign w:val="center"/>
          </w:tcPr>
          <w:p>
            <w:pPr>
              <w:spacing w:after="20" w:before="20"/>
            </w:pPr>
            <w:r>
              <w:rPr>
                <w:sz w:val="20"/>
                <w:szCs w:val="20"/>
              </w:rPr>
              <w:t xml:space="preserve">Consume a Layer 3 connector through PS-012.</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Storing files outside PS-017</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Breaks retention, quota and integrity verification.</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Use PS-009 and PS-017.</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Publishing an undeclared event</w:t>
            </w:r>
          </w:p>
        </w:tc>
        <w:tc>
          <w:tcPr>
            <w:tcW w:type="dxa" w:w="3430"/>
            <w:tcMar>
              <w:top w:type="dxa" w:w="60"/>
              <w:left w:type="dxa" w:w="100"/>
              <w:bottom w:type="dxa" w:w="60"/>
              <w:right w:type="dxa" w:w="100"/>
            </w:tcMar>
            <w:vAlign w:val="center"/>
          </w:tcPr>
          <w:p>
            <w:pPr>
              <w:spacing w:after="20" w:before="20"/>
            </w:pPr>
            <w:r>
              <w:rPr>
                <w:sz w:val="20"/>
                <w:szCs w:val="20"/>
              </w:rPr>
              <w:t xml:space="preserve">Consumers cannot be reasoned about.</w:t>
            </w:r>
          </w:p>
        </w:tc>
        <w:tc>
          <w:tcPr>
            <w:tcW w:type="dxa" w:w="3249"/>
            <w:tcMar>
              <w:top w:type="dxa" w:w="60"/>
              <w:left w:type="dxa" w:w="100"/>
              <w:bottom w:type="dxa" w:w="60"/>
              <w:right w:type="dxa" w:w="100"/>
            </w:tcMar>
            <w:vAlign w:val="center"/>
          </w:tcPr>
          <w:p>
            <w:pPr>
              <w:spacing w:after="20" w:before="20"/>
            </w:pPr>
            <w:r>
              <w:rPr>
                <w:sz w:val="20"/>
                <w:szCs w:val="20"/>
              </w:rPr>
              <w:t xml:space="preserve">Declare the event in the manifest and PDS-04.</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Adding a required column to a host object</w:t>
            </w:r>
          </w:p>
        </w:tc>
        <w:tc>
          <w:tcPr>
            <w:tcW w:type="dxa" w:w="3430"/>
            <w:shd w:fill="F2F2F2" w:color="auto" w:val="clear"/>
            <w:tcMar>
              <w:top w:type="dxa" w:w="60"/>
              <w:left w:type="dxa" w:w="100"/>
              <w:bottom w:type="dxa" w:w="60"/>
              <w:right w:type="dxa" w:w="100"/>
            </w:tcMar>
            <w:vAlign w:val="center"/>
          </w:tcPr>
          <w:p>
            <w:pPr>
              <w:spacing w:after="20" w:before="20"/>
            </w:pPr>
            <w:r>
              <w:rPr>
                <w:sz w:val="20"/>
                <w:szCs w:val="20"/>
              </w:rPr>
              <w:t xml:space="preserve">Breaks progressive adoption for every other tenant.</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Contribute a namespaced extension, classified Capability-Dependent.</w:t>
            </w:r>
          </w:p>
        </w:tc>
      </w:tr>
    </w:tbl>
    <w:p>
      <w:r>
        <w:br w:type="page"/>
      </w:r>
    </w:p>
    <w:p>
      <w:pPr>
        <w:pStyle w:val="Heading1"/>
        <w:spacing w:after="160" w:before="320"/>
      </w:pPr>
      <w:r>
        <w:rPr>
          <w:b/>
          <w:bCs/>
          <w:color w:val="1F4E79"/>
          <w:sz w:val="30"/>
          <w:szCs w:val="30"/>
        </w:rPr>
        <w:t xml:space="preserve">6. Conformance Test Suite</w:t>
      </w:r>
    </w:p>
    <w:p>
      <w:pPr>
        <w:spacing w:after="120" w:before="0"/>
      </w:pPr>
      <w:r>
        <w:t xml:space="preserve">A module is not releasable until it passes every test below. The suite is executable and runs in continuous integration against a reference tenant, not reviewed by inspection alone.</w:t>
      </w:r>
    </w:p>
    <w:p>
      <w:pPr>
        <w:pStyle w:val="Heading2"/>
        <w:spacing w:after="120" w:before="260"/>
      </w:pPr>
      <w:r>
        <w:rPr>
          <w:b/>
          <w:bCs/>
          <w:color w:val="2E74B5"/>
          <w:sz w:val="25"/>
          <w:szCs w:val="25"/>
        </w:rPr>
        <w:t xml:space="preserve">6.1 Manifest and registration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4694"/>
        <w:gridCol w:w="3610"/>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469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Test</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Expected</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CT-01</w:t>
            </w:r>
          </w:p>
        </w:tc>
        <w:tc>
          <w:tcPr>
            <w:tcW w:type="dxa" w:w="4694"/>
            <w:tcMar>
              <w:top w:type="dxa" w:w="60"/>
              <w:left w:type="dxa" w:w="100"/>
              <w:bottom w:type="dxa" w:w="60"/>
              <w:right w:type="dxa" w:w="100"/>
            </w:tcMar>
            <w:vAlign w:val="center"/>
          </w:tcPr>
          <w:p>
            <w:pPr>
              <w:spacing w:after="20" w:before="20"/>
            </w:pPr>
            <w:r>
              <w:rPr>
                <w:sz w:val="20"/>
                <w:szCs w:val="20"/>
              </w:rPr>
              <w:t xml:space="preserve">Register with a capability identifier absent from PDS-02.</w:t>
            </w:r>
          </w:p>
        </w:tc>
        <w:tc>
          <w:tcPr>
            <w:tcW w:type="dxa" w:w="3610"/>
            <w:tcMar>
              <w:top w:type="dxa" w:w="60"/>
              <w:left w:type="dxa" w:w="100"/>
              <w:bottom w:type="dxa" w:w="60"/>
              <w:right w:type="dxa" w:w="100"/>
            </w:tcMar>
            <w:vAlign w:val="center"/>
          </w:tcPr>
          <w:p>
            <w:pPr>
              <w:spacing w:after="20" w:before="20"/>
            </w:pPr>
            <w:r>
              <w:rPr>
                <w:sz w:val="20"/>
                <w:szCs w:val="20"/>
              </w:rPr>
              <w:t xml:space="preserve">Registration refused with CapabilityUnknown.</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CT-02</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Register with a permission code already declared by another module.</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Refused with NamespaceCollision.</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CT-03</w:t>
            </w:r>
          </w:p>
        </w:tc>
        <w:tc>
          <w:tcPr>
            <w:tcW w:type="dxa" w:w="4694"/>
            <w:tcMar>
              <w:top w:type="dxa" w:w="60"/>
              <w:left w:type="dxa" w:w="100"/>
              <w:bottom w:type="dxa" w:w="60"/>
              <w:right w:type="dxa" w:w="100"/>
            </w:tcMar>
            <w:vAlign w:val="center"/>
          </w:tcPr>
          <w:p>
            <w:pPr>
              <w:spacing w:after="20" w:before="20"/>
            </w:pPr>
            <w:r>
              <w:rPr>
                <w:sz w:val="20"/>
                <w:szCs w:val="20"/>
              </w:rPr>
              <w:t xml:space="preserve">Register claiming to host an object already hosted elsewhere.</w:t>
            </w:r>
          </w:p>
        </w:tc>
        <w:tc>
          <w:tcPr>
            <w:tcW w:type="dxa" w:w="3610"/>
            <w:tcMar>
              <w:top w:type="dxa" w:w="60"/>
              <w:left w:type="dxa" w:w="100"/>
              <w:bottom w:type="dxa" w:w="60"/>
              <w:right w:type="dxa" w:w="100"/>
            </w:tcMar>
            <w:vAlign w:val="center"/>
          </w:tcPr>
          <w:p>
            <w:pPr>
              <w:spacing w:after="20" w:before="20"/>
            </w:pPr>
            <w:r>
              <w:rPr>
                <w:sz w:val="20"/>
                <w:szCs w:val="20"/>
              </w:rPr>
              <w:t xml:space="preserve">Refused with HostingConflict.</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CT-04</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Register an extension on an evidentiary object.</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Refused with EvidentiaryObjectClosed.</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CT-05</w:t>
            </w:r>
          </w:p>
        </w:tc>
        <w:tc>
          <w:tcPr>
            <w:tcW w:type="dxa" w:w="4694"/>
            <w:tcMar>
              <w:top w:type="dxa" w:w="60"/>
              <w:left w:type="dxa" w:w="100"/>
              <w:bottom w:type="dxa" w:w="60"/>
              <w:right w:type="dxa" w:w="100"/>
            </w:tcMar>
            <w:vAlign w:val="center"/>
          </w:tcPr>
          <w:p>
            <w:pPr>
              <w:spacing w:after="20" w:before="20"/>
            </w:pPr>
            <w:r>
              <w:rPr>
                <w:sz w:val="20"/>
                <w:szCs w:val="20"/>
              </w:rPr>
              <w:t xml:space="preserve">Register a reporting source pointing at a transactional table.</w:t>
            </w:r>
          </w:p>
        </w:tc>
        <w:tc>
          <w:tcPr>
            <w:tcW w:type="dxa" w:w="3610"/>
            <w:tcMar>
              <w:top w:type="dxa" w:w="60"/>
              <w:left w:type="dxa" w:w="100"/>
              <w:bottom w:type="dxa" w:w="60"/>
              <w:right w:type="dxa" w:w="100"/>
            </w:tcMar>
            <w:vAlign w:val="center"/>
          </w:tcPr>
          <w:p>
            <w:pPr>
              <w:spacing w:after="20" w:before="20"/>
            </w:pPr>
            <w:r>
              <w:rPr>
                <w:sz w:val="20"/>
                <w:szCs w:val="20"/>
              </w:rPr>
              <w:t xml:space="preserve">Refused with TransactionalSourceRejected.</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CT-06</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Register with a mandatory connector and no declared degradation.</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Refused.</w:t>
            </w:r>
          </w:p>
        </w:tc>
      </w:tr>
    </w:tbl>
    <w:p>
      <w:pPr>
        <w:pStyle w:val="Heading2"/>
        <w:spacing w:after="120" w:before="260"/>
      </w:pPr>
      <w:r>
        <w:rPr>
          <w:b/>
          <w:bCs/>
          <w:color w:val="2E74B5"/>
          <w:sz w:val="25"/>
          <w:szCs w:val="25"/>
        </w:rPr>
        <w:t xml:space="preserve">6.2 Minimal tenant behavior</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4694"/>
        <w:gridCol w:w="3610"/>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469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Test</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Expected</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CT-10</w:t>
            </w:r>
          </w:p>
        </w:tc>
        <w:tc>
          <w:tcPr>
            <w:tcW w:type="dxa" w:w="4694"/>
            <w:tcMar>
              <w:top w:type="dxa" w:w="60"/>
              <w:left w:type="dxa" w:w="100"/>
              <w:bottom w:type="dxa" w:w="60"/>
              <w:right w:type="dxa" w:w="100"/>
            </w:tcMar>
            <w:vAlign w:val="center"/>
          </w:tcPr>
          <w:p>
            <w:pPr>
              <w:spacing w:after="20" w:before="20"/>
            </w:pPr>
            <w:r>
              <w:rPr>
                <w:sz w:val="20"/>
                <w:szCs w:val="20"/>
              </w:rPr>
              <w:t xml:space="preserve">Install the module alone on a tenant with only the Core Platform.</w:t>
            </w:r>
          </w:p>
        </w:tc>
        <w:tc>
          <w:tcPr>
            <w:tcW w:type="dxa" w:w="3610"/>
            <w:tcMar>
              <w:top w:type="dxa" w:w="60"/>
              <w:left w:type="dxa" w:w="100"/>
              <w:bottom w:type="dxa" w:w="60"/>
              <w:right w:type="dxa" w:w="100"/>
            </w:tcMar>
            <w:vAlign w:val="center"/>
          </w:tcPr>
          <w:p>
            <w:pPr>
              <w:spacing w:after="20" w:before="20"/>
            </w:pPr>
            <w:r>
              <w:rPr>
                <w:sz w:val="20"/>
                <w:szCs w:val="20"/>
              </w:rPr>
              <w:t xml:space="preserve">Module is fully operable. No other module required.</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CT-11</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Create every object the module works with, supplying only Required attributes.</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Creation succeeds. No capability-dependent field is demanded.</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CT-12</w:t>
            </w:r>
          </w:p>
        </w:tc>
        <w:tc>
          <w:tcPr>
            <w:tcW w:type="dxa" w:w="4694"/>
            <w:tcMar>
              <w:top w:type="dxa" w:w="60"/>
              <w:left w:type="dxa" w:w="100"/>
              <w:bottom w:type="dxa" w:w="60"/>
              <w:right w:type="dxa" w:w="100"/>
            </w:tcMar>
            <w:vAlign w:val="center"/>
          </w:tcPr>
          <w:p>
            <w:pPr>
              <w:spacing w:after="20" w:before="20"/>
            </w:pPr>
            <w:r>
              <w:rPr>
                <w:sz w:val="20"/>
                <w:szCs w:val="20"/>
              </w:rPr>
              <w:t xml:space="preserve">Disable every optional connector, including any ERP.</w:t>
            </w:r>
          </w:p>
        </w:tc>
        <w:tc>
          <w:tcPr>
            <w:tcW w:type="dxa" w:w="3610"/>
            <w:tcMar>
              <w:top w:type="dxa" w:w="60"/>
              <w:left w:type="dxa" w:w="100"/>
              <w:bottom w:type="dxa" w:w="60"/>
              <w:right w:type="dxa" w:w="100"/>
            </w:tcMar>
            <w:vAlign w:val="center"/>
          </w:tcPr>
          <w:p>
            <w:pPr>
              <w:spacing w:after="20" w:before="20"/>
            </w:pPr>
            <w:r>
              <w:rPr>
                <w:sz w:val="20"/>
                <w:szCs w:val="20"/>
              </w:rPr>
              <w:t xml:space="preserve">Module functions. Degradation is explicit and safe.</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CT-13</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Operate with warehouse structure disabled.</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No storage location is requested anywhere in the module.</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CT-14</w:t>
            </w:r>
          </w:p>
        </w:tc>
        <w:tc>
          <w:tcPr>
            <w:tcW w:type="dxa" w:w="4694"/>
            <w:tcMar>
              <w:top w:type="dxa" w:w="60"/>
              <w:left w:type="dxa" w:w="100"/>
              <w:bottom w:type="dxa" w:w="60"/>
              <w:right w:type="dxa" w:w="100"/>
            </w:tcMar>
            <w:vAlign w:val="center"/>
          </w:tcPr>
          <w:p>
            <w:pPr>
              <w:spacing w:after="20" w:before="20"/>
            </w:pPr>
            <w:r>
              <w:rPr>
                <w:sz w:val="20"/>
                <w:szCs w:val="20"/>
              </w:rPr>
              <w:t xml:space="preserve">Operate with RFID disabled.</w:t>
            </w:r>
          </w:p>
        </w:tc>
        <w:tc>
          <w:tcPr>
            <w:tcW w:type="dxa" w:w="3610"/>
            <w:tcMar>
              <w:top w:type="dxa" w:w="60"/>
              <w:left w:type="dxa" w:w="100"/>
              <w:bottom w:type="dxa" w:w="60"/>
              <w:right w:type="dxa" w:w="100"/>
            </w:tcMar>
            <w:vAlign w:val="center"/>
          </w:tcPr>
          <w:p>
            <w:pPr>
              <w:spacing w:after="20" w:before="20"/>
            </w:pPr>
            <w:r>
              <w:rPr>
                <w:sz w:val="20"/>
                <w:szCs w:val="20"/>
              </w:rPr>
              <w:t xml:space="preserve">No tag field appears and no tag is demanded.</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CT-15</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Operate with Visual Asset Intelligence disabled.</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No coordinate or floor plan is requested.</w:t>
            </w:r>
          </w:p>
        </w:tc>
      </w:tr>
    </w:tbl>
    <w:p>
      <w:pPr>
        <w:pStyle w:val="Heading2"/>
        <w:spacing w:after="120" w:before="260"/>
      </w:pPr>
      <w:r>
        <w:rPr>
          <w:b/>
          <w:bCs/>
          <w:color w:val="2E74B5"/>
          <w:sz w:val="25"/>
          <w:szCs w:val="25"/>
        </w:rPr>
        <w:t xml:space="preserve">6.3 Capability and validation behavior</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4694"/>
        <w:gridCol w:w="3610"/>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469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Test</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Expected</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CT-20</w:t>
            </w:r>
          </w:p>
        </w:tc>
        <w:tc>
          <w:tcPr>
            <w:tcW w:type="dxa" w:w="4694"/>
            <w:tcMar>
              <w:top w:type="dxa" w:w="60"/>
              <w:left w:type="dxa" w:w="100"/>
              <w:bottom w:type="dxa" w:w="60"/>
              <w:right w:type="dxa" w:w="100"/>
            </w:tcMar>
            <w:vAlign w:val="center"/>
          </w:tcPr>
          <w:p>
            <w:pPr>
              <w:spacing w:after="20" w:before="20"/>
            </w:pPr>
            <w:r>
              <w:rPr>
                <w:sz w:val="20"/>
                <w:szCs w:val="20"/>
              </w:rPr>
              <w:t xml:space="preserve">Enable a capability, create records, disable it, then read those records.</w:t>
            </w:r>
          </w:p>
        </w:tc>
        <w:tc>
          <w:tcPr>
            <w:tcW w:type="dxa" w:w="3610"/>
            <w:tcMar>
              <w:top w:type="dxa" w:w="60"/>
              <w:left w:type="dxa" w:w="100"/>
              <w:bottom w:type="dxa" w:w="60"/>
              <w:right w:type="dxa" w:w="100"/>
            </w:tcMar>
            <w:vAlign w:val="center"/>
          </w:tcPr>
          <w:p>
            <w:pPr>
              <w:spacing w:after="20" w:before="20"/>
            </w:pPr>
            <w:r>
              <w:rPr>
                <w:sz w:val="20"/>
                <w:szCs w:val="20"/>
              </w:rPr>
              <w:t xml:space="preserve">Data retained and readable. No validation error on read.</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CT-21</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Re-enable the capability.</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Fields reappear with the previously captured values intact.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CT-22</w:t>
            </w:r>
          </w:p>
        </w:tc>
        <w:tc>
          <w:tcPr>
            <w:tcW w:type="dxa" w:w="4694"/>
            <w:tcMar>
              <w:top w:type="dxa" w:w="60"/>
              <w:left w:type="dxa" w:w="100"/>
              <w:bottom w:type="dxa" w:w="60"/>
              <w:right w:type="dxa" w:w="100"/>
            </w:tcMar>
            <w:vAlign w:val="center"/>
          </w:tcPr>
          <w:p>
            <w:pPr>
              <w:spacing w:after="20" w:before="20"/>
            </w:pPr>
            <w:r>
              <w:rPr>
                <w:sz w:val="20"/>
                <w:szCs w:val="20"/>
              </w:rPr>
              <w:t xml:space="preserve">Disable a capability and inspect every screen the module contributes.</w:t>
            </w:r>
          </w:p>
        </w:tc>
        <w:tc>
          <w:tcPr>
            <w:tcW w:type="dxa" w:w="3610"/>
            <w:tcMar>
              <w:top w:type="dxa" w:w="60"/>
              <w:left w:type="dxa" w:w="100"/>
              <w:bottom w:type="dxa" w:w="60"/>
              <w:right w:type="dxa" w:w="100"/>
            </w:tcMar>
            <w:vAlign w:val="center"/>
          </w:tcPr>
          <w:p>
            <w:pPr>
              <w:spacing w:after="20" w:before="20"/>
            </w:pPr>
            <w:r>
              <w:rPr>
                <w:sz w:val="20"/>
                <w:szCs w:val="20"/>
              </w:rPr>
              <w:t xml:space="preserve">No field belonging to that capability is rendered, not even disabled or greyed.</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CT-23</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Set a validation profile entry raising a capability-dependent field to Required.</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The field becomes mandatory in the interface and the API simultaneously.</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CT-24</w:t>
            </w:r>
          </w:p>
        </w:tc>
        <w:tc>
          <w:tcPr>
            <w:tcW w:type="dxa" w:w="4694"/>
            <w:tcMar>
              <w:top w:type="dxa" w:w="60"/>
              <w:left w:type="dxa" w:w="100"/>
              <w:bottom w:type="dxa" w:w="60"/>
              <w:right w:type="dxa" w:w="100"/>
            </w:tcMar>
            <w:vAlign w:val="center"/>
          </w:tcPr>
          <w:p>
            <w:pPr>
              <w:spacing w:after="20" w:before="20"/>
            </w:pPr>
            <w:r>
              <w:rPr>
                <w:sz w:val="20"/>
                <w:szCs w:val="20"/>
              </w:rPr>
              <w:t xml:space="preserve">Attempt to relax a PDS-05 Required attribute through a profile entry.</w:t>
            </w:r>
          </w:p>
        </w:tc>
        <w:tc>
          <w:tcPr>
            <w:tcW w:type="dxa" w:w="3610"/>
            <w:tcMar>
              <w:top w:type="dxa" w:w="60"/>
              <w:left w:type="dxa" w:w="100"/>
              <w:bottom w:type="dxa" w:w="60"/>
              <w:right w:type="dxa" w:w="100"/>
            </w:tcMar>
            <w:vAlign w:val="center"/>
          </w:tcPr>
          <w:p>
            <w:pPr>
              <w:spacing w:after="20" w:before="20"/>
            </w:pPr>
            <w:r>
              <w:rPr>
                <w:sz w:val="20"/>
                <w:szCs w:val="20"/>
              </w:rPr>
              <w:t xml:space="preserve">Refused with CannotRelaxRequired.</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CT-25</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Trigger a validation failure.</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The message names the capability or profile entry that created the obligation.</w:t>
            </w:r>
          </w:p>
        </w:tc>
      </w:tr>
    </w:tbl>
    <w:p>
      <w:pPr>
        <w:pStyle w:val="Heading2"/>
        <w:spacing w:after="120" w:before="260"/>
      </w:pPr>
      <w:r>
        <w:rPr>
          <w:b/>
          <w:bCs/>
          <w:color w:val="2E74B5"/>
          <w:sz w:val="25"/>
          <w:szCs w:val="25"/>
        </w:rPr>
        <w:t xml:space="preserve">6.4 Isolation and platform consumption</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4694"/>
        <w:gridCol w:w="3610"/>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469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Test</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Expected</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CT-30</w:t>
            </w:r>
          </w:p>
        </w:tc>
        <w:tc>
          <w:tcPr>
            <w:tcW w:type="dxa" w:w="4694"/>
            <w:tcMar>
              <w:top w:type="dxa" w:w="60"/>
              <w:left w:type="dxa" w:w="100"/>
              <w:bottom w:type="dxa" w:w="60"/>
              <w:right w:type="dxa" w:w="100"/>
            </w:tcMar>
            <w:vAlign w:val="center"/>
          </w:tcPr>
          <w:p>
            <w:pPr>
              <w:spacing w:after="20" w:before="20"/>
            </w:pPr>
            <w:r>
              <w:rPr>
                <w:sz w:val="20"/>
                <w:szCs w:val="20"/>
              </w:rPr>
              <w:t xml:space="preserve">Static analysis for direct database access outside the module own schema.</w:t>
            </w:r>
          </w:p>
        </w:tc>
        <w:tc>
          <w:tcPr>
            <w:tcW w:type="dxa" w:w="3610"/>
            <w:tcMar>
              <w:top w:type="dxa" w:w="60"/>
              <w:left w:type="dxa" w:w="100"/>
              <w:bottom w:type="dxa" w:w="60"/>
              <w:right w:type="dxa" w:w="100"/>
            </w:tcMar>
            <w:vAlign w:val="center"/>
          </w:tcPr>
          <w:p>
            <w:pPr>
              <w:spacing w:after="20" w:before="20"/>
            </w:pPr>
            <w:r>
              <w:rPr>
                <w:sz w:val="20"/>
                <w:szCs w:val="20"/>
              </w:rPr>
              <w:t xml:space="preserve">None found.</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CT-31</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Static analysis for authorization decisions outside PS-001.</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None found.</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CT-32</w:t>
            </w:r>
          </w:p>
        </w:tc>
        <w:tc>
          <w:tcPr>
            <w:tcW w:type="dxa" w:w="4694"/>
            <w:tcMar>
              <w:top w:type="dxa" w:w="60"/>
              <w:left w:type="dxa" w:w="100"/>
              <w:bottom w:type="dxa" w:w="60"/>
              <w:right w:type="dxa" w:w="100"/>
            </w:tcMar>
            <w:vAlign w:val="center"/>
          </w:tcPr>
          <w:p>
            <w:pPr>
              <w:spacing w:after="20" w:before="20"/>
            </w:pPr>
            <w:r>
              <w:rPr>
                <w:sz w:val="20"/>
                <w:szCs w:val="20"/>
              </w:rPr>
              <w:t xml:space="preserve">Static analysis for approval, notification, audit, search or numbering implementations.</w:t>
            </w:r>
          </w:p>
        </w:tc>
        <w:tc>
          <w:tcPr>
            <w:tcW w:type="dxa" w:w="3610"/>
            <w:tcMar>
              <w:top w:type="dxa" w:w="60"/>
              <w:left w:type="dxa" w:w="100"/>
              <w:bottom w:type="dxa" w:w="60"/>
              <w:right w:type="dxa" w:w="100"/>
            </w:tcMar>
            <w:vAlign w:val="center"/>
          </w:tcPr>
          <w:p>
            <w:pPr>
              <w:spacing w:after="20" w:before="20"/>
            </w:pPr>
            <w:r>
              <w:rPr>
                <w:sz w:val="20"/>
                <w:szCs w:val="20"/>
              </w:rPr>
              <w:t xml:space="preserve">None found.</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CT-33</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Attempt to publish an event absent from the manifest.</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Refused with EventNotDeclared.</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CT-34</w:t>
            </w:r>
          </w:p>
        </w:tc>
        <w:tc>
          <w:tcPr>
            <w:tcW w:type="dxa" w:w="4694"/>
            <w:tcMar>
              <w:top w:type="dxa" w:w="60"/>
              <w:left w:type="dxa" w:w="100"/>
              <w:bottom w:type="dxa" w:w="60"/>
              <w:right w:type="dxa" w:w="100"/>
            </w:tcMar>
            <w:vAlign w:val="center"/>
          </w:tcPr>
          <w:p>
            <w:pPr>
              <w:spacing w:after="20" w:before="20"/>
            </w:pPr>
            <w:r>
              <w:rPr>
                <w:sz w:val="20"/>
                <w:szCs w:val="20"/>
              </w:rPr>
              <w:t xml:space="preserve">Submit the same operation twice with one idempotency key.</w:t>
            </w:r>
          </w:p>
        </w:tc>
        <w:tc>
          <w:tcPr>
            <w:tcW w:type="dxa" w:w="3610"/>
            <w:tcMar>
              <w:top w:type="dxa" w:w="60"/>
              <w:left w:type="dxa" w:w="100"/>
              <w:bottom w:type="dxa" w:w="60"/>
              <w:right w:type="dxa" w:w="100"/>
            </w:tcMar>
            <w:vAlign w:val="center"/>
          </w:tcPr>
          <w:p>
            <w:pPr>
              <w:spacing w:after="20" w:before="20"/>
            </w:pPr>
            <w:r>
              <w:rPr>
                <w:sz w:val="20"/>
                <w:szCs w:val="20"/>
              </w:rPr>
              <w:t xml:space="preserve">Exactly one business record created.</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CT-35</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Remove the module and inspect every host object it extended.</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Host objects intact. Only namespaced extensions removed, after export.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CT-36</w:t>
            </w:r>
          </w:p>
        </w:tc>
        <w:tc>
          <w:tcPr>
            <w:tcW w:type="dxa" w:w="4694"/>
            <w:tcMar>
              <w:top w:type="dxa" w:w="60"/>
              <w:left w:type="dxa" w:w="100"/>
              <w:bottom w:type="dxa" w:w="60"/>
              <w:right w:type="dxa" w:w="100"/>
            </w:tcMar>
            <w:vAlign w:val="center"/>
          </w:tcPr>
          <w:p>
            <w:pPr>
              <w:spacing w:after="20" w:before="20"/>
            </w:pPr>
            <w:r>
              <w:rPr>
                <w:sz w:val="20"/>
                <w:szCs w:val="20"/>
              </w:rPr>
              <w:t xml:space="preserve">Install two modules that extend the same host object.</w:t>
            </w:r>
          </w:p>
        </w:tc>
        <w:tc>
          <w:tcPr>
            <w:tcW w:type="dxa" w:w="3610"/>
            <w:tcMar>
              <w:top w:type="dxa" w:w="60"/>
              <w:left w:type="dxa" w:w="100"/>
              <w:bottom w:type="dxa" w:w="60"/>
              <w:right w:type="dxa" w:w="100"/>
            </w:tcMar>
            <w:vAlign w:val="center"/>
          </w:tcPr>
          <w:p>
            <w:pPr>
              <w:spacing w:after="20" w:before="20"/>
            </w:pPr>
            <w:r>
              <w:rPr>
                <w:sz w:val="20"/>
                <w:szCs w:val="20"/>
              </w:rPr>
              <w:t xml:space="preserve">Both extensions coexist. Neither references the other.</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CT-37</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Read as an actor without scope for the records involved.</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No record returned, not even a redacted row.</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CT-38</w:t>
            </w:r>
          </w:p>
        </w:tc>
        <w:tc>
          <w:tcPr>
            <w:tcW w:type="dxa" w:w="4694"/>
            <w:tcMar>
              <w:top w:type="dxa" w:w="60"/>
              <w:left w:type="dxa" w:w="100"/>
              <w:bottom w:type="dxa" w:w="60"/>
              <w:right w:type="dxa" w:w="100"/>
            </w:tcMar>
            <w:vAlign w:val="center"/>
          </w:tcPr>
          <w:p>
            <w:pPr>
              <w:spacing w:after="20" w:before="20"/>
            </w:pPr>
            <w:r>
              <w:rPr>
                <w:sz w:val="20"/>
                <w:szCs w:val="20"/>
              </w:rPr>
              <w:t xml:space="preserve">Perform a state change and inspect the audit log.</w:t>
            </w:r>
          </w:p>
        </w:tc>
        <w:tc>
          <w:tcPr>
            <w:tcW w:type="dxa" w:w="3610"/>
            <w:tcMar>
              <w:top w:type="dxa" w:w="60"/>
              <w:left w:type="dxa" w:w="100"/>
              <w:bottom w:type="dxa" w:w="60"/>
              <w:right w:type="dxa" w:w="100"/>
            </w:tcMar>
            <w:vAlign w:val="center"/>
          </w:tcPr>
          <w:p>
            <w:pPr>
              <w:spacing w:after="20" w:before="20"/>
            </w:pPr>
            <w:r>
              <w:rPr>
                <w:sz w:val="20"/>
                <w:szCs w:val="20"/>
              </w:rPr>
              <w:t xml:space="preserve">An audit record exists with actor, source, timestamp and changed fields, without the module writing it.</w:t>
            </w:r>
          </w:p>
        </w:tc>
      </w:tr>
    </w:tbl>
    <w:p>
      <w:pPr>
        <w:pStyle w:val="Heading2"/>
        <w:spacing w:after="120" w:before="260"/>
      </w:pPr>
      <w:r>
        <w:rPr>
          <w:b/>
          <w:bCs/>
          <w:color w:val="2E74B5"/>
          <w:sz w:val="25"/>
          <w:szCs w:val="25"/>
        </w:rPr>
        <w:t xml:space="preserve">6.5 Non-functional conformance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4694"/>
        <w:gridCol w:w="3610"/>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469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Test</w:t>
            </w:r>
          </w:p>
        </w:tc>
        <w:tc>
          <w:tcPr>
            <w:tcW w:type="dxa" w:w="361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Expected</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CT-40</w:t>
            </w:r>
          </w:p>
        </w:tc>
        <w:tc>
          <w:tcPr>
            <w:tcW w:type="dxa" w:w="4694"/>
            <w:tcMar>
              <w:top w:type="dxa" w:w="60"/>
              <w:left w:type="dxa" w:w="100"/>
              <w:bottom w:type="dxa" w:w="60"/>
              <w:right w:type="dxa" w:w="100"/>
            </w:tcMar>
            <w:vAlign w:val="center"/>
          </w:tcPr>
          <w:p>
            <w:pPr>
              <w:spacing w:after="20" w:before="20"/>
            </w:pPr>
            <w:r>
              <w:rPr>
                <w:sz w:val="20"/>
                <w:szCs w:val="20"/>
              </w:rPr>
              <w:t xml:space="preserve">Operate a handheld flow with connectivity interrupted mid-operation.</w:t>
            </w:r>
          </w:p>
        </w:tc>
        <w:tc>
          <w:tcPr>
            <w:tcW w:type="dxa" w:w="3610"/>
            <w:tcMar>
              <w:top w:type="dxa" w:w="60"/>
              <w:left w:type="dxa" w:w="100"/>
              <w:bottom w:type="dxa" w:w="60"/>
              <w:right w:type="dxa" w:w="100"/>
            </w:tcMar>
            <w:vAlign w:val="center"/>
          </w:tcPr>
          <w:p>
            <w:pPr>
              <w:spacing w:after="20" w:before="20"/>
            </w:pPr>
            <w:r>
              <w:rPr>
                <w:sz w:val="20"/>
                <w:szCs w:val="20"/>
              </w:rPr>
              <w:t xml:space="preserve">Store-and-forward completes; no duplicate and no lost record.</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CT-41</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Run the module interface in an Arabic locale.</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Full mirroring. Latin identifiers isolated and correctly rendered.</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CT-42</w:t>
            </w:r>
          </w:p>
        </w:tc>
        <w:tc>
          <w:tcPr>
            <w:tcW w:type="dxa" w:w="4694"/>
            <w:tcMar>
              <w:top w:type="dxa" w:w="60"/>
              <w:left w:type="dxa" w:w="100"/>
              <w:bottom w:type="dxa" w:w="60"/>
              <w:right w:type="dxa" w:w="100"/>
            </w:tcMar>
            <w:vAlign w:val="center"/>
          </w:tcPr>
          <w:p>
            <w:pPr>
              <w:spacing w:after="20" w:before="20"/>
            </w:pPr>
            <w:r>
              <w:rPr>
                <w:sz w:val="20"/>
                <w:szCs w:val="20"/>
              </w:rPr>
              <w:t xml:space="preserve">Run every list the module contributes.</w:t>
            </w:r>
          </w:p>
        </w:tc>
        <w:tc>
          <w:tcPr>
            <w:tcW w:type="dxa" w:w="3610"/>
            <w:tcMar>
              <w:top w:type="dxa" w:w="60"/>
              <w:left w:type="dxa" w:w="100"/>
              <w:bottom w:type="dxa" w:w="60"/>
              <w:right w:type="dxa" w:w="100"/>
            </w:tcMar>
            <w:vAlign w:val="center"/>
          </w:tcPr>
          <w:p>
            <w:pPr>
              <w:spacing w:after="20" w:before="20"/>
            </w:pPr>
            <w:r>
              <w:rPr>
                <w:sz w:val="20"/>
                <w:szCs w:val="20"/>
              </w:rPr>
              <w:t xml:space="preserve">Filtering, export and saved views available on all of them.</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CT-43</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Measure the common task path.</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No more than three clicks to complete a common task.</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CT-44</w:t>
            </w:r>
          </w:p>
        </w:tc>
        <w:tc>
          <w:tcPr>
            <w:tcW w:type="dxa" w:w="4694"/>
            <w:tcMar>
              <w:top w:type="dxa" w:w="60"/>
              <w:left w:type="dxa" w:w="100"/>
              <w:bottom w:type="dxa" w:w="60"/>
              <w:right w:type="dxa" w:w="100"/>
            </w:tcMar>
            <w:vAlign w:val="center"/>
          </w:tcPr>
          <w:p>
            <w:pPr>
              <w:spacing w:after="20" w:before="20"/>
            </w:pPr>
            <w:r>
              <w:rPr>
                <w:sz w:val="20"/>
                <w:szCs w:val="20"/>
              </w:rPr>
              <w:t xml:space="preserve">Exercise the module under the reference load profile.</w:t>
            </w:r>
          </w:p>
        </w:tc>
        <w:tc>
          <w:tcPr>
            <w:tcW w:type="dxa" w:w="3610"/>
            <w:tcMar>
              <w:top w:type="dxa" w:w="60"/>
              <w:left w:type="dxa" w:w="100"/>
              <w:bottom w:type="dxa" w:w="60"/>
              <w:right w:type="dxa" w:w="100"/>
            </w:tcMar>
            <w:vAlign w:val="center"/>
          </w:tcPr>
          <w:p>
            <w:pPr>
              <w:spacing w:after="20" w:before="20"/>
            </w:pPr>
            <w:r>
              <w:rPr>
                <w:sz w:val="20"/>
                <w:szCs w:val="20"/>
              </w:rPr>
              <w:t xml:space="preserve">Platform service level targets in PDS-07 are not degraded.</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CT-45</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Upgrade the module to the next version.</w:t>
            </w:r>
          </w:p>
        </w:tc>
        <w:tc>
          <w:tcPr>
            <w:tcW w:type="dxa" w:w="3610"/>
            <w:shd w:fill="F2F2F2" w:color="auto" w:val="clear"/>
            <w:tcMar>
              <w:top w:type="dxa" w:w="60"/>
              <w:left w:type="dxa" w:w="100"/>
              <w:bottom w:type="dxa" w:w="60"/>
              <w:right w:type="dxa" w:w="100"/>
            </w:tcMar>
            <w:vAlign w:val="center"/>
          </w:tcPr>
          <w:p>
            <w:pPr>
              <w:spacing w:after="20" w:before="20"/>
            </w:pPr>
            <w:r>
              <w:rPr>
                <w:sz w:val="20"/>
                <w:szCs w:val="20"/>
              </w:rPr>
              <w:t xml:space="preserve">Additive. No data migration and no downtime for a conforming upgrade.</w:t>
            </w:r>
          </w:p>
        </w:tc>
      </w:tr>
    </w:tbl>
    <w:p>
      <w:pPr>
        <w:pStyle w:val="Heading2"/>
        <w:spacing w:after="120" w:before="260"/>
      </w:pPr>
      <w:r>
        <w:rPr>
          <w:b/>
          <w:bCs/>
          <w:color w:val="2E74B5"/>
          <w:sz w:val="25"/>
          <w:szCs w:val="25"/>
        </w:rPr>
        <w:t xml:space="preserve">6.6 Certification levels</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4694"/>
        <w:gridCol w:w="2346"/>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Level</w:t>
            </w:r>
          </w:p>
        </w:tc>
        <w:tc>
          <w:tcPr>
            <w:tcW w:type="dxa" w:w="4694"/>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Requirement</w:t>
            </w:r>
          </w:p>
        </w:tc>
        <w:tc>
          <w:tcPr>
            <w:tcW w:type="dxa" w:w="234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Who may hold it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Core</w:t>
            </w:r>
          </w:p>
        </w:tc>
        <w:tc>
          <w:tcPr>
            <w:tcW w:type="dxa" w:w="4694"/>
            <w:tcMar>
              <w:top w:type="dxa" w:w="60"/>
              <w:left w:type="dxa" w:w="100"/>
              <w:bottom w:type="dxa" w:w="60"/>
              <w:right w:type="dxa" w:w="100"/>
            </w:tcMar>
            <w:vAlign w:val="center"/>
          </w:tcPr>
          <w:p>
            <w:pPr>
              <w:spacing w:after="20" w:before="20"/>
            </w:pPr>
            <w:r>
              <w:rPr>
                <w:sz w:val="20"/>
                <w:szCs w:val="20"/>
              </w:rPr>
              <w:t xml:space="preserve">Every test in sections 6.1 to 6.5 passes. Built by Trangant.</w:t>
            </w:r>
          </w:p>
        </w:tc>
        <w:tc>
          <w:tcPr>
            <w:tcW w:type="dxa" w:w="2346"/>
            <w:tcMar>
              <w:top w:type="dxa" w:w="60"/>
              <w:left w:type="dxa" w:w="100"/>
              <w:bottom w:type="dxa" w:w="60"/>
              <w:right w:type="dxa" w:w="100"/>
            </w:tcMar>
            <w:vAlign w:val="center"/>
          </w:tcPr>
          <w:p>
            <w:pPr>
              <w:spacing w:after="20" w:before="20"/>
            </w:pPr>
            <w:r>
              <w:rPr>
                <w:sz w:val="20"/>
                <w:szCs w:val="20"/>
              </w:rPr>
              <w:t xml:space="preserve">Release 1 modules.</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Certified Partner</w:t>
            </w:r>
          </w:p>
        </w:tc>
        <w:tc>
          <w:tcPr>
            <w:tcW w:type="dxa" w:w="4694"/>
            <w:shd w:fill="F2F2F2" w:color="auto" w:val="clear"/>
            <w:tcMar>
              <w:top w:type="dxa" w:w="60"/>
              <w:left w:type="dxa" w:w="100"/>
              <w:bottom w:type="dxa" w:w="60"/>
              <w:right w:type="dxa" w:w="100"/>
            </w:tcMar>
            <w:vAlign w:val="center"/>
          </w:tcPr>
          <w:p>
            <w:pPr>
              <w:spacing w:after="20" w:before="20"/>
            </w:pPr>
            <w:r>
              <w:rPr>
                <w:sz w:val="20"/>
                <w:szCs w:val="20"/>
              </w:rPr>
              <w:t xml:space="preserve">Every test passes. Manifest reviewed by the Chief Architect. Security review completed.</w:t>
            </w:r>
          </w:p>
        </w:tc>
        <w:tc>
          <w:tcPr>
            <w:tcW w:type="dxa" w:w="2346"/>
            <w:shd w:fill="F2F2F2" w:color="auto" w:val="clear"/>
            <w:tcMar>
              <w:top w:type="dxa" w:w="60"/>
              <w:left w:type="dxa" w:w="100"/>
              <w:bottom w:type="dxa" w:w="60"/>
              <w:right w:type="dxa" w:w="100"/>
            </w:tcMar>
            <w:vAlign w:val="center"/>
          </w:tcPr>
          <w:p>
            <w:pPr>
              <w:spacing w:after="20" w:before="20"/>
            </w:pPr>
            <w:r>
              <w:rPr>
                <w:sz w:val="20"/>
                <w:szCs w:val="20"/>
              </w:rPr>
              <w:t xml:space="preserve">Partner modules distributed through the marketplace.</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Sandbox</w:t>
            </w:r>
          </w:p>
        </w:tc>
        <w:tc>
          <w:tcPr>
            <w:tcW w:type="dxa" w:w="4694"/>
            <w:tcMar>
              <w:top w:type="dxa" w:w="60"/>
              <w:left w:type="dxa" w:w="100"/>
              <w:bottom w:type="dxa" w:w="60"/>
              <w:right w:type="dxa" w:w="100"/>
            </w:tcMar>
            <w:vAlign w:val="center"/>
          </w:tcPr>
          <w:p>
            <w:pPr>
              <w:spacing w:after="20" w:before="20"/>
            </w:pPr>
            <w:r>
              <w:rPr>
                <w:sz w:val="20"/>
                <w:szCs w:val="20"/>
              </w:rPr>
              <w:t xml:space="preserve">Sections 6.1 and 6.4 pass. Restricted to non-production tenants and to a read-only scope on host objects.</w:t>
            </w:r>
          </w:p>
        </w:tc>
        <w:tc>
          <w:tcPr>
            <w:tcW w:type="dxa" w:w="2346"/>
            <w:tcMar>
              <w:top w:type="dxa" w:w="60"/>
              <w:left w:type="dxa" w:w="100"/>
              <w:bottom w:type="dxa" w:w="60"/>
              <w:right w:type="dxa" w:w="100"/>
            </w:tcMar>
            <w:vAlign w:val="center"/>
          </w:tcPr>
          <w:p>
            <w:pPr>
              <w:spacing w:after="20" w:before="20"/>
            </w:pPr>
            <w:r>
              <w:rPr>
                <w:sz w:val="20"/>
                <w:szCs w:val="20"/>
              </w:rPr>
              <w:t xml:space="preserve">Modules under development or evaluation.</w:t>
            </w:r>
          </w:p>
        </w:tc>
      </w:tr>
    </w:tbl>
    <w:p>
      <w:r>
        <w:br w:type="page"/>
      </w:r>
    </w:p>
    <w:p>
      <w:pPr>
        <w:pStyle w:val="Heading1"/>
        <w:spacing w:after="160" w:before="320"/>
      </w:pPr>
      <w:r>
        <w:rPr>
          <w:b/>
          <w:bCs/>
          <w:color w:val="1F4E79"/>
          <w:sz w:val="30"/>
          <w:szCs w:val="30"/>
        </w:rPr>
        <w:t xml:space="preserve">7. Partner and Marketplace Considerations</w:t>
      </w:r>
    </w:p>
    <w:p>
      <w:pPr>
        <w:spacing w:after="120" w:before="0"/>
      </w:pPr>
      <w:r>
        <w:t xml:space="preserve">Maturity level L4 introduces a partner software development kit and L5 a marketplace. The framework is designed for that from the start, because retrofitting isolation into a platform that never had it is not practical.</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1986"/>
        <w:gridCol w:w="7040"/>
      </w:tblGrid>
      <w:tr>
        <w:trPr>
          <w:tblHeader/>
        </w:trPr>
        <w:tc>
          <w:tcPr>
            <w:tcW w:type="dxa" w:w="198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Concern</w:t>
            </w:r>
          </w:p>
        </w:tc>
        <w:tc>
          <w:tcPr>
            <w:tcW w:type="dxa" w:w="7040"/>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Position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What a partner may build</w:t>
            </w:r>
          </w:p>
        </w:tc>
        <w:tc>
          <w:tcPr>
            <w:tcW w:type="dxa" w:w="7040"/>
            <w:tcMar>
              <w:top w:type="dxa" w:w="60"/>
              <w:left w:type="dxa" w:w="100"/>
              <w:bottom w:type="dxa" w:w="60"/>
              <w:right w:type="dxa" w:w="100"/>
            </w:tcMar>
            <w:vAlign w:val="center"/>
          </w:tcPr>
          <w:p>
            <w:pPr>
              <w:spacing w:after="20" w:before="20"/>
            </w:pPr>
            <w:r>
              <w:rPr>
                <w:sz w:val="20"/>
                <w:szCs w:val="20"/>
              </w:rPr>
              <w:t xml:space="preserve">A module implementing capabilities in PDS-02, or new capabilities added to PDS-02 by agreement. Never a new domain.</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What a partner may never do</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Host a shared business object, implement a platform concern, read another module data, or extend an evidentiary object.</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Data access</w:t>
            </w:r>
          </w:p>
        </w:tc>
        <w:tc>
          <w:tcPr>
            <w:tcW w:type="dxa" w:w="7040"/>
            <w:tcMar>
              <w:top w:type="dxa" w:w="60"/>
              <w:left w:type="dxa" w:w="100"/>
              <w:bottom w:type="dxa" w:w="60"/>
              <w:right w:type="dxa" w:w="100"/>
            </w:tcMar>
            <w:vAlign w:val="center"/>
          </w:tcPr>
          <w:p>
            <w:pPr>
              <w:spacing w:after="20" w:before="20"/>
            </w:pPr>
            <w:r>
              <w:rPr>
                <w:sz w:val="20"/>
                <w:szCs w:val="20"/>
              </w:rPr>
              <w:t xml:space="preserve">Only through published APIs and events, under an API Client confined to an explicit scope set and data scope.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Extension namespace</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Allocated per vendor, so that two partners can extend the same object without collision.</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Certification</w:t>
            </w:r>
          </w:p>
        </w:tc>
        <w:tc>
          <w:tcPr>
            <w:tcW w:type="dxa" w:w="7040"/>
            <w:tcMar>
              <w:top w:type="dxa" w:w="60"/>
              <w:left w:type="dxa" w:w="100"/>
              <w:bottom w:type="dxa" w:w="60"/>
              <w:right w:type="dxa" w:w="100"/>
            </w:tcMar>
            <w:vAlign w:val="center"/>
          </w:tcPr>
          <w:p>
            <w:pPr>
              <w:spacing w:after="20" w:before="20"/>
            </w:pPr>
            <w:r>
              <w:rPr>
                <w:sz w:val="20"/>
                <w:szCs w:val="20"/>
              </w:rPr>
              <w:t xml:space="preserve">Certified Partner level required for marketplace distribution, including a security review.</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Revocation</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 partner module can be disabled per tenant with immediate effect, retaining data, and removed without damaging host objects.</w:t>
            </w:r>
          </w:p>
        </w:tc>
      </w:tr>
      <w:tr>
        <w:trPr>
          <w:cantSplit/>
        </w:trPr>
        <w:tc>
          <w:tcPr>
            <w:tcW w:type="dxa" w:w="1986"/>
            <w:tcMar>
              <w:top w:type="dxa" w:w="60"/>
              <w:left w:type="dxa" w:w="100"/>
              <w:bottom w:type="dxa" w:w="60"/>
              <w:right w:type="dxa" w:w="100"/>
            </w:tcMar>
            <w:vAlign w:val="center"/>
          </w:tcPr>
          <w:p>
            <w:pPr>
              <w:spacing w:after="20" w:before="20"/>
            </w:pPr>
            <w:r>
              <w:rPr>
                <w:sz w:val="20"/>
                <w:szCs w:val="20"/>
              </w:rPr>
              <w:t xml:space="preserve">Support boundary</w:t>
            </w:r>
          </w:p>
        </w:tc>
        <w:tc>
          <w:tcPr>
            <w:tcW w:type="dxa" w:w="7040"/>
            <w:tcMar>
              <w:top w:type="dxa" w:w="60"/>
              <w:left w:type="dxa" w:w="100"/>
              <w:bottom w:type="dxa" w:w="60"/>
              <w:right w:type="dxa" w:w="100"/>
            </w:tcMar>
            <w:vAlign w:val="center"/>
          </w:tcPr>
          <w:p>
            <w:pPr>
              <w:spacing w:after="20" w:before="20"/>
            </w:pPr>
            <w:r>
              <w:rPr>
                <w:sz w:val="20"/>
                <w:szCs w:val="20"/>
              </w:rPr>
              <w:t xml:space="preserve">The manifest support contact is surfaced in the interface for any error originating in a partner module.</w:t>
            </w:r>
          </w:p>
        </w:tc>
      </w:tr>
      <w:tr>
        <w:trPr>
          <w:cantSplit/>
        </w:trPr>
        <w:tc>
          <w:tcPr>
            <w:tcW w:type="dxa" w:w="1986"/>
            <w:shd w:fill="F2F2F2" w:color="auto" w:val="clear"/>
            <w:tcMar>
              <w:top w:type="dxa" w:w="60"/>
              <w:left w:type="dxa" w:w="100"/>
              <w:bottom w:type="dxa" w:w="60"/>
              <w:right w:type="dxa" w:w="100"/>
            </w:tcMar>
            <w:vAlign w:val="center"/>
          </w:tcPr>
          <w:p>
            <w:pPr>
              <w:spacing w:after="20" w:before="20"/>
            </w:pPr>
            <w:r>
              <w:rPr>
                <w:sz w:val="20"/>
                <w:szCs w:val="20"/>
              </w:rPr>
              <w:t xml:space="preserve">Liability for evidence</w:t>
            </w:r>
          </w:p>
        </w:tc>
        <w:tc>
          <w:tcPr>
            <w:tcW w:type="dxa" w:w="7040"/>
            <w:shd w:fill="F2F2F2" w:color="auto" w:val="clear"/>
            <w:tcMar>
              <w:top w:type="dxa" w:w="60"/>
              <w:left w:type="dxa" w:w="100"/>
              <w:bottom w:type="dxa" w:w="60"/>
              <w:right w:type="dxa" w:w="100"/>
            </w:tcMar>
            <w:vAlign w:val="center"/>
          </w:tcPr>
          <w:p>
            <w:pPr>
              <w:spacing w:after="20" w:before="20"/>
            </w:pPr>
            <w:r>
              <w:rPr>
                <w:sz w:val="20"/>
                <w:szCs w:val="20"/>
              </w:rPr>
              <w:t xml:space="preserve">A partner module may read evidence under audit, and may never create, seal, alter or extend it.</w:t>
            </w:r>
          </w:p>
        </w:tc>
      </w:tr>
    </w:tbl>
    <w:p>
      <w:r>
        <w:br w:type="page"/>
      </w:r>
    </w:p>
    <w:p>
      <w:pPr>
        <w:pStyle w:val="Heading1"/>
        <w:spacing w:after="160" w:before="320"/>
      </w:pPr>
      <w:r>
        <w:rPr>
          <w:b/>
          <w:bCs/>
          <w:color w:val="1F4E79"/>
          <w:sz w:val="30"/>
          <w:szCs w:val="30"/>
        </w:rPr>
        <w:t xml:space="preserve">8. Governance and Verification</w:t>
      </w:r>
    </w:p>
    <w:p>
      <w:pPr>
        <w:pStyle w:val="Heading2"/>
        <w:spacing w:after="120" w:before="260"/>
      </w:pPr>
      <w:r>
        <w:rPr>
          <w:b/>
          <w:bCs/>
          <w:color w:val="2E74B5"/>
          <w:sz w:val="25"/>
          <w:szCs w:val="25"/>
        </w:rPr>
        <w:t xml:space="preserve">8.1 Governance</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2347"/>
        <w:gridCol w:w="4513"/>
        <w:gridCol w:w="2166"/>
      </w:tblGrid>
      <w:tr>
        <w:trPr>
          <w:tblHeader/>
        </w:trPr>
        <w:tc>
          <w:tcPr>
            <w:tcW w:type="dxa" w:w="2347"/>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Change type</w:t>
            </w:r>
          </w:p>
        </w:tc>
        <w:tc>
          <w:tcPr>
            <w:tcW w:type="dxa" w:w="4513"/>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Mechanism</w:t>
            </w:r>
          </w:p>
        </w:tc>
        <w:tc>
          <w:tcPr>
            <w:tcW w:type="dxa" w:w="2166"/>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Approval</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New module</w:t>
            </w:r>
          </w:p>
        </w:tc>
        <w:tc>
          <w:tcPr>
            <w:tcW w:type="dxa" w:w="4513"/>
            <w:tcMar>
              <w:top w:type="dxa" w:w="60"/>
              <w:left w:type="dxa" w:w="100"/>
              <w:bottom w:type="dxa" w:w="60"/>
              <w:right w:type="dxa" w:w="100"/>
            </w:tcMar>
            <w:vAlign w:val="center"/>
          </w:tcPr>
          <w:p>
            <w:pPr>
              <w:spacing w:after="20" w:before="20"/>
            </w:pPr>
            <w:r>
              <w:rPr>
                <w:sz w:val="20"/>
                <w:szCs w:val="20"/>
              </w:rPr>
              <w:t xml:space="preserve">Manifest submitted, validated and certified. Registered in PDS-02 module mapping.</w:t>
            </w:r>
          </w:p>
        </w:tc>
        <w:tc>
          <w:tcPr>
            <w:tcW w:type="dxa" w:w="2166"/>
            <w:tcMar>
              <w:top w:type="dxa" w:w="60"/>
              <w:left w:type="dxa" w:w="100"/>
              <w:bottom w:type="dxa" w:w="60"/>
              <w:right w:type="dxa" w:w="100"/>
            </w:tcMar>
            <w:vAlign w:val="center"/>
          </w:tcPr>
          <w:p>
            <w:pPr>
              <w:spacing w:after="20" w:before="20"/>
            </w:pPr>
            <w:r>
              <w:rPr>
                <w:sz w:val="20"/>
                <w:szCs w:val="20"/>
              </w:rPr>
              <w:t xml:space="preserve">Product Owner and Chief Architect</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New capability required by a module</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Added to PDS-02 and assigned to a subdomain in PDS-04 first.</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New extension attribute</w:t>
            </w:r>
          </w:p>
        </w:tc>
        <w:tc>
          <w:tcPr>
            <w:tcW w:type="dxa" w:w="4513"/>
            <w:tcMar>
              <w:top w:type="dxa" w:w="60"/>
              <w:left w:type="dxa" w:w="100"/>
              <w:bottom w:type="dxa" w:w="60"/>
              <w:right w:type="dxa" w:w="100"/>
            </w:tcMar>
            <w:vAlign w:val="center"/>
          </w:tcPr>
          <w:p>
            <w:pPr>
              <w:spacing w:after="20" w:before="20"/>
            </w:pPr>
            <w:r>
              <w:rPr>
                <w:sz w:val="20"/>
                <w:szCs w:val="20"/>
              </w:rPr>
              <w:t xml:space="preserve">Declared in the manifest and recorded in PDS-05 section 3.7.</w:t>
            </w:r>
          </w:p>
        </w:tc>
        <w:tc>
          <w:tcPr>
            <w:tcW w:type="dxa" w:w="2166"/>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Declared dependency on another module</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Requires justification and an Architecture Decision Record, because it weakens independent licensing.</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Chief Architect and Product Owner</w:t>
            </w:r>
          </w:p>
        </w:tc>
      </w:tr>
      <w:tr>
        <w:trPr>
          <w:cantSplit/>
        </w:trPr>
        <w:tc>
          <w:tcPr>
            <w:tcW w:type="dxa" w:w="2347"/>
            <w:tcMar>
              <w:top w:type="dxa" w:w="60"/>
              <w:left w:type="dxa" w:w="100"/>
              <w:bottom w:type="dxa" w:w="60"/>
              <w:right w:type="dxa" w:w="100"/>
            </w:tcMar>
            <w:vAlign w:val="center"/>
          </w:tcPr>
          <w:p>
            <w:pPr>
              <w:spacing w:after="20" w:before="20"/>
            </w:pPr>
            <w:r>
              <w:rPr>
                <w:sz w:val="20"/>
                <w:szCs w:val="20"/>
              </w:rPr>
              <w:t xml:space="preserve">Deviation from an isolation rule</w:t>
            </w:r>
          </w:p>
        </w:tc>
        <w:tc>
          <w:tcPr>
            <w:tcW w:type="dxa" w:w="4513"/>
            <w:tcMar>
              <w:top w:type="dxa" w:w="60"/>
              <w:left w:type="dxa" w:w="100"/>
              <w:bottom w:type="dxa" w:w="60"/>
              <w:right w:type="dxa" w:w="100"/>
            </w:tcMar>
            <w:vAlign w:val="center"/>
          </w:tcPr>
          <w:p>
            <w:pPr>
              <w:spacing w:after="20" w:before="20"/>
            </w:pPr>
            <w:r>
              <w:rPr>
                <w:sz w:val="20"/>
                <w:szCs w:val="20"/>
              </w:rPr>
              <w:t xml:space="preserve">Architecture Decision Record in PDS-14. Expected to be refused.</w:t>
            </w:r>
          </w:p>
        </w:tc>
        <w:tc>
          <w:tcPr>
            <w:tcW w:type="dxa" w:w="2166"/>
            <w:tcMar>
              <w:top w:type="dxa" w:w="60"/>
              <w:left w:type="dxa" w:w="100"/>
              <w:bottom w:type="dxa" w:w="60"/>
              <w:right w:type="dxa" w:w="100"/>
            </w:tcMar>
            <w:vAlign w:val="center"/>
          </w:tcPr>
          <w:p>
            <w:pPr>
              <w:spacing w:after="20" w:before="20"/>
            </w:pPr>
            <w:r>
              <w:rPr>
                <w:sz w:val="20"/>
                <w:szCs w:val="20"/>
              </w:rPr>
              <w:t xml:space="preserve">Chief Architect</w:t>
            </w:r>
          </w:p>
        </w:tc>
      </w:tr>
      <w:tr>
        <w:trPr>
          <w:cantSplit/>
        </w:trPr>
        <w:tc>
          <w:tcPr>
            <w:tcW w:type="dxa" w:w="2347"/>
            <w:shd w:fill="F2F2F2" w:color="auto" w:val="clear"/>
            <w:tcMar>
              <w:top w:type="dxa" w:w="60"/>
              <w:left w:type="dxa" w:w="100"/>
              <w:bottom w:type="dxa" w:w="60"/>
              <w:right w:type="dxa" w:w="100"/>
            </w:tcMar>
            <w:vAlign w:val="center"/>
          </w:tcPr>
          <w:p>
            <w:pPr>
              <w:spacing w:after="20" w:before="20"/>
            </w:pPr>
            <w:r>
              <w:rPr>
                <w:sz w:val="20"/>
                <w:szCs w:val="20"/>
              </w:rPr>
              <w:t xml:space="preserve">New conformance test</w:t>
            </w:r>
          </w:p>
        </w:tc>
        <w:tc>
          <w:tcPr>
            <w:tcW w:type="dxa" w:w="4513"/>
            <w:shd w:fill="F2F2F2" w:color="auto" w:val="clear"/>
            <w:tcMar>
              <w:top w:type="dxa" w:w="60"/>
              <w:left w:type="dxa" w:w="100"/>
              <w:bottom w:type="dxa" w:w="60"/>
              <w:right w:type="dxa" w:w="100"/>
            </w:tcMar>
            <w:vAlign w:val="center"/>
          </w:tcPr>
          <w:p>
            <w:pPr>
              <w:spacing w:after="20" w:before="20"/>
            </w:pPr>
            <w:r>
              <w:rPr>
                <w:sz w:val="20"/>
                <w:szCs w:val="20"/>
              </w:rPr>
              <w:t xml:space="preserve">Minor version of this document. Applied to new modules immediately and to existing modules at their next release.</w:t>
            </w:r>
          </w:p>
        </w:tc>
        <w:tc>
          <w:tcPr>
            <w:tcW w:type="dxa" w:w="2166"/>
            <w:shd w:fill="F2F2F2" w:color="auto" w:val="clear"/>
            <w:tcMar>
              <w:top w:type="dxa" w:w="60"/>
              <w:left w:type="dxa" w:w="100"/>
              <w:bottom w:type="dxa" w:w="60"/>
              <w:right w:type="dxa" w:w="100"/>
            </w:tcMar>
            <w:vAlign w:val="center"/>
          </w:tcPr>
          <w:p>
            <w:pPr>
              <w:spacing w:after="20" w:before="20"/>
            </w:pPr>
            <w:r>
              <w:rPr>
                <w:sz w:val="20"/>
                <w:szCs w:val="20"/>
              </w:rPr>
              <w:t xml:space="preserve">QA Lead and Chief Architect</w:t>
            </w:r>
          </w:p>
        </w:tc>
      </w:tr>
    </w:tbl>
    <w:p>
      <w:pPr>
        <w:pStyle w:val="Heading2"/>
        <w:spacing w:after="120" w:before="260"/>
      </w:pPr>
      <w:r>
        <w:rPr>
          <w:b/>
          <w:bCs/>
          <w:color w:val="2E74B5"/>
          <w:sz w:val="25"/>
          <w:szCs w:val="25"/>
        </w:rPr>
        <w:t xml:space="preserve">8.2 Verification checklist</w:t>
      </w:r>
    </w:p>
    <w:tbl>
      <w:tblPr>
        <w:tblW w:type="dxa" w:w="9026"/>
        <w:tblBorders>
          <w:top w:val="single" w:color="BFBFBF" w:sz="4"/>
          <w:left w:val="single" w:color="BFBFBF" w:sz="4"/>
          <w:bottom w:val="single" w:color="BFBFBF" w:sz="4"/>
          <w:right w:val="single" w:color="BFBFBF" w:sz="4"/>
          <w:insideH w:val="single" w:color="D9D9D9" w:sz="2"/>
          <w:insideV w:val="single" w:color="D9D9D9" w:sz="2"/>
        </w:tblBorders>
      </w:tblPr>
      <w:tblGrid>
        <w:gridCol w:w="722"/>
        <w:gridCol w:w="5055"/>
        <w:gridCol w:w="3249"/>
      </w:tblGrid>
      <w:tr>
        <w:trPr>
          <w:tblHeader/>
        </w:trPr>
        <w:tc>
          <w:tcPr>
            <w:tcW w:type="dxa" w:w="722"/>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w:t>
            </w:r>
          </w:p>
        </w:tc>
        <w:tc>
          <w:tcPr>
            <w:tcW w:type="dxa" w:w="5055"/>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Check</w:t>
            </w:r>
          </w:p>
        </w:tc>
        <w:tc>
          <w:tcPr>
            <w:tcW w:type="dxa" w:w="3249"/>
            <w:shd w:fill="1F4E79" w:color="auto" w:val="clear"/>
            <w:tcMar>
              <w:top w:type="dxa" w:w="60"/>
              <w:left w:type="dxa" w:w="100"/>
              <w:bottom w:type="dxa" w:w="60"/>
              <w:right w:type="dxa" w:w="100"/>
            </w:tcMar>
            <w:vAlign w:val="center"/>
          </w:tcPr>
          <w:p>
            <w:pPr>
              <w:spacing w:after="20" w:before="20"/>
            </w:pPr>
            <w:r>
              <w:rPr>
                <w:b/>
                <w:bCs/>
                <w:color w:val="FFFFFF"/>
                <w:sz w:val="20"/>
                <w:szCs w:val="20"/>
              </w:rPr>
              <w:t xml:space="preserve">Result</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V-01</w:t>
            </w:r>
          </w:p>
        </w:tc>
        <w:tc>
          <w:tcPr>
            <w:tcW w:type="dxa" w:w="5055"/>
            <w:tcMar>
              <w:top w:type="dxa" w:w="60"/>
              <w:left w:type="dxa" w:w="100"/>
              <w:bottom w:type="dxa" w:w="60"/>
              <w:right w:type="dxa" w:w="100"/>
            </w:tcMar>
            <w:vAlign w:val="center"/>
          </w:tcPr>
          <w:p>
            <w:pPr>
              <w:spacing w:after="20" w:before="20"/>
            </w:pPr>
            <w:r>
              <w:rPr>
                <w:sz w:val="20"/>
                <w:szCs w:val="20"/>
              </w:rPr>
              <w:t xml:space="preserve">Every manifest section is validated against a named source document.</w:t>
            </w:r>
          </w:p>
        </w:tc>
        <w:tc>
          <w:tcPr>
            <w:tcW w:type="dxa" w:w="3249"/>
            <w:tcMar>
              <w:top w:type="dxa" w:w="60"/>
              <w:left w:type="dxa" w:w="100"/>
              <w:bottom w:type="dxa" w:w="60"/>
              <w:right w:type="dxa" w:w="100"/>
            </w:tcMar>
            <w:vAlign w:val="center"/>
          </w:tcPr>
          <w:p>
            <w:pPr>
              <w:spacing w:after="20" w:before="20"/>
            </w:pPr>
            <w:r>
              <w:rPr>
                <w:sz w:val="20"/>
                <w:szCs w:val="20"/>
              </w:rPr>
              <w:t xml:space="preserve">Pass — section 3.1</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V-02</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The lifecycle states the effect on data at every transition.</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 — section 4.2</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V-03</w:t>
            </w:r>
          </w:p>
        </w:tc>
        <w:tc>
          <w:tcPr>
            <w:tcW w:type="dxa" w:w="5055"/>
            <w:tcMar>
              <w:top w:type="dxa" w:w="60"/>
              <w:left w:type="dxa" w:w="100"/>
              <w:bottom w:type="dxa" w:w="60"/>
              <w:right w:type="dxa" w:w="100"/>
            </w:tcMar>
            <w:vAlign w:val="center"/>
          </w:tcPr>
          <w:p>
            <w:pPr>
              <w:spacing w:after="20" w:before="20"/>
            </w:pPr>
            <w:r>
              <w:rPr>
                <w:sz w:val="20"/>
                <w:szCs w:val="20"/>
              </w:rPr>
              <w:t xml:space="preserve">Disabling and removal never delete host data.</w:t>
            </w:r>
          </w:p>
        </w:tc>
        <w:tc>
          <w:tcPr>
            <w:tcW w:type="dxa" w:w="3249"/>
            <w:tcMar>
              <w:top w:type="dxa" w:w="60"/>
              <w:left w:type="dxa" w:w="100"/>
              <w:bottom w:type="dxa" w:w="60"/>
              <w:right w:type="dxa" w:w="100"/>
            </w:tcMar>
            <w:vAlign w:val="center"/>
          </w:tcPr>
          <w:p>
            <w:pPr>
              <w:spacing w:after="20" w:before="20"/>
            </w:pPr>
            <w:r>
              <w:rPr>
                <w:sz w:val="20"/>
                <w:szCs w:val="20"/>
              </w:rPr>
              <w:t xml:space="preserve">Pass — section 4.3, CT-20, CT-35</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V-04</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Every consumption rule in PDS-07 section 5 has a conformance test.</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 — CT-30 to CT-38</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V-05</w:t>
            </w:r>
          </w:p>
        </w:tc>
        <w:tc>
          <w:tcPr>
            <w:tcW w:type="dxa" w:w="5055"/>
            <w:tcMar>
              <w:top w:type="dxa" w:w="60"/>
              <w:left w:type="dxa" w:w="100"/>
              <w:bottom w:type="dxa" w:w="60"/>
              <w:right w:type="dxa" w:w="100"/>
            </w:tcMar>
            <w:vAlign w:val="center"/>
          </w:tcPr>
          <w:p>
            <w:pPr>
              <w:spacing w:after="20" w:before="20"/>
            </w:pPr>
            <w:r>
              <w:rPr>
                <w:sz w:val="20"/>
                <w:szCs w:val="20"/>
              </w:rPr>
              <w:t xml:space="preserve">Every prohibited practice names the correct alternative.</w:t>
            </w:r>
          </w:p>
        </w:tc>
        <w:tc>
          <w:tcPr>
            <w:tcW w:type="dxa" w:w="3249"/>
            <w:tcMar>
              <w:top w:type="dxa" w:w="60"/>
              <w:left w:type="dxa" w:w="100"/>
              <w:bottom w:type="dxa" w:w="60"/>
              <w:right w:type="dxa" w:w="100"/>
            </w:tcMar>
            <w:vAlign w:val="center"/>
          </w:tcPr>
          <w:p>
            <w:pPr>
              <w:spacing w:after="20" w:before="20"/>
            </w:pPr>
            <w:r>
              <w:rPr>
                <w:sz w:val="20"/>
                <w:szCs w:val="20"/>
              </w:rPr>
              <w:t xml:space="preserve">Pass — section 5.2</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V-06</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Progressive adoption is tested, not asserted.</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 — CT-10 to CT-15, CT-20 to CT-25</w:t>
            </w:r>
          </w:p>
        </w:tc>
      </w:tr>
      <w:tr>
        <w:trPr>
          <w:cantSplit/>
        </w:trPr>
        <w:tc>
          <w:tcPr>
            <w:tcW w:type="dxa" w:w="722"/>
            <w:tcMar>
              <w:top w:type="dxa" w:w="60"/>
              <w:left w:type="dxa" w:w="100"/>
              <w:bottom w:type="dxa" w:w="60"/>
              <w:right w:type="dxa" w:w="100"/>
            </w:tcMar>
            <w:vAlign w:val="center"/>
          </w:tcPr>
          <w:p>
            <w:pPr>
              <w:spacing w:after="20" w:before="20"/>
            </w:pPr>
            <w:r>
              <w:rPr>
                <w:sz w:val="20"/>
                <w:szCs w:val="20"/>
              </w:rPr>
              <w:t xml:space="preserve">V-07</w:t>
            </w:r>
          </w:p>
        </w:tc>
        <w:tc>
          <w:tcPr>
            <w:tcW w:type="dxa" w:w="5055"/>
            <w:tcMar>
              <w:top w:type="dxa" w:w="60"/>
              <w:left w:type="dxa" w:w="100"/>
              <w:bottom w:type="dxa" w:w="60"/>
              <w:right w:type="dxa" w:w="100"/>
            </w:tcMar>
            <w:vAlign w:val="center"/>
          </w:tcPr>
          <w:p>
            <w:pPr>
              <w:spacing w:after="20" w:before="20"/>
            </w:pPr>
            <w:r>
              <w:rPr>
                <w:sz w:val="20"/>
                <w:szCs w:val="20"/>
              </w:rPr>
              <w:t xml:space="preserve">Hardware degradation can never produce a silent Pass.</w:t>
            </w:r>
          </w:p>
        </w:tc>
        <w:tc>
          <w:tcPr>
            <w:tcW w:type="dxa" w:w="3249"/>
            <w:tcMar>
              <w:top w:type="dxa" w:w="60"/>
              <w:left w:type="dxa" w:w="100"/>
              <w:bottom w:type="dxa" w:w="60"/>
              <w:right w:type="dxa" w:w="100"/>
            </w:tcMar>
            <w:vAlign w:val="center"/>
          </w:tcPr>
          <w:p>
            <w:pPr>
              <w:spacing w:after="20" w:before="20"/>
            </w:pPr>
            <w:r>
              <w:rPr>
                <w:sz w:val="20"/>
                <w:szCs w:val="20"/>
              </w:rPr>
              <w:t xml:space="preserve">Pass — section 3.2 note, CT-06</w:t>
            </w:r>
          </w:p>
        </w:tc>
      </w:tr>
      <w:tr>
        <w:trPr>
          <w:cantSplit/>
        </w:trPr>
        <w:tc>
          <w:tcPr>
            <w:tcW w:type="dxa" w:w="722"/>
            <w:shd w:fill="F2F2F2" w:color="auto" w:val="clear"/>
            <w:tcMar>
              <w:top w:type="dxa" w:w="60"/>
              <w:left w:type="dxa" w:w="100"/>
              <w:bottom w:type="dxa" w:w="60"/>
              <w:right w:type="dxa" w:w="100"/>
            </w:tcMar>
            <w:vAlign w:val="center"/>
          </w:tcPr>
          <w:p>
            <w:pPr>
              <w:spacing w:after="20" w:before="20"/>
            </w:pPr>
            <w:r>
              <w:rPr>
                <w:sz w:val="20"/>
                <w:szCs w:val="20"/>
              </w:rPr>
              <w:t xml:space="preserve">V-08</w:t>
            </w:r>
          </w:p>
        </w:tc>
        <w:tc>
          <w:tcPr>
            <w:tcW w:type="dxa" w:w="5055"/>
            <w:shd w:fill="F2F2F2" w:color="auto" w:val="clear"/>
            <w:tcMar>
              <w:top w:type="dxa" w:w="60"/>
              <w:left w:type="dxa" w:w="100"/>
              <w:bottom w:type="dxa" w:w="60"/>
              <w:right w:type="dxa" w:w="100"/>
            </w:tcMar>
            <w:vAlign w:val="center"/>
          </w:tcPr>
          <w:p>
            <w:pPr>
              <w:spacing w:after="20" w:before="20"/>
            </w:pPr>
            <w:r>
              <w:rPr>
                <w:sz w:val="20"/>
                <w:szCs w:val="20"/>
              </w:rPr>
              <w:t xml:space="preserve">Partner isolation is specified before the marketplace exists.</w:t>
            </w:r>
          </w:p>
        </w:tc>
        <w:tc>
          <w:tcPr>
            <w:tcW w:type="dxa" w:w="3249"/>
            <w:shd w:fill="F2F2F2" w:color="auto" w:val="clear"/>
            <w:tcMar>
              <w:top w:type="dxa" w:w="60"/>
              <w:left w:type="dxa" w:w="100"/>
              <w:bottom w:type="dxa" w:w="60"/>
              <w:right w:type="dxa" w:w="100"/>
            </w:tcMar>
            <w:vAlign w:val="center"/>
          </w:tcPr>
          <w:p>
            <w:pPr>
              <w:spacing w:after="20" w:before="20"/>
            </w:pPr>
            <w:r>
              <w:rPr>
                <w:sz w:val="20"/>
                <w:szCs w:val="20"/>
              </w:rPr>
              <w:t xml:space="preserve">Pass — section 7</w:t>
            </w:r>
          </w:p>
        </w:tc>
      </w:tr>
    </w:tbl>
    <w:sectPr>
      <w:headerReference w:type="default" r:id="rId7"/>
      <w:headerReference w:type="first" r:id="rId8"/>
      <w:footerReference w:type="default" r:id="rId9"/>
      <w:footerReference w:type="first" r:id="rId10"/>
      <w:pgSz w:w="11906" w:h="16838" w:orient="portrait"/>
      <w:pgMar w:top="1440" w:right="1440" w:bottom="1440" w:left="1440"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pBdr>
      <w:spacing w:before="100"/>
    </w:pPr>
    <w:r>
      <w:rPr>
        <w:color w:val="808080"/>
        <w:sz w:val="16"/>
        <w:szCs w:val="16"/>
      </w:rPr>
      <w:t xml:space="preserve">TEAIP — PDS-08 v1.0 — Trangant Confidential</w:t>
    </w:r>
    <w:r>
      <w:ptab w:alignment="right" w:relativeTo="margin" w:leader="none"/>
    </w:r>
    <w:r>
      <w:rPr>
        <w:color w:val="808080"/>
        <w:sz w:val="16"/>
        <w:szCs w:val="16"/>
      </w:rPr>
      <w:t xml:space="preserve">Page </w:t>
      <w:fldChar w:fldCharType="begin"/>
      <w:instrText xml:space="preserve">PAGE</w:instrText>
      <w:fldChar w:fldCharType="separate"/>
      <w:fldChar w:fldCharType="end"/>
      <w:t xml:space="preserve"> of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pBdr>
      <w:spacing w:after="120"/>
    </w:pPr>
    <w:r>
      <w:rPr>
        <w:color w:val="808080"/>
        <w:sz w:val="16"/>
        <w:szCs w:val="16"/>
      </w:rPr>
      <w:t xml:space="preserve">TEAIP  |  PDS-08 — Plug-in Framework</w:t>
    </w:r>
    <w:r>
      <w:ptab w:alignment="right" w:relativeTo="margin" w:leader="none"/>
    </w:r>
    <w:r>
      <w:rPr>
        <w:color w:val="808080"/>
        <w:sz w:val="16"/>
        <w:szCs w:val="16"/>
      </w:rPr>
      <w:t xml:space="preserve">Version 1.0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00"/>
      </w:pPr>
    </w:lvl>
    <w:lvl w:ilvl="1" w15:tentative="1">
      <w:start w:val="1"/>
      <w:numFmt w:val="bullet"/>
      <w:lvlText w:val="◦"/>
      <w:lvlJc w:val="left"/>
      <w:pPr>
        <w:ind w:left="720" w:hanging="200"/>
      </w:pPr>
    </w:lvl>
    <w:lvl w:ilvl="2" w15:tentative="1">
      <w:start w:val="1"/>
      <w:numFmt w:val="bullet"/>
      <w:lvlText w:val="▪"/>
      <w:lvlJc w:val="left"/>
      <w:pPr>
        <w:ind w:left="1080" w:hanging="200"/>
      </w:pPr>
    </w:lvl>
  </w:abstractNum>
  <w:abstractNum w:abstractNumId="3" w15:restartNumberingAfterBreak="0">
    <w:multiLevelType w:val="hybridMultilevel"/>
    <w:lvl w:ilvl="0" w15:tentative="1">
      <w:start w:val="1"/>
      <w:numFmt w:val="decimal"/>
      <w:lvlText w:val="%1."/>
      <w:lvlJc w:val="left"/>
      <w:pPr>
        <w:ind w:left="360" w:hanging="24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PDS-08 Plug-in Framework</dc:title>
  <dc:creator>Trangant</dc:creator>
  <dc:description>Product Design Specification — Platform Services</dc:description>
  <cp:lastModifiedBy>Un-named</cp:lastModifiedBy>
  <cp:revision>1</cp:revision>
  <dcterms:created xsi:type="dcterms:W3CDTF">2026-08-13T19:05:03.536Z</dcterms:created>
  <dcterms:modified xsi:type="dcterms:W3CDTF">2026-08-13T19:05:03.537Z</dcterms:modified>
</cp:coreProperties>
</file>

<file path=docProps/custom.xml><?xml version="1.0" encoding="utf-8"?>
<Properties xmlns="http://schemas.openxmlformats.org/officeDocument/2006/custom-properties" xmlns:vt="http://schemas.openxmlformats.org/officeDocument/2006/docPropsVTypes"/>
</file>